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2BDB" w14:textId="77777777" w:rsidR="008E739D" w:rsidRPr="008E739D" w:rsidRDefault="008E739D" w:rsidP="00347D34">
      <w:pPr>
        <w:pStyle w:val="Heading1"/>
        <w:pBdr>
          <w:bottom w:val="single" w:sz="4" w:space="1" w:color="D11349"/>
        </w:pBdr>
        <w:jc w:val="left"/>
        <w:rPr>
          <w:color w:val="D11349"/>
        </w:rPr>
      </w:pPr>
      <w:bookmarkStart w:id="0" w:name="_Toc75515749"/>
      <w:r w:rsidRPr="008E739D">
        <w:rPr>
          <w:color w:val="D11349"/>
        </w:rPr>
        <w:t>APPENDIX 4. GUIDES FOR HEALTHCARE PROFESSIONALS</w:t>
      </w:r>
      <w:bookmarkEnd w:id="0"/>
    </w:p>
    <w:p w14:paraId="192933C6" w14:textId="77777777" w:rsidR="008E739D" w:rsidRPr="00086917" w:rsidRDefault="008E739D" w:rsidP="008E739D"/>
    <w:p w14:paraId="5CB3E3C8" w14:textId="77777777" w:rsidR="008E739D" w:rsidRPr="00086917" w:rsidRDefault="008E739D" w:rsidP="00347D34">
      <w:pPr>
        <w:pStyle w:val="Heading2"/>
        <w:ind w:left="284" w:hanging="284"/>
      </w:pPr>
      <w:bookmarkStart w:id="1" w:name="_3a)_Example_of"/>
      <w:bookmarkStart w:id="2" w:name="_Toc75515750"/>
      <w:bookmarkEnd w:id="1"/>
      <w:r>
        <w:t>4</w:t>
      </w:r>
      <w:r w:rsidRPr="00086917">
        <w:t>a) Example of secondary care guidelines on the prescribing of anxiolytics and hypnotics</w:t>
      </w:r>
      <w:bookmarkEnd w:id="2"/>
    </w:p>
    <w:p w14:paraId="7C3659FA"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On admission to hospital, establish if the patient is a regular or occasional user of benzodiazepines or z-drugs. Alternatively, determine whether hypnotic and/or anxiolytic treatment has been newly initiated upon admission.</w:t>
      </w:r>
    </w:p>
    <w:p w14:paraId="4C26C25B"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Regular users should not have their treatment stopped suddenly.</w:t>
      </w:r>
    </w:p>
    <w:p w14:paraId="05FB04B0"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Before a hospital patient is prescribed a hypnotic there should be an accurate diagnosis and any treatable causes of insomnia should be addressed first (e.g. pain, urinary frequency, breathing difficulties, depression, mania, substance misuse, etc). </w:t>
      </w:r>
    </w:p>
    <w:p w14:paraId="09EF8F6F"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Discuss with the patient the benefits and principles of good sleep hygiene,</w:t>
      </w:r>
      <w:r w:rsidRPr="00086917" w:rsidDel="00B0459D">
        <w:rPr>
          <w:rFonts w:ascii="Arial" w:hAnsi="Arial" w:cs="Arial"/>
        </w:rPr>
        <w:t xml:space="preserve"> </w:t>
      </w:r>
      <w:r w:rsidRPr="00086917">
        <w:rPr>
          <w:rFonts w:ascii="Arial" w:hAnsi="Arial" w:cs="Arial"/>
        </w:rPr>
        <w:t>avoiding the use of hypnotics and anxiolytics, and the possibility of dosage reduction.</w:t>
      </w:r>
    </w:p>
    <w:p w14:paraId="465E5157"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Review the timing of regular medication (i.e. sedating medication at night, alerting medication in the morning).</w:t>
      </w:r>
    </w:p>
    <w:p w14:paraId="2B636367"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Hospital patients requiring hypnotics should have them prescribed on the ‘as required’ (PRN) side of the prescription chart (unless the patient was admitted on regular doses of night sedation). Ideally the prescriber should specify the earliest time and the maximum number of consecutive nights that a hypnotic should be given, or provide more specific instructions (e.g. every 2</w:t>
      </w:r>
      <w:r w:rsidRPr="00086917">
        <w:rPr>
          <w:rFonts w:ascii="Arial" w:hAnsi="Arial" w:cs="Arial"/>
          <w:vertAlign w:val="superscript"/>
        </w:rPr>
        <w:t>nd</w:t>
      </w:r>
      <w:r w:rsidRPr="00086917">
        <w:rPr>
          <w:rFonts w:ascii="Arial" w:hAnsi="Arial" w:cs="Arial"/>
        </w:rPr>
        <w:t>/3</w:t>
      </w:r>
      <w:r w:rsidRPr="00086917">
        <w:rPr>
          <w:rFonts w:ascii="Arial" w:hAnsi="Arial" w:cs="Arial"/>
          <w:vertAlign w:val="superscript"/>
        </w:rPr>
        <w:t>rd</w:t>
      </w:r>
      <w:r w:rsidRPr="00086917">
        <w:rPr>
          <w:rFonts w:ascii="Arial" w:hAnsi="Arial" w:cs="Arial"/>
        </w:rPr>
        <w:t xml:space="preserve"> night if the patient is not asleep one hour after retiring to bed).</w:t>
      </w:r>
    </w:p>
    <w:p w14:paraId="1EE9365E"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Any prescription should be for the lowest effective dose and shortest duration possible (no longer than four weeks)</w:t>
      </w:r>
      <w:r>
        <w:rPr>
          <w:rFonts w:ascii="Arial" w:hAnsi="Arial" w:cs="Arial"/>
        </w:rPr>
        <w:t>, and patients should be advised of the short term nature of treatment at initiation.</w:t>
      </w:r>
    </w:p>
    <w:p w14:paraId="73D786B7"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If prescribing newly initiated hypnotics for a regular period (increasing the risk of dependence), the consultant should document this in the patient’s medical notes.</w:t>
      </w:r>
    </w:p>
    <w:p w14:paraId="2E582121"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Nurses should use the following guidelines when administering a hypnotic during the patient’s hospital stay: </w:t>
      </w:r>
    </w:p>
    <w:p w14:paraId="05FBB234" w14:textId="77777777"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Administer if the patient has been unable to sleep for one hour after retiring to bed and is requesting it.</w:t>
      </w:r>
    </w:p>
    <w:p w14:paraId="23F025BF" w14:textId="77777777"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Administer after 11.30 pm as long as the patient has had an opportunity to fall asleep, but administer before 1.00 am to prevent hangover effects next morning.</w:t>
      </w:r>
    </w:p>
    <w:p w14:paraId="4EE4D459" w14:textId="77777777"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Do not administer for more than two consecutive nights (without seeking medical review).</w:t>
      </w:r>
    </w:p>
    <w:p w14:paraId="3BB32A82"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Regularly review the progress of hypnotic treatment during the patient’s hospital stay and discontinue as soon as possible.</w:t>
      </w:r>
    </w:p>
    <w:p w14:paraId="63727E56"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Hypnotics and anxiolytics newly initiated in hospital should </w:t>
      </w:r>
      <w:r w:rsidRPr="00086917">
        <w:rPr>
          <w:rFonts w:ascii="Arial" w:hAnsi="Arial" w:cs="Arial"/>
          <w:i/>
        </w:rPr>
        <w:t>not</w:t>
      </w:r>
      <w:r w:rsidRPr="00086917">
        <w:rPr>
          <w:rFonts w:ascii="Arial" w:hAnsi="Arial" w:cs="Arial"/>
        </w:rPr>
        <w:t xml:space="preserve"> be prescribed on discharge unless an explicit withdrawal regimen is indicated. Withdrawal regimens may be required if the patient has taken the hypnotic/anxiolytic continuously for more than six weeks as an in-patient.</w:t>
      </w:r>
    </w:p>
    <w:p w14:paraId="3A65A387"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In rare cases where newly initiated anxiolytic or hypnotic treatment is continued after discharge, the GP should receive details about why the treatment was initiated, the expected treatment duration, details of any dose reduction regimen and what information has been given to the patient or carer.</w:t>
      </w:r>
    </w:p>
    <w:p w14:paraId="683F364D"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An example of where it may be appropriate to discharge a patient home on hypnotic or anxiolytic treatment includes patients receiving palliative care. </w:t>
      </w:r>
    </w:p>
    <w:p w14:paraId="5C131405"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Any patient prescribed for an ‘as required’ hypnotic should have their prescription cancelled if no dose has been administered in the previous two weeks. Pharmacy staff should have the authority to cancel such prescriptions.</w:t>
      </w:r>
    </w:p>
    <w:p w14:paraId="62F3DACE"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lastRenderedPageBreak/>
        <w:t>All ‘as required’ hypnotic prescriptions should be regularly reviewed (e.g. at weekly ward rounds) to assess the frequency and appropriateness of usage.</w:t>
      </w:r>
    </w:p>
    <w:p w14:paraId="401E0C9E"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If non-recommended long-term use is envisaged (i.e. more than four weeks) consent needs to be obtained regarding the use outside the product licence. </w:t>
      </w:r>
      <w:r w:rsidRPr="00086917">
        <w:rPr>
          <w:rFonts w:ascii="Arial" w:hAnsi="Arial" w:cs="Arial"/>
        </w:rPr>
        <w:br w:type="page"/>
      </w:r>
    </w:p>
    <w:p w14:paraId="5BD6E5EF" w14:textId="77777777" w:rsidR="008E739D" w:rsidRPr="00086917" w:rsidRDefault="008E739D" w:rsidP="008E739D">
      <w:pPr>
        <w:pStyle w:val="Heading2"/>
      </w:pPr>
      <w:bookmarkStart w:id="3" w:name="_3b)_Example_of"/>
      <w:bookmarkStart w:id="4" w:name="_Toc450915333"/>
      <w:bookmarkStart w:id="5" w:name="_Toc75515751"/>
      <w:bookmarkEnd w:id="3"/>
      <w:r>
        <w:lastRenderedPageBreak/>
        <w:t>4</w:t>
      </w:r>
      <w:r w:rsidRPr="00086917">
        <w:t>b) Example of a GP practice prescribing policy for benzodiazepines and z-drugs</w:t>
      </w:r>
      <w:bookmarkEnd w:id="4"/>
      <w:bookmarkEnd w:id="5"/>
    </w:p>
    <w:p w14:paraId="5E3FE82D" w14:textId="77777777" w:rsidR="008E739D" w:rsidRPr="00086917" w:rsidRDefault="008E739D" w:rsidP="008E739D">
      <w:pPr>
        <w:contextualSpacing/>
        <w:rPr>
          <w:rFonts w:cs="Arial"/>
          <w:szCs w:val="22"/>
        </w:rPr>
      </w:pPr>
      <w:r w:rsidRPr="00086917">
        <w:rPr>
          <w:rFonts w:cs="Arial"/>
          <w:szCs w:val="22"/>
        </w:rPr>
        <w:t>GPs in this practice will prescribe hypnotics and anxiolytics (benzodiazepines and z- drugs) in line with national and locally developed guidelines:</w:t>
      </w:r>
    </w:p>
    <w:p w14:paraId="54BAE4D5"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First-line treatment should be non-pharmacological measures.</w:t>
      </w:r>
    </w:p>
    <w:p w14:paraId="20E99B18"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Where benzodiazepine or z-drug treatment is indicated, first-</w:t>
      </w:r>
      <w:r>
        <w:rPr>
          <w:rFonts w:ascii="Arial" w:hAnsi="Arial" w:cs="Arial"/>
        </w:rPr>
        <w:t xml:space="preserve">line options should </w:t>
      </w:r>
      <w:r w:rsidRPr="00086917">
        <w:rPr>
          <w:rFonts w:ascii="Arial" w:hAnsi="Arial" w:cs="Arial"/>
        </w:rPr>
        <w:t>be:</w:t>
      </w:r>
    </w:p>
    <w:p w14:paraId="3CEFA7C8"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Anxiolytic: diazepam</w:t>
      </w:r>
    </w:p>
    <w:p w14:paraId="5104891C"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Hypnotic: zopiclone</w:t>
      </w:r>
    </w:p>
    <w:p w14:paraId="360CCEC4"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For patients who have not received these drugs regularly, GPs will only prescribe hypnotics and anxiolytics for a maximum of 14 days and at the lowest effective dose. They will only be prescribed if the GP feels that the condition is severe, disabling and subjecting the patient to extreme distress and/or for those where other interventions have not been successful. The following guidance published by NICE will apply:</w:t>
      </w:r>
    </w:p>
    <w:p w14:paraId="2464F5A5"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The indication for starting a hypnotic or anxiolytic will be documented.</w:t>
      </w:r>
    </w:p>
    <w:p w14:paraId="50307682"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Other possible causes of sleep disturbance will be recorded (e.g. pain, dyspnoea, depression) and treated appropriately.</w:t>
      </w:r>
    </w:p>
    <w:p w14:paraId="6E3F4293"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All patients will receive advice on non-drug therapies for anxiety and insomnia.</w:t>
      </w:r>
    </w:p>
    <w:p w14:paraId="0BE9EA15"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 xml:space="preserve">Patients will be advised on the potential problems of dependence (i.e. addiction). </w:t>
      </w:r>
    </w:p>
    <w:p w14:paraId="27C5D1AA"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A second prescription will not be issued without a follow-up visit to the GP.</w:t>
      </w:r>
    </w:p>
    <w:p w14:paraId="6B093CC6"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 xml:space="preserve">Benzodiazepines or z-drugs should </w:t>
      </w:r>
      <w:r w:rsidRPr="00086917">
        <w:rPr>
          <w:rFonts w:ascii="Arial" w:hAnsi="Arial" w:cs="Arial"/>
          <w:i/>
        </w:rPr>
        <w:t>not</w:t>
      </w:r>
      <w:r w:rsidRPr="00086917">
        <w:rPr>
          <w:rFonts w:ascii="Arial" w:hAnsi="Arial" w:cs="Arial"/>
        </w:rPr>
        <w:t xml:space="preserve"> be taken for more than 2–4 weeks (including tapering off).</w:t>
      </w:r>
    </w:p>
    <w:p w14:paraId="5C6D65D9"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Patients who are already on a regular benzodiazepine or z-drug prescription will be assessed and, if appropriate, counselled for a withdrawal scheme with the aim to gradually reduce drug dosage to zero.</w:t>
      </w:r>
    </w:p>
    <w:p w14:paraId="6BE921A7"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Patients who are unable or unwilling to reduce drug dosage via a managed withdrawal scheme (or who use more than one drug of abuse, or who are dependent on alcohol) may be referred to the substance misuse service in their area.</w:t>
      </w:r>
    </w:p>
    <w:p w14:paraId="69BCEC1E"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Prescriptions for hypnotics and anxiolytics should not be routinely available on repeat. However, the practice accepts that there may be a small minority of people who need to be on a small maintenance dose of a benzodiazepine. Examples are people:</w:t>
      </w:r>
    </w:p>
    <w:p w14:paraId="0FBB1CD5"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with severe mental health problems under care of a psychiatrist;</w:t>
      </w:r>
    </w:p>
    <w:p w14:paraId="184DDA5E"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on benzodiazepines for treatment of epilepsy;</w:t>
      </w:r>
    </w:p>
    <w:p w14:paraId="7DBF0A75"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who are seriously or terminally ill.</w:t>
      </w:r>
    </w:p>
    <w:p w14:paraId="25012131"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Lost prescriptions will not be replaced.</w:t>
      </w:r>
    </w:p>
    <w:p w14:paraId="376323DA"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Patients will be allocated a ‘usual doctor’ and will only deal with this person.</w:t>
      </w:r>
    </w:p>
    <w:p w14:paraId="71632DDF"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If a patient takes higher doses than prescribed, and runs out of medication before the next prescription is due, they will not be prescribed extra tablets.</w:t>
      </w:r>
    </w:p>
    <w:p w14:paraId="04E3AF63"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The practice will undertake a regular review and audit of the prescribing practice of benzodiazepines and z-drugs to ensure compliance with national and local guidelines.</w:t>
      </w:r>
    </w:p>
    <w:p w14:paraId="2DCC27AE"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Temporary residents should note that:</w:t>
      </w:r>
    </w:p>
    <w:p w14:paraId="0C1B1954"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patients not currently on an anxiolytic or hypnotic will be treated according to NICE guidelines and the practice policy</w:t>
      </w:r>
    </w:p>
    <w:p w14:paraId="06A75A33" w14:textId="77777777"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regular users will not receive prescriptions without proof of dosage, frequency and date of last prescription; this can be obtained from the patient’s surgery. If they remain with the practice for more than two weeks, they should enter the reducing scheme and the policy should be followed as for a registered patient.</w:t>
      </w:r>
    </w:p>
    <w:p w14:paraId="5D3C1038"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Any new patients currently on hypnotics or anxiolytics will be informed that they will be placed on a withdrawal regimen (unless they fall into the exclusion criteria above), when they register with the practice.</w:t>
      </w:r>
      <w:bookmarkStart w:id="6" w:name="_3c)_Example_of"/>
      <w:bookmarkEnd w:id="6"/>
    </w:p>
    <w:p w14:paraId="64472F4D" w14:textId="77777777" w:rsidR="008E739D" w:rsidRPr="00086917" w:rsidRDefault="008E739D" w:rsidP="008E739D">
      <w:pPr>
        <w:pStyle w:val="Heading2"/>
      </w:pPr>
      <w:r w:rsidRPr="00086917">
        <w:br w:type="page"/>
      </w:r>
      <w:bookmarkStart w:id="7" w:name="_Toc450915334"/>
      <w:bookmarkStart w:id="8" w:name="_Toc75515752"/>
      <w:r>
        <w:rPr>
          <w:bCs/>
        </w:rPr>
        <w:lastRenderedPageBreak/>
        <w:t>4</w:t>
      </w:r>
      <w:r w:rsidRPr="00086917">
        <w:rPr>
          <w:bCs/>
        </w:rPr>
        <w:t xml:space="preserve">c) </w:t>
      </w:r>
      <w:r w:rsidRPr="00086917">
        <w:t>Example of GP practice guidelines for initiating hypnotics and anxiolytics</w:t>
      </w:r>
      <w:bookmarkEnd w:id="7"/>
      <w:bookmarkEnd w:id="8"/>
    </w:p>
    <w:p w14:paraId="19EE7996" w14:textId="77777777" w:rsidR="008E739D" w:rsidRPr="0055044D" w:rsidRDefault="008E739D" w:rsidP="008E739D">
      <w:pPr>
        <w:pStyle w:val="ListParagraph"/>
        <w:numPr>
          <w:ilvl w:val="0"/>
          <w:numId w:val="2"/>
        </w:numPr>
        <w:tabs>
          <w:tab w:val="left" w:pos="11700"/>
        </w:tabs>
        <w:rPr>
          <w:rFonts w:ascii="Arial" w:hAnsi="Arial" w:cs="Arial"/>
        </w:rPr>
      </w:pPr>
      <w:r w:rsidRPr="00086917">
        <w:rPr>
          <w:rFonts w:ascii="Arial" w:hAnsi="Arial" w:cs="Arial"/>
        </w:rPr>
        <w:t>Establish current sleep/anxiety patterns with the help of sleep/anxiety diaries (Appen</w:t>
      </w:r>
      <w:r w:rsidRPr="0055044D">
        <w:rPr>
          <w:rFonts w:ascii="Arial" w:hAnsi="Arial" w:cs="Arial"/>
        </w:rPr>
        <w:t xml:space="preserve">dices </w:t>
      </w:r>
      <w:r w:rsidRPr="0055044D">
        <w:rPr>
          <w:rStyle w:val="Hyperlink"/>
          <w:rFonts w:ascii="Arial" w:hAnsi="Arial" w:cs="Arial"/>
          <w:color w:val="auto"/>
          <w:u w:val="none"/>
        </w:rPr>
        <w:t>2d</w:t>
      </w:r>
      <w:r w:rsidRPr="0055044D">
        <w:rPr>
          <w:rFonts w:ascii="Arial" w:hAnsi="Arial" w:cs="Arial"/>
        </w:rPr>
        <w:t xml:space="preserve"> and </w:t>
      </w:r>
      <w:r w:rsidRPr="0055044D">
        <w:rPr>
          <w:rStyle w:val="Hyperlink"/>
          <w:rFonts w:ascii="Arial" w:hAnsi="Arial" w:cs="Arial"/>
          <w:color w:val="auto"/>
          <w:u w:val="none"/>
        </w:rPr>
        <w:t>2e</w:t>
      </w:r>
      <w:r w:rsidRPr="0055044D">
        <w:rPr>
          <w:rFonts w:ascii="Arial" w:hAnsi="Arial" w:cs="Arial"/>
        </w:rPr>
        <w:t>).</w:t>
      </w:r>
    </w:p>
    <w:p w14:paraId="6CBB3672" w14:textId="77777777"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 xml:space="preserve">Address any treatable causes of insomnia/anxiety: </w:t>
      </w:r>
    </w:p>
    <w:p w14:paraId="6524B424"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 xml:space="preserve">Review concomitant drug therapy. </w:t>
      </w:r>
    </w:p>
    <w:p w14:paraId="4C1FA550"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Review the timing of regular medication (e.g. sedating medication at night, alerting medication in the morning).</w:t>
      </w:r>
    </w:p>
    <w:p w14:paraId="7515DEE7" w14:textId="77777777"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Consider non-drug treatment options first:</w:t>
      </w:r>
    </w:p>
    <w:p w14:paraId="631532E3"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Give advice (verbally or using patient information leaflets) on non-drug treatments, and record in medical notes whether or not an anxiolytic or hypnotic is prescribed.</w:t>
      </w:r>
    </w:p>
    <w:p w14:paraId="3F4E08C1" w14:textId="77777777"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 xml:space="preserve">When hypnotics or anxiolytics </w:t>
      </w:r>
      <w:r w:rsidRPr="0055044D">
        <w:rPr>
          <w:rFonts w:ascii="Arial" w:hAnsi="Arial" w:cs="Arial"/>
          <w:i/>
        </w:rPr>
        <w:t>must</w:t>
      </w:r>
      <w:r w:rsidRPr="0055044D">
        <w:rPr>
          <w:rFonts w:ascii="Arial" w:hAnsi="Arial" w:cs="Arial"/>
        </w:rPr>
        <w:t xml:space="preserve"> be used:</w:t>
      </w:r>
    </w:p>
    <w:p w14:paraId="2FB2A93C"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use lowest effective dose.</w:t>
      </w:r>
    </w:p>
    <w:p w14:paraId="74132375"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use for a short period only. All prescriptions for hypnotics and anxiolytics issued to new patients should be for a maximum of two weeks.</w:t>
      </w:r>
    </w:p>
    <w:p w14:paraId="1D443658"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ensure that no prescriptions for hypnotics or anxiolytics are on repeat.</w:t>
      </w:r>
    </w:p>
    <w:p w14:paraId="5CE584BD"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encourage intermittent use rather than continual use.</w:t>
      </w:r>
    </w:p>
    <w:p w14:paraId="6C223E65"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note that hypnotics started in hospital should not usually be continued in primary care.</w:t>
      </w:r>
    </w:p>
    <w:p w14:paraId="78C08C91" w14:textId="77777777"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document indication.</w:t>
      </w:r>
    </w:p>
    <w:p w14:paraId="0DDD9BD4" w14:textId="77777777"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 xml:space="preserve">Provide patients with information (Appendices </w:t>
      </w:r>
      <w:r w:rsidRPr="0055044D">
        <w:rPr>
          <w:rStyle w:val="Hyperlink"/>
          <w:rFonts w:ascii="Arial" w:hAnsi="Arial" w:cs="Arial"/>
          <w:color w:val="auto"/>
          <w:u w:val="none"/>
        </w:rPr>
        <w:t xml:space="preserve">3e </w:t>
      </w:r>
      <w:r w:rsidRPr="0055044D">
        <w:rPr>
          <w:rFonts w:ascii="Arial" w:hAnsi="Arial" w:cs="Arial"/>
        </w:rPr>
        <w:t xml:space="preserve">and </w:t>
      </w:r>
      <w:r w:rsidRPr="0055044D">
        <w:rPr>
          <w:rStyle w:val="Hyperlink"/>
          <w:rFonts w:ascii="Arial" w:hAnsi="Arial" w:cs="Arial"/>
          <w:color w:val="auto"/>
          <w:u w:val="none"/>
        </w:rPr>
        <w:t>3f</w:t>
      </w:r>
      <w:r w:rsidRPr="0055044D">
        <w:rPr>
          <w:rFonts w:ascii="Arial" w:hAnsi="Arial" w:cs="Arial"/>
        </w:rPr>
        <w:t xml:space="preserve">) and self-help leaflets (Appendices </w:t>
      </w:r>
      <w:r w:rsidRPr="0055044D">
        <w:rPr>
          <w:rStyle w:val="Hyperlink"/>
          <w:rFonts w:ascii="Arial" w:hAnsi="Arial" w:cs="Arial"/>
          <w:color w:val="auto"/>
          <w:u w:val="none"/>
        </w:rPr>
        <w:t xml:space="preserve">3a, 3b, 3c </w:t>
      </w:r>
      <w:r w:rsidRPr="0055044D">
        <w:rPr>
          <w:rFonts w:ascii="Arial" w:hAnsi="Arial" w:cs="Arial"/>
        </w:rPr>
        <w:t xml:space="preserve">and </w:t>
      </w:r>
      <w:r w:rsidRPr="0055044D">
        <w:rPr>
          <w:rStyle w:val="Hyperlink"/>
          <w:rFonts w:ascii="Arial" w:hAnsi="Arial" w:cs="Arial"/>
          <w:color w:val="auto"/>
          <w:u w:val="none"/>
        </w:rPr>
        <w:t>3d</w:t>
      </w:r>
      <w:r w:rsidRPr="0055044D">
        <w:rPr>
          <w:rFonts w:ascii="Arial" w:hAnsi="Arial" w:cs="Arial"/>
        </w:rPr>
        <w:t>) at the time of initial drug supply. Advise about the potential for dependence (addiction), falls and driving impairment, and document in records.</w:t>
      </w:r>
    </w:p>
    <w:p w14:paraId="09AFBEF4" w14:textId="77777777" w:rsidR="008E739D" w:rsidRPr="00086917" w:rsidRDefault="008E739D" w:rsidP="008E739D">
      <w:pPr>
        <w:pStyle w:val="ListParagraph"/>
        <w:numPr>
          <w:ilvl w:val="0"/>
          <w:numId w:val="2"/>
        </w:numPr>
        <w:tabs>
          <w:tab w:val="left" w:pos="11700"/>
        </w:tabs>
        <w:rPr>
          <w:rFonts w:ascii="Arial" w:hAnsi="Arial" w:cs="Arial"/>
        </w:rPr>
      </w:pPr>
      <w:r w:rsidRPr="0055044D">
        <w:rPr>
          <w:rFonts w:ascii="Arial" w:hAnsi="Arial" w:cs="Arial"/>
        </w:rPr>
        <w:t>Explain that the prescription will not be repeated. Pat</w:t>
      </w:r>
      <w:r w:rsidRPr="00086917">
        <w:rPr>
          <w:rFonts w:ascii="Arial" w:hAnsi="Arial" w:cs="Arial"/>
        </w:rPr>
        <w:t>ients will be seen by a GP before a second prescription is issued.</w:t>
      </w:r>
    </w:p>
    <w:p w14:paraId="363D4D30"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In elderly patients prescribe with caution and start at a lower dose. Monitor the response as:</w:t>
      </w:r>
    </w:p>
    <w:p w14:paraId="68C70D44" w14:textId="77777777"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unpredictable drug metabolism and interactions may make patients more sensitive to these medicines.</w:t>
      </w:r>
    </w:p>
    <w:p w14:paraId="3754D9F2" w14:textId="77777777"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there may be an increased risk of ‘hangover’ effect due to prolonged half-life.</w:t>
      </w:r>
    </w:p>
    <w:p w14:paraId="4D39F680" w14:textId="77777777"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there may be an increased risk of ataxia and confusion, therefore causing an increase in falls.</w:t>
      </w:r>
    </w:p>
    <w:p w14:paraId="43B26152" w14:textId="77777777"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Use clinical judgement to assess the risks/benefits of withdrawal for individual patients.</w:t>
      </w:r>
    </w:p>
    <w:p w14:paraId="2D4C51F2" w14:textId="77777777" w:rsidR="00AA2879" w:rsidRDefault="00FD699A"/>
    <w:sectPr w:rsidR="00AA2879" w:rsidSect="008E739D">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A6C66" w14:textId="77777777" w:rsidR="008E739D" w:rsidRDefault="008E739D" w:rsidP="008E739D">
      <w:r>
        <w:separator/>
      </w:r>
    </w:p>
  </w:endnote>
  <w:endnote w:type="continuationSeparator" w:id="0">
    <w:p w14:paraId="448564AF" w14:textId="77777777" w:rsidR="008E739D" w:rsidRDefault="008E739D" w:rsidP="008E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B88F3" w14:textId="77777777" w:rsidR="008E739D" w:rsidRPr="005E5C91" w:rsidRDefault="008E739D" w:rsidP="008E739D">
    <w:pPr>
      <w:pStyle w:val="Footer"/>
      <w:ind w:right="360"/>
      <w:jc w:val="left"/>
      <w:rPr>
        <w:b/>
        <w:color w:val="09396D"/>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365A2B">
      <w:rPr>
        <w:b/>
        <w:noProof/>
        <w:color w:val="09396D"/>
        <w:sz w:val="18"/>
        <w:szCs w:val="18"/>
      </w:rPr>
      <w:t>4</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365A2B">
      <w:rPr>
        <w:b/>
        <w:noProof/>
        <w:color w:val="09396D"/>
        <w:sz w:val="18"/>
        <w:szCs w:val="18"/>
      </w:rPr>
      <w:t>4</w:t>
    </w:r>
    <w:r w:rsidRPr="005E5C91">
      <w:rPr>
        <w:b/>
        <w:color w:val="09396D"/>
        <w:sz w:val="18"/>
        <w:szCs w:val="18"/>
      </w:rPr>
      <w:fldChar w:fldCharType="end"/>
    </w:r>
  </w:p>
  <w:p w14:paraId="1441BB68" w14:textId="77777777" w:rsidR="008E739D" w:rsidRDefault="008E7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17FF" w14:textId="77777777" w:rsidR="008E739D" w:rsidRPr="00846E30" w:rsidRDefault="008E739D" w:rsidP="008E739D">
    <w:pPr>
      <w:pStyle w:val="Footer"/>
      <w:ind w:right="360"/>
      <w:jc w:val="right"/>
      <w:rPr>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365A2B">
      <w:rPr>
        <w:b/>
        <w:noProof/>
        <w:color w:val="09396D"/>
        <w:sz w:val="18"/>
        <w:szCs w:val="18"/>
      </w:rPr>
      <w:t>1</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365A2B">
      <w:rPr>
        <w:b/>
        <w:noProof/>
        <w:color w:val="09396D"/>
        <w:sz w:val="18"/>
        <w:szCs w:val="18"/>
      </w:rPr>
      <w:t>4</w:t>
    </w:r>
    <w:r w:rsidRPr="005E5C91">
      <w:rPr>
        <w:b/>
        <w:color w:val="09396D"/>
        <w:sz w:val="18"/>
        <w:szCs w:val="18"/>
      </w:rPr>
      <w:fldChar w:fldCharType="end"/>
    </w:r>
  </w:p>
  <w:p w14:paraId="5DBD5B71" w14:textId="77777777" w:rsidR="008E739D" w:rsidRDefault="008E7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06B82" w14:textId="77777777" w:rsidR="008E739D" w:rsidRDefault="008E739D" w:rsidP="008E739D">
      <w:r>
        <w:separator/>
      </w:r>
    </w:p>
  </w:footnote>
  <w:footnote w:type="continuationSeparator" w:id="0">
    <w:p w14:paraId="0E6E7F01" w14:textId="77777777" w:rsidR="008E739D" w:rsidRDefault="008E739D" w:rsidP="008E7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8E1C" w14:textId="77777777" w:rsidR="008E739D" w:rsidRDefault="008E739D" w:rsidP="008E739D">
    <w:pPr>
      <w:pStyle w:val="Header"/>
      <w:jc w:val="left"/>
      <w:rPr>
        <w:b/>
        <w:color w:val="D11349"/>
        <w:sz w:val="18"/>
        <w:szCs w:val="18"/>
      </w:rPr>
    </w:pPr>
    <w:r w:rsidRPr="00F8099A">
      <w:rPr>
        <w:b/>
        <w:color w:val="D11349"/>
        <w:sz w:val="18"/>
        <w:szCs w:val="18"/>
      </w:rPr>
      <w:t>All Wales Medicines Strategy Group</w:t>
    </w:r>
  </w:p>
  <w:p w14:paraId="63F79AAB" w14:textId="77777777" w:rsidR="008E739D" w:rsidRDefault="008E7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6EF1" w14:textId="77777777" w:rsidR="008E739D" w:rsidRPr="005E5C91" w:rsidRDefault="008E739D" w:rsidP="008E739D">
    <w:pPr>
      <w:pStyle w:val="Header"/>
      <w:jc w:val="right"/>
      <w:rPr>
        <w:rFonts w:cs="Arial"/>
        <w:b/>
        <w:color w:val="D11349"/>
        <w:szCs w:val="22"/>
      </w:rPr>
    </w:pPr>
    <w:r w:rsidRPr="00333B05">
      <w:rPr>
        <w:b/>
        <w:color w:val="D11349"/>
        <w:sz w:val="18"/>
        <w:szCs w:val="18"/>
      </w:rPr>
      <w:t>Material to Support Appropriate Prescribing of Hypnotics and Anxiolytics across Wales</w:t>
    </w:r>
  </w:p>
  <w:p w14:paraId="29D809CA" w14:textId="77777777" w:rsidR="008E739D" w:rsidRDefault="008E7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C4495"/>
    <w:multiLevelType w:val="hybridMultilevel"/>
    <w:tmpl w:val="D6A8AB7A"/>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210" w:hanging="360"/>
      </w:pPr>
      <w:rPr>
        <w:rFonts w:ascii="Courier New" w:hAnsi="Courier New" w:hint="default"/>
      </w:rPr>
    </w:lvl>
    <w:lvl w:ilvl="2" w:tplc="DC1E0BEC">
      <w:start w:val="1"/>
      <w:numFmt w:val="bullet"/>
      <w:lvlText w:val="–"/>
      <w:lvlJc w:val="left"/>
      <w:pPr>
        <w:ind w:left="1210" w:hanging="360"/>
      </w:pPr>
      <w:rPr>
        <w:rFonts w:ascii="Courier New" w:hAnsi="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E25315"/>
    <w:multiLevelType w:val="hybridMultilevel"/>
    <w:tmpl w:val="40986BDA"/>
    <w:lvl w:ilvl="0" w:tplc="150AA284">
      <w:start w:val="1"/>
      <w:numFmt w:val="bullet"/>
      <w:lvlText w:val="–"/>
      <w:lvlJc w:val="left"/>
      <w:pPr>
        <w:ind w:left="720" w:hanging="363"/>
      </w:pPr>
      <w:rPr>
        <w:rFonts w:ascii="Courier New" w:hAnsi="Courier New" w:hint="default"/>
      </w:rPr>
    </w:lvl>
    <w:lvl w:ilvl="1" w:tplc="08090003">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39D"/>
    <w:rsid w:val="00347D34"/>
    <w:rsid w:val="00365A2B"/>
    <w:rsid w:val="0055044D"/>
    <w:rsid w:val="008E739D"/>
    <w:rsid w:val="00925D98"/>
    <w:rsid w:val="00E52861"/>
    <w:rsid w:val="00FD6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1A55"/>
  <w15:chartTrackingRefBased/>
  <w15:docId w15:val="{A4F287ED-F3E4-4341-8D65-0AED523C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39D"/>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8E739D"/>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8E739D"/>
    <w:pPr>
      <w:contextualSpacing/>
      <w:outlineLvl w:val="1"/>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39D"/>
    <w:rPr>
      <w:rFonts w:ascii="Arial" w:eastAsia="Times New Roman" w:hAnsi="Arial" w:cs="Arial"/>
      <w:b/>
      <w:lang w:eastAsia="en-GB"/>
    </w:rPr>
  </w:style>
  <w:style w:type="character" w:customStyle="1" w:styleId="Heading2Char">
    <w:name w:val="Heading 2 Char"/>
    <w:basedOn w:val="DefaultParagraphFont"/>
    <w:link w:val="Heading2"/>
    <w:rsid w:val="008E739D"/>
    <w:rPr>
      <w:rFonts w:ascii="Arial" w:eastAsia="Times New Roman" w:hAnsi="Arial" w:cs="Arial"/>
      <w:b/>
      <w:lang w:eastAsia="en-GB"/>
    </w:rPr>
  </w:style>
  <w:style w:type="character" w:styleId="CommentReference">
    <w:name w:val="annotation reference"/>
    <w:basedOn w:val="DefaultParagraphFont"/>
    <w:semiHidden/>
    <w:rsid w:val="008E739D"/>
    <w:rPr>
      <w:rFonts w:cs="Times New Roman"/>
      <w:sz w:val="16"/>
      <w:szCs w:val="16"/>
    </w:rPr>
  </w:style>
  <w:style w:type="paragraph" w:styleId="CommentText">
    <w:name w:val="annotation text"/>
    <w:basedOn w:val="Normal"/>
    <w:link w:val="CommentTextChar"/>
    <w:semiHidden/>
    <w:rsid w:val="008E739D"/>
    <w:rPr>
      <w:rFonts w:asciiTheme="minorHAnsi" w:hAnsiTheme="minorHAnsi"/>
      <w:sz w:val="20"/>
      <w:szCs w:val="20"/>
    </w:rPr>
  </w:style>
  <w:style w:type="character" w:customStyle="1" w:styleId="CommentTextChar">
    <w:name w:val="Comment Text Char"/>
    <w:basedOn w:val="DefaultParagraphFont"/>
    <w:link w:val="CommentText"/>
    <w:semiHidden/>
    <w:rsid w:val="008E739D"/>
    <w:rPr>
      <w:rFonts w:eastAsia="Times New Roman" w:cs="Times New Roman"/>
      <w:sz w:val="20"/>
      <w:szCs w:val="20"/>
      <w:lang w:eastAsia="en-GB"/>
    </w:rPr>
  </w:style>
  <w:style w:type="character" w:styleId="Hyperlink">
    <w:name w:val="Hyperlink"/>
    <w:basedOn w:val="DefaultParagraphFont"/>
    <w:uiPriority w:val="99"/>
    <w:rsid w:val="008E739D"/>
    <w:rPr>
      <w:rFonts w:cs="Times New Roman"/>
      <w:color w:val="0000FF"/>
      <w:u w:val="single"/>
    </w:rPr>
  </w:style>
  <w:style w:type="paragraph" w:styleId="ListParagraph">
    <w:name w:val="List Paragraph"/>
    <w:basedOn w:val="Normal"/>
    <w:qFormat/>
    <w:rsid w:val="008E739D"/>
    <w:pPr>
      <w:spacing w:after="200" w:line="276" w:lineRule="auto"/>
      <w:ind w:left="720"/>
      <w:contextualSpacing/>
      <w:jc w:val="left"/>
    </w:pPr>
    <w:rPr>
      <w:rFonts w:asciiTheme="minorHAnsi" w:eastAsiaTheme="minorHAnsi" w:hAnsiTheme="minorHAnsi" w:cstheme="minorBidi"/>
      <w:szCs w:val="22"/>
      <w:lang w:eastAsia="en-US"/>
    </w:rPr>
  </w:style>
  <w:style w:type="paragraph" w:styleId="BalloonText">
    <w:name w:val="Balloon Text"/>
    <w:basedOn w:val="Normal"/>
    <w:link w:val="BalloonTextChar"/>
    <w:uiPriority w:val="99"/>
    <w:semiHidden/>
    <w:unhideWhenUsed/>
    <w:rsid w:val="008E7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9D"/>
    <w:rPr>
      <w:rFonts w:ascii="Segoe UI" w:eastAsia="Times New Roman" w:hAnsi="Segoe UI" w:cs="Segoe UI"/>
      <w:sz w:val="18"/>
      <w:szCs w:val="18"/>
      <w:lang w:eastAsia="en-GB"/>
    </w:rPr>
  </w:style>
  <w:style w:type="paragraph" w:styleId="Header">
    <w:name w:val="header"/>
    <w:basedOn w:val="Normal"/>
    <w:link w:val="HeaderChar"/>
    <w:unhideWhenUsed/>
    <w:rsid w:val="008E739D"/>
    <w:pPr>
      <w:tabs>
        <w:tab w:val="center" w:pos="4513"/>
        <w:tab w:val="right" w:pos="9026"/>
      </w:tabs>
    </w:pPr>
  </w:style>
  <w:style w:type="character" w:customStyle="1" w:styleId="HeaderChar">
    <w:name w:val="Header Char"/>
    <w:basedOn w:val="DefaultParagraphFont"/>
    <w:link w:val="Header"/>
    <w:rsid w:val="008E739D"/>
    <w:rPr>
      <w:rFonts w:ascii="Arial" w:eastAsia="Times New Roman" w:hAnsi="Arial" w:cs="Times New Roman"/>
      <w:szCs w:val="24"/>
      <w:lang w:eastAsia="en-GB"/>
    </w:rPr>
  </w:style>
  <w:style w:type="paragraph" w:styleId="Footer">
    <w:name w:val="footer"/>
    <w:basedOn w:val="Normal"/>
    <w:link w:val="FooterChar"/>
    <w:uiPriority w:val="99"/>
    <w:unhideWhenUsed/>
    <w:rsid w:val="008E739D"/>
    <w:pPr>
      <w:tabs>
        <w:tab w:val="center" w:pos="4513"/>
        <w:tab w:val="right" w:pos="9026"/>
      </w:tabs>
    </w:pPr>
  </w:style>
  <w:style w:type="character" w:customStyle="1" w:styleId="FooterChar">
    <w:name w:val="Footer Char"/>
    <w:basedOn w:val="DefaultParagraphFont"/>
    <w:link w:val="Footer"/>
    <w:uiPriority w:val="99"/>
    <w:rsid w:val="008E739D"/>
    <w:rPr>
      <w:rFonts w:ascii="Arial" w:eastAsia="Times New Roman" w:hAnsi="Arial" w:cs="Times New Roman"/>
      <w:szCs w:val="24"/>
      <w:lang w:eastAsia="en-GB"/>
    </w:rPr>
  </w:style>
  <w:style w:type="character" w:styleId="FollowedHyperlink">
    <w:name w:val="FollowedHyperlink"/>
    <w:basedOn w:val="DefaultParagraphFont"/>
    <w:uiPriority w:val="99"/>
    <w:semiHidden/>
    <w:unhideWhenUsed/>
    <w:rsid w:val="00347D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1321</Words>
  <Characters>7534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Ezmerelda White</cp:lastModifiedBy>
  <cp:revision>2</cp:revision>
  <dcterms:created xsi:type="dcterms:W3CDTF">2021-07-23T09:26:00Z</dcterms:created>
  <dcterms:modified xsi:type="dcterms:W3CDTF">2021-07-23T09:26:00Z</dcterms:modified>
</cp:coreProperties>
</file>