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D029" w14:textId="6BCE9E3A" w:rsidR="00910DDB" w:rsidRPr="00735E20" w:rsidRDefault="00910DDB" w:rsidP="00735E20">
      <w:pPr>
        <w:pStyle w:val="Heading1"/>
      </w:pPr>
      <w:bookmarkStart w:id="0" w:name="_Toc363736353"/>
      <w:bookmarkStart w:id="1" w:name="_Toc363736439"/>
      <w:bookmarkStart w:id="2" w:name="_Toc96868241"/>
      <w:bookmarkStart w:id="3" w:name="_Toc96966519"/>
      <w:bookmarkStart w:id="4" w:name="_Toc96966686"/>
      <w:bookmarkStart w:id="5" w:name="_Toc96966787"/>
      <w:bookmarkStart w:id="6" w:name="_Toc96967067"/>
      <w:bookmarkStart w:id="7" w:name="_Toc96967114"/>
      <w:bookmarkStart w:id="8" w:name="_Toc99387336"/>
      <w:bookmarkStart w:id="9" w:name="_Toc102563002"/>
      <w:bookmarkStart w:id="10" w:name="_Toc104910438"/>
      <w:bookmarkStart w:id="11" w:name="_Toc106708886"/>
      <w:r w:rsidRPr="00735E20">
        <w:t xml:space="preserve">Comparison of </w:t>
      </w:r>
      <w:bookmarkEnd w:id="0"/>
      <w:bookmarkEnd w:id="1"/>
      <w:r w:rsidR="000C7431" w:rsidRPr="00735E20">
        <w:t>Anticoagulants (DOACs and warfarin)</w:t>
      </w:r>
      <w:bookmarkEnd w:id="2"/>
      <w:bookmarkEnd w:id="3"/>
      <w:bookmarkEnd w:id="4"/>
      <w:bookmarkEnd w:id="5"/>
      <w:bookmarkEnd w:id="6"/>
      <w:bookmarkEnd w:id="7"/>
      <w:bookmarkEnd w:id="8"/>
      <w:bookmarkEnd w:id="9"/>
      <w:bookmarkEnd w:id="10"/>
      <w:bookmarkEnd w:id="11"/>
      <w:r w:rsidR="00284C0B">
        <w:t xml:space="preserve"> </w:t>
      </w:r>
    </w:p>
    <w:p w14:paraId="307E9A72" w14:textId="5753BFE9" w:rsidR="00910DDB" w:rsidRPr="00EB561B" w:rsidRDefault="00910DDB" w:rsidP="00735E20">
      <w:r w:rsidRPr="00EB561B">
        <w:t>For guidance – for full information refer to</w:t>
      </w:r>
      <w:r w:rsidR="00B054A1" w:rsidRPr="00EB561B">
        <w:t xml:space="preserve"> individual SPCs available at</w:t>
      </w:r>
      <w:r w:rsidRPr="00EB561B">
        <w:t xml:space="preserve"> </w:t>
      </w:r>
      <w:hyperlink r:id="rId8" w:history="1">
        <w:r w:rsidRPr="00EB561B">
          <w:rPr>
            <w:rStyle w:val="Hyperlink"/>
            <w:rFonts w:asciiTheme="majorHAnsi" w:hAnsiTheme="majorHAnsi" w:cstheme="majorHAnsi"/>
            <w:szCs w:val="22"/>
          </w:rPr>
          <w:t>www.medicines.org.uk</w:t>
        </w:r>
      </w:hyperlink>
    </w:p>
    <w:p w14:paraId="42F640A9" w14:textId="2E839E33" w:rsidR="00B054A1" w:rsidRPr="00EB561B" w:rsidRDefault="00B054A1" w:rsidP="00735E20">
      <w:pPr>
        <w:rPr>
          <w:b/>
        </w:rPr>
      </w:pPr>
      <w:bookmarkStart w:id="12" w:name="_Toc96868242"/>
      <w:bookmarkStart w:id="13" w:name="_Toc96966520"/>
      <w:bookmarkStart w:id="14" w:name="_Toc96966687"/>
      <w:bookmarkStart w:id="15" w:name="_Toc96966788"/>
      <w:bookmarkStart w:id="16" w:name="_Toc96967068"/>
      <w:bookmarkStart w:id="17" w:name="_Toc96967115"/>
      <w:bookmarkStart w:id="18" w:name="_Toc99387337"/>
      <w:bookmarkStart w:id="19" w:name="_Toc102142790"/>
      <w:bookmarkStart w:id="20" w:name="_Toc102563003"/>
      <w:bookmarkStart w:id="21" w:name="_Toc104910439"/>
      <w:bookmarkStart w:id="22" w:name="_Toc363736355"/>
      <w:bookmarkStart w:id="23" w:name="_Toc363736441"/>
      <w:r w:rsidRPr="00EB561B">
        <w:t>The tables in the rest of th</w:t>
      </w:r>
      <w:r w:rsidR="008A4A42" w:rsidRPr="00EB561B">
        <w:t>i</w:t>
      </w:r>
      <w:r w:rsidRPr="00EB561B">
        <w:t xml:space="preserve">s document highlight the differences between the different </w:t>
      </w:r>
      <w:r w:rsidR="00993D77" w:rsidRPr="00EB561B">
        <w:t>DOAC</w:t>
      </w:r>
      <w:r w:rsidRPr="00EB561B">
        <w:t>s</w:t>
      </w:r>
      <w:r w:rsidR="000C7431" w:rsidRPr="00EB561B">
        <w:t xml:space="preserve"> and warfarin</w:t>
      </w:r>
      <w:r w:rsidRPr="00EB561B">
        <w:t>.</w:t>
      </w:r>
      <w:bookmarkEnd w:id="12"/>
      <w:bookmarkEnd w:id="13"/>
      <w:bookmarkEnd w:id="14"/>
      <w:bookmarkEnd w:id="15"/>
      <w:bookmarkEnd w:id="16"/>
      <w:bookmarkEnd w:id="17"/>
      <w:bookmarkEnd w:id="18"/>
      <w:bookmarkEnd w:id="19"/>
      <w:bookmarkEnd w:id="20"/>
      <w:bookmarkEnd w:id="21"/>
    </w:p>
    <w:bookmarkEnd w:id="22"/>
    <w:bookmarkEnd w:id="23"/>
    <w:p w14:paraId="4D8466B1" w14:textId="033FE757" w:rsidR="005A0E86" w:rsidRDefault="00413C8F" w:rsidP="005A0E86">
      <w:pPr>
        <w:pStyle w:val="TOC1"/>
        <w:rPr>
          <w:rFonts w:asciiTheme="minorHAnsi" w:eastAsiaTheme="minorEastAsia" w:hAnsiTheme="minorHAnsi" w:cstheme="minorBidi"/>
          <w:b w:val="0"/>
          <w:bCs w:val="0"/>
          <w:caps w:val="0"/>
          <w:noProof/>
          <w:szCs w:val="22"/>
          <w:lang w:eastAsia="en-GB"/>
        </w:rPr>
      </w:pPr>
      <w:r w:rsidRPr="00413C8F">
        <w:fldChar w:fldCharType="begin"/>
      </w:r>
      <w:r w:rsidRPr="00413C8F">
        <w:instrText xml:space="preserve"> TOC \o "1-2" \h \z \u </w:instrText>
      </w:r>
      <w:r w:rsidRPr="00413C8F">
        <w:fldChar w:fldCharType="separate"/>
      </w:r>
    </w:p>
    <w:p w14:paraId="6B647674" w14:textId="7FF446B7" w:rsidR="009C3764" w:rsidRDefault="009C3764">
      <w:pPr>
        <w:pStyle w:val="TOC1"/>
        <w:rPr>
          <w:rFonts w:asciiTheme="minorHAnsi" w:eastAsiaTheme="minorEastAsia" w:hAnsiTheme="minorHAnsi" w:cstheme="minorBidi"/>
          <w:b w:val="0"/>
          <w:bCs w:val="0"/>
          <w:caps w:val="0"/>
          <w:noProof/>
          <w:szCs w:val="22"/>
          <w:lang w:eastAsia="en-GB"/>
        </w:rPr>
      </w:pPr>
    </w:p>
    <w:p w14:paraId="08213E66" w14:textId="1F587A31" w:rsidR="009C3764" w:rsidRPr="00973B94" w:rsidRDefault="00777693">
      <w:pPr>
        <w:pStyle w:val="TOC2"/>
        <w:rPr>
          <w:rFonts w:ascii="Arial" w:eastAsiaTheme="minorEastAsia" w:hAnsi="Arial" w:cs="Arial"/>
          <w:b w:val="0"/>
          <w:bCs w:val="0"/>
          <w:noProof/>
          <w:sz w:val="24"/>
          <w:szCs w:val="24"/>
          <w:lang w:eastAsia="en-GB"/>
        </w:rPr>
      </w:pPr>
      <w:hyperlink w:anchor="_Toc106708888" w:history="1">
        <w:r w:rsidR="009C3764" w:rsidRPr="00973B94">
          <w:rPr>
            <w:rStyle w:val="Hyperlink"/>
            <w:rFonts w:ascii="Arial" w:hAnsi="Arial" w:cs="Arial"/>
            <w:noProof/>
            <w:sz w:val="24"/>
            <w:szCs w:val="24"/>
          </w:rPr>
          <w:t>Licensed indication and NICE recommendations</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_Toc106708888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2</w:t>
        </w:r>
        <w:r w:rsidR="009C3764" w:rsidRPr="00973B94">
          <w:rPr>
            <w:rFonts w:ascii="Arial" w:hAnsi="Arial" w:cs="Arial"/>
            <w:noProof/>
            <w:webHidden/>
            <w:sz w:val="24"/>
            <w:szCs w:val="24"/>
          </w:rPr>
          <w:fldChar w:fldCharType="end"/>
        </w:r>
      </w:hyperlink>
    </w:p>
    <w:p w14:paraId="7E638513" w14:textId="6145EA8C" w:rsidR="009C3764" w:rsidRPr="00973B94" w:rsidRDefault="00777693">
      <w:pPr>
        <w:pStyle w:val="TOC2"/>
        <w:rPr>
          <w:rFonts w:ascii="Arial" w:eastAsiaTheme="minorEastAsia" w:hAnsi="Arial" w:cs="Arial"/>
          <w:b w:val="0"/>
          <w:bCs w:val="0"/>
          <w:noProof/>
          <w:sz w:val="24"/>
          <w:szCs w:val="24"/>
          <w:lang w:eastAsia="en-GB"/>
        </w:rPr>
      </w:pPr>
      <w:hyperlink w:anchor="_Toc106708889" w:history="1">
        <w:r w:rsidR="009C3764" w:rsidRPr="00973B94">
          <w:rPr>
            <w:rStyle w:val="Hyperlink"/>
            <w:rFonts w:ascii="Arial" w:hAnsi="Arial" w:cs="Arial"/>
            <w:noProof/>
            <w:sz w:val="24"/>
            <w:szCs w:val="24"/>
          </w:rPr>
          <w:t>Mode of action</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_Toc106708889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3</w:t>
        </w:r>
        <w:r w:rsidR="009C3764" w:rsidRPr="00973B94">
          <w:rPr>
            <w:rFonts w:ascii="Arial" w:hAnsi="Arial" w:cs="Arial"/>
            <w:noProof/>
            <w:webHidden/>
            <w:sz w:val="24"/>
            <w:szCs w:val="24"/>
          </w:rPr>
          <w:fldChar w:fldCharType="end"/>
        </w:r>
      </w:hyperlink>
    </w:p>
    <w:p w14:paraId="4AF528AE" w14:textId="121FC537" w:rsidR="009C3764" w:rsidRPr="00973B94" w:rsidRDefault="00777693">
      <w:pPr>
        <w:pStyle w:val="TOC2"/>
        <w:rPr>
          <w:rFonts w:ascii="Arial" w:eastAsiaTheme="minorEastAsia" w:hAnsi="Arial" w:cs="Arial"/>
          <w:b w:val="0"/>
          <w:bCs w:val="0"/>
          <w:noProof/>
          <w:sz w:val="24"/>
          <w:szCs w:val="24"/>
          <w:lang w:eastAsia="en-GB"/>
        </w:rPr>
      </w:pPr>
      <w:hyperlink w:anchor="_Toc106708890" w:history="1">
        <w:r w:rsidR="009C3764" w:rsidRPr="00973B94">
          <w:rPr>
            <w:rStyle w:val="Hyperlink"/>
            <w:rFonts w:ascii="Arial" w:hAnsi="Arial" w:cs="Arial"/>
            <w:noProof/>
            <w:sz w:val="24"/>
            <w:szCs w:val="24"/>
          </w:rPr>
          <w:t>Preparation (oral tablets or capsules)</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_Toc106708890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3</w:t>
        </w:r>
        <w:r w:rsidR="009C3764" w:rsidRPr="00973B94">
          <w:rPr>
            <w:rFonts w:ascii="Arial" w:hAnsi="Arial" w:cs="Arial"/>
            <w:noProof/>
            <w:webHidden/>
            <w:sz w:val="24"/>
            <w:szCs w:val="24"/>
          </w:rPr>
          <w:fldChar w:fldCharType="end"/>
        </w:r>
      </w:hyperlink>
    </w:p>
    <w:p w14:paraId="3A2681F0" w14:textId="3ABCB354" w:rsidR="009C3764" w:rsidRPr="00973B94" w:rsidRDefault="00777693">
      <w:pPr>
        <w:pStyle w:val="TOC2"/>
        <w:rPr>
          <w:rFonts w:ascii="Arial" w:eastAsiaTheme="minorEastAsia" w:hAnsi="Arial" w:cs="Arial"/>
          <w:b w:val="0"/>
          <w:bCs w:val="0"/>
          <w:noProof/>
          <w:sz w:val="24"/>
          <w:szCs w:val="24"/>
          <w:lang w:eastAsia="en-GB"/>
        </w:rPr>
      </w:pPr>
      <w:hyperlink w:anchor="_Toc106708891" w:history="1">
        <w:r w:rsidR="009C3764" w:rsidRPr="00973B94">
          <w:rPr>
            <w:rStyle w:val="Hyperlink"/>
            <w:rFonts w:ascii="Arial" w:hAnsi="Arial" w:cs="Arial"/>
            <w:noProof/>
            <w:sz w:val="24"/>
            <w:szCs w:val="24"/>
          </w:rPr>
          <w:t>Difficulty swallowing medication</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_Toc106708891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4</w:t>
        </w:r>
        <w:r w:rsidR="009C3764" w:rsidRPr="00973B94">
          <w:rPr>
            <w:rFonts w:ascii="Arial" w:hAnsi="Arial" w:cs="Arial"/>
            <w:noProof/>
            <w:webHidden/>
            <w:sz w:val="24"/>
            <w:szCs w:val="24"/>
          </w:rPr>
          <w:fldChar w:fldCharType="end"/>
        </w:r>
      </w:hyperlink>
    </w:p>
    <w:p w14:paraId="7253AF26" w14:textId="24511120" w:rsidR="009C3764" w:rsidRPr="00973B94" w:rsidRDefault="00777693">
      <w:pPr>
        <w:pStyle w:val="TOC1"/>
        <w:rPr>
          <w:rFonts w:ascii="Arial" w:eastAsiaTheme="minorEastAsia" w:hAnsi="Arial" w:cs="Arial"/>
          <w:b w:val="0"/>
          <w:bCs w:val="0"/>
          <w:caps w:val="0"/>
          <w:noProof/>
          <w:sz w:val="24"/>
          <w:lang w:eastAsia="en-GB"/>
        </w:rPr>
      </w:pPr>
      <w:hyperlink w:anchor="_Toc106708892" w:history="1">
        <w:r w:rsidR="005A0E86" w:rsidRPr="00973B94">
          <w:rPr>
            <w:rStyle w:val="Hyperlink"/>
            <w:rFonts w:ascii="Arial" w:hAnsi="Arial" w:cs="Arial"/>
            <w:caps w:val="0"/>
            <w:noProof/>
            <w:sz w:val="24"/>
          </w:rPr>
          <w:t>Calculating DOAC dosages</w:t>
        </w:r>
        <w:r w:rsidR="001D0AFD">
          <w:rPr>
            <w:rStyle w:val="Hyperlink"/>
            <w:rFonts w:ascii="Arial" w:hAnsi="Arial" w:cs="Arial"/>
            <w:caps w:val="0"/>
            <w:noProof/>
            <w:sz w:val="24"/>
          </w:rPr>
          <w:t xml:space="preserve"> </w:t>
        </w:r>
        <w:r w:rsidR="00870828">
          <w:rPr>
            <w:rStyle w:val="Hyperlink"/>
            <w:rFonts w:ascii="Arial" w:hAnsi="Arial" w:cs="Arial"/>
            <w:caps w:val="0"/>
            <w:noProof/>
            <w:sz w:val="24"/>
          </w:rPr>
          <w:t>……………………………………………………………..</w:t>
        </w:r>
        <w:r w:rsidR="009C3764" w:rsidRPr="00973B94">
          <w:rPr>
            <w:rFonts w:ascii="Arial" w:hAnsi="Arial" w:cs="Arial"/>
            <w:noProof/>
            <w:webHidden/>
            <w:sz w:val="24"/>
          </w:rPr>
          <w:tab/>
        </w:r>
        <w:r w:rsidR="009C3764" w:rsidRPr="00973B94">
          <w:rPr>
            <w:rFonts w:ascii="Arial" w:hAnsi="Arial" w:cs="Arial"/>
            <w:noProof/>
            <w:webHidden/>
            <w:sz w:val="24"/>
          </w:rPr>
          <w:fldChar w:fldCharType="begin"/>
        </w:r>
        <w:r w:rsidR="009C3764" w:rsidRPr="00973B94">
          <w:rPr>
            <w:rFonts w:ascii="Arial" w:hAnsi="Arial" w:cs="Arial"/>
            <w:noProof/>
            <w:webHidden/>
            <w:sz w:val="24"/>
          </w:rPr>
          <w:instrText xml:space="preserve"> PAGEREF _Toc106708892 \h </w:instrText>
        </w:r>
        <w:r w:rsidR="009C3764" w:rsidRPr="00973B94">
          <w:rPr>
            <w:rFonts w:ascii="Arial" w:hAnsi="Arial" w:cs="Arial"/>
            <w:noProof/>
            <w:webHidden/>
            <w:sz w:val="24"/>
          </w:rPr>
        </w:r>
        <w:r w:rsidR="009C3764" w:rsidRPr="00973B94">
          <w:rPr>
            <w:rFonts w:ascii="Arial" w:hAnsi="Arial" w:cs="Arial"/>
            <w:noProof/>
            <w:webHidden/>
            <w:sz w:val="24"/>
          </w:rPr>
          <w:fldChar w:fldCharType="separate"/>
        </w:r>
        <w:r w:rsidR="00C1186A">
          <w:rPr>
            <w:rFonts w:ascii="Arial" w:hAnsi="Arial" w:cs="Arial"/>
            <w:noProof/>
            <w:webHidden/>
            <w:sz w:val="24"/>
          </w:rPr>
          <w:t>5</w:t>
        </w:r>
        <w:r w:rsidR="009C3764" w:rsidRPr="00973B94">
          <w:rPr>
            <w:rFonts w:ascii="Arial" w:hAnsi="Arial" w:cs="Arial"/>
            <w:noProof/>
            <w:webHidden/>
            <w:sz w:val="24"/>
          </w:rPr>
          <w:fldChar w:fldCharType="end"/>
        </w:r>
      </w:hyperlink>
    </w:p>
    <w:p w14:paraId="0F733247" w14:textId="673DC94C" w:rsidR="009C3764" w:rsidRPr="00973B94" w:rsidRDefault="00777693">
      <w:pPr>
        <w:pStyle w:val="TOC2"/>
        <w:rPr>
          <w:rFonts w:ascii="Arial" w:eastAsiaTheme="minorEastAsia" w:hAnsi="Arial" w:cs="Arial"/>
          <w:b w:val="0"/>
          <w:bCs w:val="0"/>
          <w:noProof/>
          <w:sz w:val="24"/>
          <w:szCs w:val="24"/>
          <w:lang w:eastAsia="en-GB"/>
        </w:rPr>
      </w:pPr>
      <w:hyperlink w:anchor="_Toc106708893" w:history="1">
        <w:r w:rsidR="009C3764" w:rsidRPr="00973B94">
          <w:rPr>
            <w:rStyle w:val="Hyperlink"/>
            <w:rFonts w:ascii="Arial" w:hAnsi="Arial" w:cs="Arial"/>
            <w:noProof/>
            <w:sz w:val="24"/>
            <w:szCs w:val="24"/>
          </w:rPr>
          <w:t>Renal function</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_Toc106708893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5</w:t>
        </w:r>
        <w:r w:rsidR="009C3764" w:rsidRPr="00973B94">
          <w:rPr>
            <w:rFonts w:ascii="Arial" w:hAnsi="Arial" w:cs="Arial"/>
            <w:noProof/>
            <w:webHidden/>
            <w:sz w:val="24"/>
            <w:szCs w:val="24"/>
          </w:rPr>
          <w:fldChar w:fldCharType="end"/>
        </w:r>
      </w:hyperlink>
    </w:p>
    <w:p w14:paraId="515C8FCE" w14:textId="32042EE1" w:rsidR="009C3764" w:rsidRPr="00973B94" w:rsidRDefault="00777693">
      <w:pPr>
        <w:pStyle w:val="TOC2"/>
        <w:rPr>
          <w:rFonts w:ascii="Arial" w:eastAsiaTheme="minorEastAsia" w:hAnsi="Arial" w:cs="Arial"/>
          <w:b w:val="0"/>
          <w:bCs w:val="0"/>
          <w:noProof/>
          <w:sz w:val="24"/>
          <w:szCs w:val="24"/>
          <w:lang w:eastAsia="en-GB"/>
        </w:rPr>
      </w:pPr>
      <w:hyperlink w:anchor="_Toc106708894" w:history="1">
        <w:r w:rsidR="009C3764" w:rsidRPr="00973B94">
          <w:rPr>
            <w:rStyle w:val="Hyperlink"/>
            <w:rFonts w:ascii="Arial" w:hAnsi="Arial" w:cs="Arial"/>
            <w:noProof/>
            <w:sz w:val="24"/>
            <w:szCs w:val="24"/>
          </w:rPr>
          <w:t>Dosages in renal impairment</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_Toc106708894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6</w:t>
        </w:r>
        <w:r w:rsidR="009C3764" w:rsidRPr="00973B94">
          <w:rPr>
            <w:rFonts w:ascii="Arial" w:hAnsi="Arial" w:cs="Arial"/>
            <w:noProof/>
            <w:webHidden/>
            <w:sz w:val="24"/>
            <w:szCs w:val="24"/>
          </w:rPr>
          <w:fldChar w:fldCharType="end"/>
        </w:r>
      </w:hyperlink>
    </w:p>
    <w:p w14:paraId="6705ACA6" w14:textId="0F64E660" w:rsidR="009C3764" w:rsidRPr="00973B94" w:rsidRDefault="00777693">
      <w:pPr>
        <w:pStyle w:val="TOC2"/>
        <w:rPr>
          <w:rFonts w:ascii="Arial" w:eastAsiaTheme="minorEastAsia" w:hAnsi="Arial" w:cs="Arial"/>
          <w:b w:val="0"/>
          <w:bCs w:val="0"/>
          <w:noProof/>
          <w:sz w:val="24"/>
          <w:szCs w:val="24"/>
          <w:lang w:eastAsia="en-GB"/>
        </w:rPr>
      </w:pPr>
      <w:hyperlink w:anchor="_Toc106708895" w:history="1">
        <w:r w:rsidR="009C3764" w:rsidRPr="00973B94">
          <w:rPr>
            <w:rStyle w:val="Hyperlink"/>
            <w:rFonts w:ascii="Arial" w:hAnsi="Arial" w:cs="Arial"/>
            <w:noProof/>
            <w:sz w:val="24"/>
            <w:szCs w:val="24"/>
          </w:rPr>
          <w:t>Dose in AF</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_Toc106708895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7</w:t>
        </w:r>
        <w:r w:rsidR="009C3764" w:rsidRPr="00973B94">
          <w:rPr>
            <w:rFonts w:ascii="Arial" w:hAnsi="Arial" w:cs="Arial"/>
            <w:noProof/>
            <w:webHidden/>
            <w:sz w:val="24"/>
            <w:szCs w:val="24"/>
          </w:rPr>
          <w:fldChar w:fldCharType="end"/>
        </w:r>
      </w:hyperlink>
    </w:p>
    <w:p w14:paraId="5FBD3BD6" w14:textId="285595B2" w:rsidR="009C3764" w:rsidRPr="00973B94" w:rsidRDefault="00777693">
      <w:pPr>
        <w:pStyle w:val="TOC2"/>
        <w:rPr>
          <w:rFonts w:ascii="Arial" w:eastAsiaTheme="minorEastAsia" w:hAnsi="Arial" w:cs="Arial"/>
          <w:b w:val="0"/>
          <w:bCs w:val="0"/>
          <w:noProof/>
          <w:sz w:val="24"/>
          <w:szCs w:val="24"/>
          <w:lang w:eastAsia="en-GB"/>
        </w:rPr>
      </w:pPr>
      <w:hyperlink w:anchor="_Toc106708896" w:history="1">
        <w:r w:rsidR="009C3764" w:rsidRPr="00973B94">
          <w:rPr>
            <w:rStyle w:val="Hyperlink"/>
            <w:rFonts w:ascii="Arial" w:hAnsi="Arial" w:cs="Arial"/>
            <w:noProof/>
            <w:sz w:val="24"/>
            <w:szCs w:val="24"/>
          </w:rPr>
          <w:t>Dose in treatment and prevention of DVT and PE</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_Toc106708896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8</w:t>
        </w:r>
        <w:r w:rsidR="009C3764" w:rsidRPr="00973B94">
          <w:rPr>
            <w:rFonts w:ascii="Arial" w:hAnsi="Arial" w:cs="Arial"/>
            <w:noProof/>
            <w:webHidden/>
            <w:sz w:val="24"/>
            <w:szCs w:val="24"/>
          </w:rPr>
          <w:fldChar w:fldCharType="end"/>
        </w:r>
      </w:hyperlink>
    </w:p>
    <w:p w14:paraId="79AD7148" w14:textId="5879753A" w:rsidR="009C3764" w:rsidRPr="00973B94" w:rsidRDefault="00777693">
      <w:pPr>
        <w:pStyle w:val="TOC2"/>
        <w:rPr>
          <w:rFonts w:ascii="Arial" w:eastAsiaTheme="minorEastAsia" w:hAnsi="Arial" w:cs="Arial"/>
          <w:b w:val="0"/>
          <w:bCs w:val="0"/>
          <w:noProof/>
          <w:sz w:val="24"/>
          <w:szCs w:val="24"/>
          <w:lang w:eastAsia="en-GB"/>
        </w:rPr>
      </w:pPr>
      <w:hyperlink w:anchor="_Toc106708897" w:history="1">
        <w:r w:rsidR="009C3764" w:rsidRPr="00973B94">
          <w:rPr>
            <w:rStyle w:val="Hyperlink"/>
            <w:rFonts w:ascii="Arial" w:hAnsi="Arial" w:cs="Arial"/>
            <w:noProof/>
            <w:sz w:val="24"/>
            <w:szCs w:val="24"/>
          </w:rPr>
          <w:t>VTE prevention post-surgery</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_Toc106708897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9</w:t>
        </w:r>
        <w:r w:rsidR="009C3764" w:rsidRPr="00973B94">
          <w:rPr>
            <w:rFonts w:ascii="Arial" w:hAnsi="Arial" w:cs="Arial"/>
            <w:noProof/>
            <w:webHidden/>
            <w:sz w:val="24"/>
            <w:szCs w:val="24"/>
          </w:rPr>
          <w:fldChar w:fldCharType="end"/>
        </w:r>
      </w:hyperlink>
    </w:p>
    <w:p w14:paraId="0DDFD09E" w14:textId="15EB90E6" w:rsidR="009C3764" w:rsidRPr="00973B94" w:rsidRDefault="00777693">
      <w:pPr>
        <w:pStyle w:val="TOC2"/>
        <w:rPr>
          <w:rFonts w:ascii="Arial" w:eastAsiaTheme="minorEastAsia" w:hAnsi="Arial" w:cs="Arial"/>
          <w:b w:val="0"/>
          <w:bCs w:val="0"/>
          <w:noProof/>
          <w:sz w:val="24"/>
          <w:szCs w:val="24"/>
          <w:lang w:eastAsia="en-GB"/>
        </w:rPr>
      </w:pPr>
      <w:hyperlink w:anchor="_Toc106708898" w:history="1">
        <w:r w:rsidR="009C3764" w:rsidRPr="00973B94">
          <w:rPr>
            <w:rStyle w:val="Hyperlink"/>
            <w:rFonts w:ascii="Arial" w:hAnsi="Arial" w:cs="Arial"/>
            <w:noProof/>
            <w:sz w:val="24"/>
            <w:szCs w:val="24"/>
          </w:rPr>
          <w:t>Acute coronary syndrome</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_Toc106708898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10</w:t>
        </w:r>
        <w:r w:rsidR="009C3764" w:rsidRPr="00973B94">
          <w:rPr>
            <w:rFonts w:ascii="Arial" w:hAnsi="Arial" w:cs="Arial"/>
            <w:noProof/>
            <w:webHidden/>
            <w:sz w:val="24"/>
            <w:szCs w:val="24"/>
          </w:rPr>
          <w:fldChar w:fldCharType="end"/>
        </w:r>
      </w:hyperlink>
    </w:p>
    <w:p w14:paraId="5E5301CE" w14:textId="0F2C41A9" w:rsidR="009C3764" w:rsidRPr="00973B94" w:rsidRDefault="00777693">
      <w:pPr>
        <w:pStyle w:val="TOC2"/>
        <w:rPr>
          <w:rFonts w:ascii="Arial" w:eastAsiaTheme="minorEastAsia" w:hAnsi="Arial" w:cs="Arial"/>
          <w:b w:val="0"/>
          <w:bCs w:val="0"/>
          <w:noProof/>
          <w:sz w:val="24"/>
          <w:szCs w:val="24"/>
          <w:lang w:eastAsia="en-GB"/>
        </w:rPr>
      </w:pPr>
      <w:hyperlink w:anchor="_Toc106708899" w:history="1">
        <w:r w:rsidR="009C3764" w:rsidRPr="00973B94">
          <w:rPr>
            <w:rStyle w:val="Hyperlink"/>
            <w:rFonts w:ascii="Arial" w:hAnsi="Arial" w:cs="Arial"/>
            <w:noProof/>
            <w:sz w:val="24"/>
            <w:szCs w:val="24"/>
          </w:rPr>
          <w:t>Dosage in extremes of body weight</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_Toc106708899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10</w:t>
        </w:r>
        <w:r w:rsidR="009C3764" w:rsidRPr="00973B94">
          <w:rPr>
            <w:rFonts w:ascii="Arial" w:hAnsi="Arial" w:cs="Arial"/>
            <w:noProof/>
            <w:webHidden/>
            <w:sz w:val="24"/>
            <w:szCs w:val="24"/>
          </w:rPr>
          <w:fldChar w:fldCharType="end"/>
        </w:r>
      </w:hyperlink>
    </w:p>
    <w:p w14:paraId="317935D2" w14:textId="34A0D106" w:rsidR="009C3764" w:rsidRPr="00973B94" w:rsidRDefault="00777693">
      <w:pPr>
        <w:pStyle w:val="TOC2"/>
        <w:rPr>
          <w:rFonts w:ascii="Arial" w:eastAsiaTheme="minorEastAsia" w:hAnsi="Arial" w:cs="Arial"/>
          <w:b w:val="0"/>
          <w:bCs w:val="0"/>
          <w:noProof/>
          <w:sz w:val="24"/>
          <w:szCs w:val="24"/>
          <w:lang w:eastAsia="en-GB"/>
        </w:rPr>
      </w:pPr>
      <w:hyperlink w:anchor="_Toc106708900" w:history="1">
        <w:r w:rsidR="009C3764" w:rsidRPr="00973B94">
          <w:rPr>
            <w:rStyle w:val="Hyperlink"/>
            <w:rFonts w:ascii="Arial" w:hAnsi="Arial" w:cs="Arial"/>
            <w:noProof/>
            <w:sz w:val="24"/>
            <w:szCs w:val="24"/>
          </w:rPr>
          <w:t>Method of administration</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_Toc106708900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10</w:t>
        </w:r>
        <w:r w:rsidR="009C3764" w:rsidRPr="00973B94">
          <w:rPr>
            <w:rFonts w:ascii="Arial" w:hAnsi="Arial" w:cs="Arial"/>
            <w:noProof/>
            <w:webHidden/>
            <w:sz w:val="24"/>
            <w:szCs w:val="24"/>
          </w:rPr>
          <w:fldChar w:fldCharType="end"/>
        </w:r>
      </w:hyperlink>
    </w:p>
    <w:p w14:paraId="1212880B" w14:textId="76429D4B" w:rsidR="009C3764" w:rsidRPr="00973B94" w:rsidRDefault="00777693">
      <w:pPr>
        <w:pStyle w:val="TOC2"/>
        <w:rPr>
          <w:rFonts w:ascii="Arial" w:eastAsiaTheme="minorEastAsia" w:hAnsi="Arial" w:cs="Arial"/>
          <w:b w:val="0"/>
          <w:bCs w:val="0"/>
          <w:noProof/>
          <w:sz w:val="24"/>
          <w:szCs w:val="24"/>
          <w:lang w:eastAsia="en-GB"/>
        </w:rPr>
      </w:pPr>
      <w:hyperlink w:anchor="_Toc106708901" w:history="1">
        <w:r w:rsidR="009C3764" w:rsidRPr="00973B94">
          <w:rPr>
            <w:rStyle w:val="Hyperlink"/>
            <w:rFonts w:ascii="Arial" w:hAnsi="Arial" w:cs="Arial"/>
            <w:noProof/>
            <w:sz w:val="24"/>
            <w:szCs w:val="24"/>
          </w:rPr>
          <w:t>Reversibility</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_Toc106708901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11</w:t>
        </w:r>
        <w:r w:rsidR="009C3764" w:rsidRPr="00973B94">
          <w:rPr>
            <w:rFonts w:ascii="Arial" w:hAnsi="Arial" w:cs="Arial"/>
            <w:noProof/>
            <w:webHidden/>
            <w:sz w:val="24"/>
            <w:szCs w:val="24"/>
          </w:rPr>
          <w:fldChar w:fldCharType="end"/>
        </w:r>
      </w:hyperlink>
    </w:p>
    <w:p w14:paraId="6BF9BDCC" w14:textId="375E7975" w:rsidR="009C3764" w:rsidRPr="00973B94" w:rsidRDefault="00777693">
      <w:pPr>
        <w:pStyle w:val="TOC2"/>
        <w:rPr>
          <w:rFonts w:ascii="Arial" w:eastAsiaTheme="minorEastAsia" w:hAnsi="Arial" w:cs="Arial"/>
          <w:b w:val="0"/>
          <w:bCs w:val="0"/>
          <w:noProof/>
          <w:sz w:val="24"/>
          <w:szCs w:val="24"/>
          <w:lang w:eastAsia="en-GB"/>
        </w:rPr>
      </w:pPr>
      <w:hyperlink w:anchor="_Toc106708902" w:history="1">
        <w:r w:rsidR="009C3764" w:rsidRPr="00973B94">
          <w:rPr>
            <w:rStyle w:val="Hyperlink"/>
            <w:rFonts w:ascii="Arial" w:hAnsi="Arial" w:cs="Arial"/>
            <w:noProof/>
            <w:sz w:val="24"/>
            <w:szCs w:val="24"/>
          </w:rPr>
          <w:t>Reversal of anticoagulation</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_Toc106708902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12</w:t>
        </w:r>
        <w:r w:rsidR="009C3764" w:rsidRPr="00973B94">
          <w:rPr>
            <w:rFonts w:ascii="Arial" w:hAnsi="Arial" w:cs="Arial"/>
            <w:noProof/>
            <w:webHidden/>
            <w:sz w:val="24"/>
            <w:szCs w:val="24"/>
          </w:rPr>
          <w:fldChar w:fldCharType="end"/>
        </w:r>
      </w:hyperlink>
    </w:p>
    <w:p w14:paraId="66F336F7" w14:textId="740CC0D9" w:rsidR="009C3764" w:rsidRPr="00973B94" w:rsidRDefault="00777693">
      <w:pPr>
        <w:pStyle w:val="TOC2"/>
        <w:rPr>
          <w:rFonts w:ascii="Arial" w:eastAsiaTheme="minorEastAsia" w:hAnsi="Arial" w:cs="Arial"/>
          <w:b w:val="0"/>
          <w:bCs w:val="0"/>
          <w:noProof/>
          <w:sz w:val="24"/>
          <w:szCs w:val="24"/>
          <w:lang w:eastAsia="en-GB"/>
        </w:rPr>
      </w:pPr>
      <w:hyperlink w:anchor="_Toc106708903" w:history="1">
        <w:r w:rsidR="009C3764" w:rsidRPr="00973B94">
          <w:rPr>
            <w:rStyle w:val="Hyperlink"/>
            <w:rFonts w:ascii="Arial" w:hAnsi="Arial" w:cs="Arial"/>
            <w:noProof/>
            <w:sz w:val="24"/>
            <w:szCs w:val="24"/>
          </w:rPr>
          <w:t>Conversion from warfarin to DOAC</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_Toc106708903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13</w:t>
        </w:r>
        <w:r w:rsidR="009C3764" w:rsidRPr="00973B94">
          <w:rPr>
            <w:rFonts w:ascii="Arial" w:hAnsi="Arial" w:cs="Arial"/>
            <w:noProof/>
            <w:webHidden/>
            <w:sz w:val="24"/>
            <w:szCs w:val="24"/>
          </w:rPr>
          <w:fldChar w:fldCharType="end"/>
        </w:r>
      </w:hyperlink>
    </w:p>
    <w:p w14:paraId="1B908550" w14:textId="0479F7A0" w:rsidR="009C3764" w:rsidRPr="00973B94" w:rsidRDefault="00777693">
      <w:pPr>
        <w:pStyle w:val="TOC2"/>
        <w:rPr>
          <w:rFonts w:ascii="Arial" w:eastAsiaTheme="minorEastAsia" w:hAnsi="Arial" w:cs="Arial"/>
          <w:b w:val="0"/>
          <w:bCs w:val="0"/>
          <w:noProof/>
          <w:sz w:val="24"/>
          <w:szCs w:val="24"/>
          <w:lang w:eastAsia="en-GB"/>
        </w:rPr>
      </w:pPr>
      <w:hyperlink w:anchor="_Toc106708904" w:history="1">
        <w:r w:rsidR="009C3764" w:rsidRPr="00973B94">
          <w:rPr>
            <w:rStyle w:val="Hyperlink"/>
            <w:rFonts w:ascii="Arial" w:hAnsi="Arial" w:cs="Arial"/>
            <w:noProof/>
            <w:sz w:val="24"/>
            <w:szCs w:val="24"/>
          </w:rPr>
          <w:t>Conversion from DOAC to warfarin</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_Toc106708904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14</w:t>
        </w:r>
        <w:r w:rsidR="009C3764" w:rsidRPr="00973B94">
          <w:rPr>
            <w:rFonts w:ascii="Arial" w:hAnsi="Arial" w:cs="Arial"/>
            <w:noProof/>
            <w:webHidden/>
            <w:sz w:val="24"/>
            <w:szCs w:val="24"/>
          </w:rPr>
          <w:fldChar w:fldCharType="end"/>
        </w:r>
      </w:hyperlink>
    </w:p>
    <w:p w14:paraId="125710E7" w14:textId="3E7CAD90" w:rsidR="009C3764" w:rsidRPr="00973B94" w:rsidRDefault="00777693">
      <w:pPr>
        <w:pStyle w:val="TOC2"/>
        <w:rPr>
          <w:rFonts w:ascii="Arial" w:eastAsiaTheme="minorEastAsia" w:hAnsi="Arial" w:cs="Arial"/>
          <w:b w:val="0"/>
          <w:bCs w:val="0"/>
          <w:noProof/>
          <w:sz w:val="24"/>
          <w:szCs w:val="24"/>
          <w:lang w:eastAsia="en-GB"/>
        </w:rPr>
      </w:pPr>
      <w:hyperlink w:anchor="_Toc106708905" w:history="1">
        <w:r w:rsidR="009C3764" w:rsidRPr="00973B94">
          <w:rPr>
            <w:rStyle w:val="Hyperlink"/>
            <w:rFonts w:ascii="Arial" w:hAnsi="Arial" w:cs="Arial"/>
            <w:noProof/>
            <w:sz w:val="24"/>
            <w:szCs w:val="24"/>
          </w:rPr>
          <w:t>Conversion from DOAC to edoxaban</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_Toc106708905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15</w:t>
        </w:r>
        <w:r w:rsidR="009C3764" w:rsidRPr="00973B94">
          <w:rPr>
            <w:rFonts w:ascii="Arial" w:hAnsi="Arial" w:cs="Arial"/>
            <w:noProof/>
            <w:webHidden/>
            <w:sz w:val="24"/>
            <w:szCs w:val="24"/>
          </w:rPr>
          <w:fldChar w:fldCharType="end"/>
        </w:r>
      </w:hyperlink>
    </w:p>
    <w:p w14:paraId="3130224B" w14:textId="3EC53486" w:rsidR="009C3764" w:rsidRPr="00973B94" w:rsidRDefault="00777693">
      <w:pPr>
        <w:pStyle w:val="TOC2"/>
        <w:rPr>
          <w:rFonts w:ascii="Arial" w:eastAsiaTheme="minorEastAsia" w:hAnsi="Arial" w:cs="Arial"/>
          <w:b w:val="0"/>
          <w:bCs w:val="0"/>
          <w:noProof/>
          <w:sz w:val="24"/>
          <w:szCs w:val="24"/>
          <w:lang w:eastAsia="en-GB"/>
        </w:rPr>
      </w:pPr>
      <w:hyperlink w:anchor="_Toc106708906" w:history="1">
        <w:r w:rsidR="009C3764" w:rsidRPr="00973B94">
          <w:rPr>
            <w:rStyle w:val="Hyperlink"/>
            <w:rFonts w:ascii="Arial" w:hAnsi="Arial" w:cs="Arial"/>
            <w:noProof/>
            <w:sz w:val="24"/>
            <w:szCs w:val="24"/>
          </w:rPr>
          <w:t>Conversion from parenteral anticoagulant to oral anticoagulant</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_Toc106708906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15</w:t>
        </w:r>
        <w:r w:rsidR="009C3764" w:rsidRPr="00973B94">
          <w:rPr>
            <w:rFonts w:ascii="Arial" w:hAnsi="Arial" w:cs="Arial"/>
            <w:noProof/>
            <w:webHidden/>
            <w:sz w:val="24"/>
            <w:szCs w:val="24"/>
          </w:rPr>
          <w:fldChar w:fldCharType="end"/>
        </w:r>
      </w:hyperlink>
    </w:p>
    <w:p w14:paraId="1EA06FD0" w14:textId="076855B0" w:rsidR="009C3764" w:rsidRPr="00973B94" w:rsidRDefault="00777693">
      <w:pPr>
        <w:pStyle w:val="TOC2"/>
        <w:rPr>
          <w:rFonts w:ascii="Arial" w:eastAsiaTheme="minorEastAsia" w:hAnsi="Arial" w:cs="Arial"/>
          <w:b w:val="0"/>
          <w:bCs w:val="0"/>
          <w:noProof/>
          <w:sz w:val="24"/>
          <w:szCs w:val="24"/>
          <w:lang w:eastAsia="en-GB"/>
        </w:rPr>
      </w:pPr>
      <w:hyperlink w:anchor="_Toc106708907" w:history="1">
        <w:r w:rsidR="009C3764" w:rsidRPr="00973B94">
          <w:rPr>
            <w:rStyle w:val="Hyperlink"/>
            <w:rFonts w:ascii="Arial" w:hAnsi="Arial" w:cs="Arial"/>
            <w:noProof/>
            <w:sz w:val="24"/>
            <w:szCs w:val="24"/>
          </w:rPr>
          <w:t>Missed dose</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_Toc106708907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16</w:t>
        </w:r>
        <w:r w:rsidR="009C3764" w:rsidRPr="00973B94">
          <w:rPr>
            <w:rFonts w:ascii="Arial" w:hAnsi="Arial" w:cs="Arial"/>
            <w:noProof/>
            <w:webHidden/>
            <w:sz w:val="24"/>
            <w:szCs w:val="24"/>
          </w:rPr>
          <w:fldChar w:fldCharType="end"/>
        </w:r>
      </w:hyperlink>
    </w:p>
    <w:p w14:paraId="0BEE4CDE" w14:textId="08817009" w:rsidR="009C3764" w:rsidRPr="00973B94" w:rsidRDefault="00777693">
      <w:pPr>
        <w:pStyle w:val="TOC2"/>
        <w:rPr>
          <w:rFonts w:ascii="Arial" w:eastAsiaTheme="minorEastAsia" w:hAnsi="Arial" w:cs="Arial"/>
          <w:b w:val="0"/>
          <w:bCs w:val="0"/>
          <w:noProof/>
          <w:sz w:val="24"/>
          <w:szCs w:val="24"/>
          <w:lang w:eastAsia="en-GB"/>
        </w:rPr>
      </w:pPr>
      <w:hyperlink w:anchor="_Toc106708908" w:history="1">
        <w:r w:rsidR="009C3764" w:rsidRPr="00973B94">
          <w:rPr>
            <w:rStyle w:val="Hyperlink"/>
            <w:rFonts w:ascii="Arial" w:hAnsi="Arial" w:cs="Arial"/>
            <w:noProof/>
            <w:sz w:val="24"/>
            <w:szCs w:val="24"/>
          </w:rPr>
          <w:t>Half-life (t½)</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_Toc106708908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17</w:t>
        </w:r>
        <w:r w:rsidR="009C3764" w:rsidRPr="00973B94">
          <w:rPr>
            <w:rFonts w:ascii="Arial" w:hAnsi="Arial" w:cs="Arial"/>
            <w:noProof/>
            <w:webHidden/>
            <w:sz w:val="24"/>
            <w:szCs w:val="24"/>
          </w:rPr>
          <w:fldChar w:fldCharType="end"/>
        </w:r>
      </w:hyperlink>
    </w:p>
    <w:p w14:paraId="50078D01" w14:textId="53A18E72" w:rsidR="009C3764" w:rsidRPr="00973B94" w:rsidRDefault="00777693">
      <w:pPr>
        <w:pStyle w:val="TOC2"/>
        <w:rPr>
          <w:rFonts w:ascii="Arial" w:eastAsiaTheme="minorEastAsia" w:hAnsi="Arial" w:cs="Arial"/>
          <w:b w:val="0"/>
          <w:bCs w:val="0"/>
          <w:noProof/>
          <w:sz w:val="24"/>
          <w:szCs w:val="24"/>
          <w:lang w:eastAsia="en-GB"/>
        </w:rPr>
      </w:pPr>
      <w:hyperlink w:anchor="_Toc106708909" w:history="1">
        <w:r w:rsidR="009C3764" w:rsidRPr="00973B94">
          <w:rPr>
            <w:rStyle w:val="Hyperlink"/>
            <w:rFonts w:ascii="Arial" w:hAnsi="Arial" w:cs="Arial"/>
            <w:noProof/>
            <w:sz w:val="24"/>
            <w:szCs w:val="24"/>
          </w:rPr>
          <w:t>Bioavailability</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_Toc106708909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17</w:t>
        </w:r>
        <w:r w:rsidR="009C3764" w:rsidRPr="00973B94">
          <w:rPr>
            <w:rFonts w:ascii="Arial" w:hAnsi="Arial" w:cs="Arial"/>
            <w:noProof/>
            <w:webHidden/>
            <w:sz w:val="24"/>
            <w:szCs w:val="24"/>
          </w:rPr>
          <w:fldChar w:fldCharType="end"/>
        </w:r>
      </w:hyperlink>
    </w:p>
    <w:p w14:paraId="4CB94D95" w14:textId="47418A3E" w:rsidR="009C3764" w:rsidRPr="00973B94" w:rsidRDefault="00777693">
      <w:pPr>
        <w:pStyle w:val="TOC2"/>
        <w:rPr>
          <w:rFonts w:ascii="Arial" w:eastAsiaTheme="minorEastAsia" w:hAnsi="Arial" w:cs="Arial"/>
          <w:b w:val="0"/>
          <w:bCs w:val="0"/>
          <w:noProof/>
          <w:sz w:val="24"/>
          <w:szCs w:val="24"/>
          <w:lang w:eastAsia="en-GB"/>
        </w:rPr>
      </w:pPr>
      <w:hyperlink w:anchor="_Toc106708910" w:history="1">
        <w:r w:rsidR="009C3764" w:rsidRPr="00973B94">
          <w:rPr>
            <w:rStyle w:val="Hyperlink"/>
            <w:rFonts w:ascii="Arial" w:hAnsi="Arial" w:cs="Arial"/>
            <w:noProof/>
            <w:sz w:val="24"/>
            <w:szCs w:val="24"/>
          </w:rPr>
          <w:t>Protein binding</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_Toc106708910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17</w:t>
        </w:r>
        <w:r w:rsidR="009C3764" w:rsidRPr="00973B94">
          <w:rPr>
            <w:rFonts w:ascii="Arial" w:hAnsi="Arial" w:cs="Arial"/>
            <w:noProof/>
            <w:webHidden/>
            <w:sz w:val="24"/>
            <w:szCs w:val="24"/>
          </w:rPr>
          <w:fldChar w:fldCharType="end"/>
        </w:r>
      </w:hyperlink>
    </w:p>
    <w:p w14:paraId="7BE22E62" w14:textId="08565E22" w:rsidR="009C3764" w:rsidRPr="00973B94" w:rsidRDefault="00777693">
      <w:pPr>
        <w:pStyle w:val="TOC2"/>
        <w:rPr>
          <w:rFonts w:ascii="Arial" w:eastAsiaTheme="minorEastAsia" w:hAnsi="Arial" w:cs="Arial"/>
          <w:b w:val="0"/>
          <w:bCs w:val="0"/>
          <w:noProof/>
          <w:sz w:val="24"/>
          <w:szCs w:val="24"/>
          <w:lang w:eastAsia="en-GB"/>
        </w:rPr>
      </w:pPr>
      <w:hyperlink w:anchor="_Toc106708911" w:history="1">
        <w:r w:rsidR="009C3764" w:rsidRPr="00973B94">
          <w:rPr>
            <w:rStyle w:val="Hyperlink"/>
            <w:rFonts w:ascii="Arial" w:hAnsi="Arial" w:cs="Arial"/>
            <w:noProof/>
            <w:sz w:val="24"/>
            <w:szCs w:val="24"/>
          </w:rPr>
          <w:t>Hepatic impairment</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_Toc106708911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18</w:t>
        </w:r>
        <w:r w:rsidR="009C3764" w:rsidRPr="00973B94">
          <w:rPr>
            <w:rFonts w:ascii="Arial" w:hAnsi="Arial" w:cs="Arial"/>
            <w:noProof/>
            <w:webHidden/>
            <w:sz w:val="24"/>
            <w:szCs w:val="24"/>
          </w:rPr>
          <w:fldChar w:fldCharType="end"/>
        </w:r>
      </w:hyperlink>
    </w:p>
    <w:p w14:paraId="2F1A5CF7" w14:textId="03A53E97" w:rsidR="009C3764" w:rsidRPr="00973B94" w:rsidRDefault="00777693">
      <w:pPr>
        <w:pStyle w:val="TOC2"/>
        <w:rPr>
          <w:rFonts w:ascii="Arial" w:eastAsiaTheme="minorEastAsia" w:hAnsi="Arial" w:cs="Arial"/>
          <w:b w:val="0"/>
          <w:bCs w:val="0"/>
          <w:noProof/>
          <w:sz w:val="24"/>
          <w:szCs w:val="24"/>
          <w:lang w:eastAsia="en-GB"/>
        </w:rPr>
      </w:pPr>
      <w:hyperlink w:anchor="_Toc106708912" w:history="1">
        <w:r w:rsidR="009C3764" w:rsidRPr="00973B94">
          <w:rPr>
            <w:rStyle w:val="Hyperlink"/>
            <w:rFonts w:ascii="Arial" w:hAnsi="Arial" w:cs="Arial"/>
            <w:noProof/>
            <w:sz w:val="24"/>
            <w:szCs w:val="24"/>
          </w:rPr>
          <w:t>Drug interactions</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_Toc106708912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18</w:t>
        </w:r>
        <w:r w:rsidR="009C3764" w:rsidRPr="00973B94">
          <w:rPr>
            <w:rFonts w:ascii="Arial" w:hAnsi="Arial" w:cs="Arial"/>
            <w:noProof/>
            <w:webHidden/>
            <w:sz w:val="24"/>
            <w:szCs w:val="24"/>
          </w:rPr>
          <w:fldChar w:fldCharType="end"/>
        </w:r>
      </w:hyperlink>
    </w:p>
    <w:p w14:paraId="216D30D8" w14:textId="54D92A4E" w:rsidR="009C3764" w:rsidRPr="00973B94" w:rsidRDefault="00777693">
      <w:pPr>
        <w:pStyle w:val="TOC2"/>
        <w:rPr>
          <w:rFonts w:ascii="Arial" w:eastAsiaTheme="minorEastAsia" w:hAnsi="Arial" w:cs="Arial"/>
          <w:b w:val="0"/>
          <w:bCs w:val="0"/>
          <w:noProof/>
          <w:sz w:val="24"/>
          <w:szCs w:val="24"/>
          <w:lang w:eastAsia="en-GB"/>
        </w:rPr>
      </w:pPr>
      <w:hyperlink w:anchor="_Toc106708913" w:history="1">
        <w:r w:rsidR="009C3764" w:rsidRPr="00973B94">
          <w:rPr>
            <w:rStyle w:val="Hyperlink"/>
            <w:rFonts w:ascii="Arial" w:hAnsi="Arial" w:cs="Arial"/>
            <w:noProof/>
            <w:sz w:val="24"/>
            <w:szCs w:val="24"/>
          </w:rPr>
          <w:t>Contraindications</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_Toc106708913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19</w:t>
        </w:r>
        <w:r w:rsidR="009C3764" w:rsidRPr="00973B94">
          <w:rPr>
            <w:rFonts w:ascii="Arial" w:hAnsi="Arial" w:cs="Arial"/>
            <w:noProof/>
            <w:webHidden/>
            <w:sz w:val="24"/>
            <w:szCs w:val="24"/>
          </w:rPr>
          <w:fldChar w:fldCharType="end"/>
        </w:r>
      </w:hyperlink>
    </w:p>
    <w:p w14:paraId="74F7A263" w14:textId="62F489E0" w:rsidR="009C3764" w:rsidRPr="00973B94" w:rsidRDefault="00777693">
      <w:pPr>
        <w:pStyle w:val="TOC2"/>
        <w:rPr>
          <w:rFonts w:ascii="Arial" w:eastAsiaTheme="minorEastAsia" w:hAnsi="Arial" w:cs="Arial"/>
          <w:b w:val="0"/>
          <w:bCs w:val="0"/>
          <w:noProof/>
          <w:sz w:val="24"/>
          <w:szCs w:val="24"/>
          <w:lang w:eastAsia="en-GB"/>
        </w:rPr>
      </w:pPr>
      <w:hyperlink w:anchor="_Toc106708914" w:history="1">
        <w:r w:rsidR="009C3764" w:rsidRPr="00973B94">
          <w:rPr>
            <w:rStyle w:val="Hyperlink"/>
            <w:rFonts w:ascii="Arial" w:hAnsi="Arial" w:cs="Arial"/>
            <w:noProof/>
            <w:sz w:val="24"/>
            <w:szCs w:val="24"/>
          </w:rPr>
          <w:t>Prosthetic heart valves</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_Toc106708914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20</w:t>
        </w:r>
        <w:r w:rsidR="009C3764" w:rsidRPr="00973B94">
          <w:rPr>
            <w:rFonts w:ascii="Arial" w:hAnsi="Arial" w:cs="Arial"/>
            <w:noProof/>
            <w:webHidden/>
            <w:sz w:val="24"/>
            <w:szCs w:val="24"/>
          </w:rPr>
          <w:fldChar w:fldCharType="end"/>
        </w:r>
      </w:hyperlink>
    </w:p>
    <w:p w14:paraId="5B1D9A96" w14:textId="54961602" w:rsidR="009C3764" w:rsidRPr="00973B94" w:rsidRDefault="00777693">
      <w:pPr>
        <w:pStyle w:val="TOC2"/>
        <w:rPr>
          <w:rFonts w:ascii="Arial" w:eastAsiaTheme="minorEastAsia" w:hAnsi="Arial" w:cs="Arial"/>
          <w:b w:val="0"/>
          <w:bCs w:val="0"/>
          <w:noProof/>
          <w:sz w:val="24"/>
          <w:szCs w:val="24"/>
          <w:lang w:eastAsia="en-GB"/>
        </w:rPr>
      </w:pPr>
      <w:hyperlink w:anchor="_Toc106708915" w:history="1">
        <w:r w:rsidR="009C3764" w:rsidRPr="00973B94">
          <w:rPr>
            <w:rStyle w:val="Hyperlink"/>
            <w:rFonts w:ascii="Arial" w:hAnsi="Arial" w:cs="Arial"/>
            <w:noProof/>
            <w:sz w:val="24"/>
            <w:szCs w:val="24"/>
          </w:rPr>
          <w:t>Antiphospholipid syndrome</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_Toc106708915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21</w:t>
        </w:r>
        <w:r w:rsidR="009C3764" w:rsidRPr="00973B94">
          <w:rPr>
            <w:rFonts w:ascii="Arial" w:hAnsi="Arial" w:cs="Arial"/>
            <w:noProof/>
            <w:webHidden/>
            <w:sz w:val="24"/>
            <w:szCs w:val="24"/>
          </w:rPr>
          <w:fldChar w:fldCharType="end"/>
        </w:r>
      </w:hyperlink>
    </w:p>
    <w:p w14:paraId="19C0589E" w14:textId="06ED05F8" w:rsidR="009C3764" w:rsidRPr="00973B94" w:rsidRDefault="00777693">
      <w:pPr>
        <w:pStyle w:val="TOC2"/>
        <w:rPr>
          <w:rFonts w:ascii="Arial" w:eastAsiaTheme="minorEastAsia" w:hAnsi="Arial" w:cs="Arial"/>
          <w:b w:val="0"/>
          <w:bCs w:val="0"/>
          <w:noProof/>
          <w:sz w:val="24"/>
          <w:szCs w:val="24"/>
          <w:lang w:eastAsia="en-GB"/>
        </w:rPr>
      </w:pPr>
      <w:hyperlink w:anchor="_Toc106708916" w:history="1">
        <w:r w:rsidR="009C3764" w:rsidRPr="00973B94">
          <w:rPr>
            <w:rStyle w:val="Hyperlink"/>
            <w:rFonts w:ascii="Arial" w:hAnsi="Arial" w:cs="Arial"/>
            <w:noProof/>
            <w:sz w:val="24"/>
            <w:szCs w:val="24"/>
          </w:rPr>
          <w:t>Compliance aids</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_Toc106708916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21</w:t>
        </w:r>
        <w:r w:rsidR="009C3764" w:rsidRPr="00973B94">
          <w:rPr>
            <w:rFonts w:ascii="Arial" w:hAnsi="Arial" w:cs="Arial"/>
            <w:noProof/>
            <w:webHidden/>
            <w:sz w:val="24"/>
            <w:szCs w:val="24"/>
          </w:rPr>
          <w:fldChar w:fldCharType="end"/>
        </w:r>
      </w:hyperlink>
    </w:p>
    <w:p w14:paraId="03145D00" w14:textId="0B4523CD" w:rsidR="009C3764" w:rsidRPr="00973B94" w:rsidRDefault="00777693">
      <w:pPr>
        <w:pStyle w:val="TOC2"/>
        <w:rPr>
          <w:rFonts w:ascii="Arial" w:eastAsiaTheme="minorEastAsia" w:hAnsi="Arial" w:cs="Arial"/>
          <w:b w:val="0"/>
          <w:bCs w:val="0"/>
          <w:noProof/>
          <w:sz w:val="24"/>
          <w:szCs w:val="24"/>
          <w:lang w:eastAsia="en-GB"/>
        </w:rPr>
      </w:pPr>
      <w:hyperlink w:anchor="_Toc106708917" w:history="1">
        <w:r w:rsidR="009C3764" w:rsidRPr="00973B94">
          <w:rPr>
            <w:rStyle w:val="Hyperlink"/>
            <w:rFonts w:ascii="Arial" w:hAnsi="Arial" w:cs="Arial"/>
            <w:noProof/>
            <w:sz w:val="24"/>
            <w:szCs w:val="24"/>
          </w:rPr>
          <w:t>Cost per 28 days at dose stated</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_Toc106708917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21</w:t>
        </w:r>
        <w:r w:rsidR="009C3764" w:rsidRPr="00973B94">
          <w:rPr>
            <w:rFonts w:ascii="Arial" w:hAnsi="Arial" w:cs="Arial"/>
            <w:noProof/>
            <w:webHidden/>
            <w:sz w:val="24"/>
            <w:szCs w:val="24"/>
          </w:rPr>
          <w:fldChar w:fldCharType="end"/>
        </w:r>
      </w:hyperlink>
    </w:p>
    <w:p w14:paraId="3F4073EF" w14:textId="6C6E9C28" w:rsidR="009C3764" w:rsidRPr="00973B94" w:rsidRDefault="00777693">
      <w:pPr>
        <w:pStyle w:val="TOC2"/>
        <w:rPr>
          <w:rFonts w:ascii="Arial" w:eastAsiaTheme="minorEastAsia" w:hAnsi="Arial" w:cs="Arial"/>
          <w:b w:val="0"/>
          <w:bCs w:val="0"/>
          <w:noProof/>
          <w:sz w:val="24"/>
          <w:szCs w:val="24"/>
          <w:lang w:eastAsia="en-GB"/>
        </w:rPr>
      </w:pPr>
      <w:hyperlink w:anchor="_Toc106708918" w:history="1">
        <w:r w:rsidR="009C3764" w:rsidRPr="00973B94">
          <w:rPr>
            <w:rStyle w:val="Hyperlink"/>
            <w:rFonts w:ascii="Arial" w:hAnsi="Arial" w:cs="Arial"/>
            <w:noProof/>
            <w:sz w:val="24"/>
            <w:szCs w:val="24"/>
          </w:rPr>
          <w:t>References</w:t>
        </w:r>
        <w:r w:rsidR="009C3764" w:rsidRPr="00973B94">
          <w:rPr>
            <w:rFonts w:ascii="Arial" w:hAnsi="Arial" w:cs="Arial"/>
            <w:noProof/>
            <w:webHidden/>
            <w:sz w:val="24"/>
            <w:szCs w:val="24"/>
          </w:rPr>
          <w:tab/>
        </w:r>
        <w:r w:rsidR="009C3764" w:rsidRPr="00973B94">
          <w:rPr>
            <w:rFonts w:ascii="Arial" w:hAnsi="Arial" w:cs="Arial"/>
            <w:noProof/>
            <w:webHidden/>
            <w:sz w:val="24"/>
            <w:szCs w:val="24"/>
          </w:rPr>
          <w:fldChar w:fldCharType="begin"/>
        </w:r>
        <w:r w:rsidR="009C3764" w:rsidRPr="00973B94">
          <w:rPr>
            <w:rFonts w:ascii="Arial" w:hAnsi="Arial" w:cs="Arial"/>
            <w:noProof/>
            <w:webHidden/>
            <w:sz w:val="24"/>
            <w:szCs w:val="24"/>
          </w:rPr>
          <w:instrText xml:space="preserve"> PAGEREF _Toc106708918 \h </w:instrText>
        </w:r>
        <w:r w:rsidR="009C3764" w:rsidRPr="00973B94">
          <w:rPr>
            <w:rFonts w:ascii="Arial" w:hAnsi="Arial" w:cs="Arial"/>
            <w:noProof/>
            <w:webHidden/>
            <w:sz w:val="24"/>
            <w:szCs w:val="24"/>
          </w:rPr>
        </w:r>
        <w:r w:rsidR="009C3764" w:rsidRPr="00973B94">
          <w:rPr>
            <w:rFonts w:ascii="Arial" w:hAnsi="Arial" w:cs="Arial"/>
            <w:noProof/>
            <w:webHidden/>
            <w:sz w:val="24"/>
            <w:szCs w:val="24"/>
          </w:rPr>
          <w:fldChar w:fldCharType="separate"/>
        </w:r>
        <w:r w:rsidR="00C1186A">
          <w:rPr>
            <w:rFonts w:ascii="Arial" w:hAnsi="Arial" w:cs="Arial"/>
            <w:noProof/>
            <w:webHidden/>
            <w:sz w:val="24"/>
            <w:szCs w:val="24"/>
          </w:rPr>
          <w:t>22</w:t>
        </w:r>
        <w:r w:rsidR="009C3764" w:rsidRPr="00973B94">
          <w:rPr>
            <w:rFonts w:ascii="Arial" w:hAnsi="Arial" w:cs="Arial"/>
            <w:noProof/>
            <w:webHidden/>
            <w:sz w:val="24"/>
            <w:szCs w:val="24"/>
          </w:rPr>
          <w:fldChar w:fldCharType="end"/>
        </w:r>
      </w:hyperlink>
    </w:p>
    <w:p w14:paraId="3552F591" w14:textId="26AC74BD" w:rsidR="00735E20" w:rsidRDefault="00413C8F" w:rsidP="00413C8F">
      <w:pPr>
        <w:pStyle w:val="Heading2"/>
        <w:spacing w:before="60" w:after="60"/>
        <w:rPr>
          <w:rFonts w:asciiTheme="majorHAnsi" w:hAnsiTheme="majorHAnsi" w:cstheme="majorHAnsi"/>
          <w:sz w:val="22"/>
          <w:szCs w:val="22"/>
        </w:rPr>
      </w:pPr>
      <w:r w:rsidRPr="00413C8F">
        <w:rPr>
          <w:rFonts w:cs="Arial"/>
          <w:b w:val="0"/>
          <w:sz w:val="22"/>
          <w:szCs w:val="22"/>
        </w:rPr>
        <w:fldChar w:fldCharType="end"/>
      </w:r>
      <w:r w:rsidR="00735E20">
        <w:rPr>
          <w:rFonts w:asciiTheme="majorHAnsi" w:hAnsiTheme="majorHAnsi" w:cstheme="majorHAnsi"/>
          <w:sz w:val="22"/>
          <w:szCs w:val="22"/>
        </w:rPr>
        <w:br w:type="page"/>
      </w:r>
    </w:p>
    <w:p w14:paraId="0F17122B" w14:textId="77777777" w:rsidR="002D580A" w:rsidRPr="00735E20" w:rsidRDefault="002D580A" w:rsidP="002D580A">
      <w:pPr>
        <w:pStyle w:val="Heading1"/>
      </w:pPr>
      <w:bookmarkStart w:id="24" w:name="_Toc106708887"/>
      <w:r w:rsidRPr="00735E20">
        <w:lastRenderedPageBreak/>
        <w:t>Comparison of Anticoagulants (DOACs and warfarin)</w:t>
      </w:r>
      <w:bookmarkEnd w:id="24"/>
      <w:r>
        <w:t xml:space="preserve"> </w:t>
      </w:r>
    </w:p>
    <w:p w14:paraId="521F6BA3" w14:textId="77777777" w:rsidR="002D580A" w:rsidRPr="007D4F98" w:rsidRDefault="002D580A" w:rsidP="002315F1"/>
    <w:tbl>
      <w:tblPr>
        <w:tblStyle w:val="TableGrid"/>
        <w:tblW w:w="10485" w:type="dxa"/>
        <w:jc w:val="center"/>
        <w:tblLayout w:type="fixed"/>
        <w:tblLook w:val="04A0" w:firstRow="1" w:lastRow="0" w:firstColumn="1" w:lastColumn="0" w:noHBand="0" w:noVBand="1"/>
      </w:tblPr>
      <w:tblGrid>
        <w:gridCol w:w="3681"/>
        <w:gridCol w:w="1417"/>
        <w:gridCol w:w="1560"/>
        <w:gridCol w:w="1275"/>
        <w:gridCol w:w="1276"/>
        <w:gridCol w:w="1276"/>
      </w:tblGrid>
      <w:tr w:rsidR="00735E20" w:rsidRPr="00735E20" w14:paraId="7E16985E" w14:textId="77777777" w:rsidTr="00C84129">
        <w:trPr>
          <w:trHeight w:val="983"/>
          <w:tblHeader/>
          <w:jc w:val="center"/>
        </w:trPr>
        <w:tc>
          <w:tcPr>
            <w:tcW w:w="10485" w:type="dxa"/>
            <w:gridSpan w:val="6"/>
            <w:shd w:val="clear" w:color="auto" w:fill="F2F2F2" w:themeFill="background1" w:themeFillShade="F2"/>
            <w:vAlign w:val="center"/>
          </w:tcPr>
          <w:p w14:paraId="4AA38448" w14:textId="1486064A" w:rsidR="00735E20" w:rsidRPr="00735E20" w:rsidRDefault="00735E20" w:rsidP="00C84129">
            <w:pPr>
              <w:pStyle w:val="Heading2"/>
              <w:rPr>
                <w:rFonts w:cs="Arial"/>
              </w:rPr>
            </w:pPr>
            <w:bookmarkStart w:id="25" w:name="_Toc96868244"/>
            <w:bookmarkStart w:id="26" w:name="_Toc96966790"/>
            <w:bookmarkStart w:id="27" w:name="_Toc104910440"/>
            <w:bookmarkStart w:id="28" w:name="_Toc106708888"/>
            <w:r w:rsidRPr="00735E20">
              <w:rPr>
                <w:rFonts w:cs="Arial"/>
              </w:rPr>
              <w:t>Licensed indication and NICE recommendations</w:t>
            </w:r>
            <w:bookmarkEnd w:id="25"/>
            <w:bookmarkEnd w:id="26"/>
            <w:bookmarkEnd w:id="27"/>
            <w:bookmarkEnd w:id="28"/>
            <w:r w:rsidR="00C71032">
              <w:rPr>
                <w:rFonts w:cs="Arial"/>
              </w:rPr>
              <w:t xml:space="preserve">   </w:t>
            </w:r>
          </w:p>
        </w:tc>
      </w:tr>
      <w:tr w:rsidR="00735E20" w:rsidRPr="00735E20" w14:paraId="40E6F9D9" w14:textId="77777777" w:rsidTr="00852362">
        <w:trPr>
          <w:tblHeader/>
          <w:jc w:val="center"/>
        </w:trPr>
        <w:tc>
          <w:tcPr>
            <w:tcW w:w="3681" w:type="dxa"/>
            <w:shd w:val="clear" w:color="auto" w:fill="DBE5F1" w:themeFill="accent1" w:themeFillTint="33"/>
            <w:vAlign w:val="center"/>
          </w:tcPr>
          <w:p w14:paraId="43E042A9" w14:textId="77777777" w:rsidR="00735E20" w:rsidRPr="00735E20" w:rsidRDefault="00735E20" w:rsidP="00C84129">
            <w:pPr>
              <w:rPr>
                <w:rFonts w:cs="Arial"/>
                <w:b/>
                <w:szCs w:val="22"/>
              </w:rPr>
            </w:pPr>
          </w:p>
        </w:tc>
        <w:tc>
          <w:tcPr>
            <w:tcW w:w="1417" w:type="dxa"/>
            <w:shd w:val="clear" w:color="auto" w:fill="DBE5F1" w:themeFill="accent1" w:themeFillTint="33"/>
            <w:vAlign w:val="center"/>
          </w:tcPr>
          <w:p w14:paraId="0D6A389F" w14:textId="77777777" w:rsidR="00735E20" w:rsidRPr="00C84129" w:rsidRDefault="00735E20" w:rsidP="00C84129">
            <w:pPr>
              <w:rPr>
                <w:rFonts w:cs="Arial"/>
                <w:b/>
                <w:sz w:val="20"/>
                <w:szCs w:val="20"/>
              </w:rPr>
            </w:pPr>
            <w:r w:rsidRPr="00C84129">
              <w:rPr>
                <w:rFonts w:cs="Arial"/>
                <w:b/>
                <w:sz w:val="20"/>
                <w:szCs w:val="20"/>
              </w:rPr>
              <w:t>Dabigatran (Pradaxa</w:t>
            </w:r>
            <w:r w:rsidRPr="00C84129">
              <w:rPr>
                <w:rFonts w:cs="Arial"/>
                <w:b/>
                <w:sz w:val="20"/>
                <w:szCs w:val="20"/>
              </w:rPr>
              <w:sym w:font="Symbol" w:char="F0D2"/>
            </w:r>
            <w:r w:rsidRPr="00C84129">
              <w:rPr>
                <w:rFonts w:cs="Arial"/>
                <w:b/>
                <w:sz w:val="20"/>
                <w:szCs w:val="20"/>
              </w:rPr>
              <w:t>)</w:t>
            </w:r>
            <w:r w:rsidRPr="00C84129">
              <w:rPr>
                <w:rFonts w:cs="Arial"/>
                <w:b/>
                <w:sz w:val="20"/>
                <w:szCs w:val="20"/>
                <w:vertAlign w:val="superscript"/>
              </w:rPr>
              <w:t>1</w:t>
            </w:r>
          </w:p>
        </w:tc>
        <w:tc>
          <w:tcPr>
            <w:tcW w:w="1560" w:type="dxa"/>
            <w:shd w:val="clear" w:color="auto" w:fill="F2DBDB" w:themeFill="accent2" w:themeFillTint="33"/>
            <w:vAlign w:val="center"/>
          </w:tcPr>
          <w:p w14:paraId="3F0ADC77" w14:textId="77777777" w:rsidR="00735E20" w:rsidRPr="00C84129" w:rsidRDefault="00735E20" w:rsidP="00C84129">
            <w:pPr>
              <w:rPr>
                <w:rFonts w:cs="Arial"/>
                <w:b/>
                <w:sz w:val="20"/>
                <w:szCs w:val="20"/>
              </w:rPr>
            </w:pPr>
            <w:r w:rsidRPr="00C84129">
              <w:rPr>
                <w:rFonts w:cs="Arial"/>
                <w:b/>
                <w:sz w:val="20"/>
                <w:szCs w:val="20"/>
              </w:rPr>
              <w:t>Rivaroxaban (Xarelto</w:t>
            </w:r>
            <w:r w:rsidRPr="00C84129">
              <w:rPr>
                <w:rFonts w:cs="Arial"/>
                <w:b/>
                <w:sz w:val="20"/>
                <w:szCs w:val="20"/>
              </w:rPr>
              <w:sym w:font="Symbol" w:char="F0D2"/>
            </w:r>
            <w:r w:rsidRPr="00C84129">
              <w:rPr>
                <w:rFonts w:cs="Arial"/>
                <w:sz w:val="20"/>
                <w:szCs w:val="20"/>
              </w:rPr>
              <w:t>▼</w:t>
            </w:r>
            <w:r w:rsidRPr="00C84129">
              <w:rPr>
                <w:rFonts w:cs="Arial"/>
                <w:b/>
                <w:sz w:val="20"/>
                <w:szCs w:val="20"/>
              </w:rPr>
              <w:t>)</w:t>
            </w:r>
            <w:r w:rsidRPr="00C84129">
              <w:rPr>
                <w:rFonts w:cs="Arial"/>
                <w:b/>
                <w:sz w:val="20"/>
                <w:szCs w:val="20"/>
                <w:vertAlign w:val="superscript"/>
              </w:rPr>
              <w:t>2</w:t>
            </w:r>
          </w:p>
        </w:tc>
        <w:tc>
          <w:tcPr>
            <w:tcW w:w="1275" w:type="dxa"/>
            <w:shd w:val="clear" w:color="auto" w:fill="E5DFEC" w:themeFill="accent4" w:themeFillTint="33"/>
            <w:vAlign w:val="center"/>
          </w:tcPr>
          <w:p w14:paraId="1EB89D9F" w14:textId="77777777" w:rsidR="00735E20" w:rsidRPr="00C84129" w:rsidRDefault="00735E20" w:rsidP="00C84129">
            <w:pPr>
              <w:rPr>
                <w:rFonts w:cs="Arial"/>
                <w:b/>
                <w:sz w:val="20"/>
                <w:szCs w:val="20"/>
              </w:rPr>
            </w:pPr>
            <w:r w:rsidRPr="00C84129">
              <w:rPr>
                <w:rFonts w:cs="Arial"/>
                <w:b/>
                <w:sz w:val="20"/>
                <w:szCs w:val="20"/>
              </w:rPr>
              <w:t>Apixaban (Eliquis</w:t>
            </w:r>
            <w:r w:rsidRPr="00C84129">
              <w:rPr>
                <w:rFonts w:cs="Arial"/>
                <w:b/>
                <w:sz w:val="20"/>
                <w:szCs w:val="20"/>
              </w:rPr>
              <w:sym w:font="Symbol" w:char="F0D2"/>
            </w:r>
            <w:r w:rsidRPr="00C84129">
              <w:rPr>
                <w:rFonts w:cs="Arial"/>
                <w:b/>
                <w:sz w:val="20"/>
                <w:szCs w:val="20"/>
              </w:rPr>
              <w:t>)</w:t>
            </w:r>
            <w:r w:rsidRPr="00C84129">
              <w:rPr>
                <w:rFonts w:cs="Arial"/>
                <w:b/>
                <w:sz w:val="20"/>
                <w:szCs w:val="20"/>
                <w:vertAlign w:val="superscript"/>
              </w:rPr>
              <w:t>3</w:t>
            </w:r>
          </w:p>
        </w:tc>
        <w:tc>
          <w:tcPr>
            <w:tcW w:w="1276" w:type="dxa"/>
            <w:shd w:val="clear" w:color="auto" w:fill="FDE9D9" w:themeFill="accent6" w:themeFillTint="33"/>
            <w:vAlign w:val="center"/>
          </w:tcPr>
          <w:p w14:paraId="2B838ED1" w14:textId="77777777" w:rsidR="00735E20" w:rsidRPr="00C84129" w:rsidRDefault="00735E20" w:rsidP="00C84129">
            <w:pPr>
              <w:rPr>
                <w:rFonts w:cs="Arial"/>
                <w:b/>
                <w:sz w:val="20"/>
                <w:szCs w:val="20"/>
              </w:rPr>
            </w:pPr>
            <w:r w:rsidRPr="00C84129">
              <w:rPr>
                <w:rFonts w:cs="Arial"/>
                <w:b/>
                <w:sz w:val="20"/>
                <w:szCs w:val="20"/>
              </w:rPr>
              <w:t>Edoxaban (Lixiana</w:t>
            </w:r>
            <w:r w:rsidRPr="00C84129">
              <w:rPr>
                <w:rFonts w:cs="Arial"/>
                <w:b/>
                <w:sz w:val="20"/>
                <w:szCs w:val="20"/>
              </w:rPr>
              <w:sym w:font="Symbol" w:char="F0D2"/>
            </w:r>
            <w:r w:rsidRPr="00C84129">
              <w:rPr>
                <w:rFonts w:cs="Arial"/>
                <w:b/>
                <w:sz w:val="20"/>
                <w:szCs w:val="20"/>
              </w:rPr>
              <w:t>)</w:t>
            </w:r>
            <w:r w:rsidRPr="00C84129">
              <w:rPr>
                <w:rFonts w:cs="Arial"/>
                <w:b/>
                <w:sz w:val="20"/>
                <w:szCs w:val="20"/>
                <w:vertAlign w:val="superscript"/>
              </w:rPr>
              <w:t>4</w:t>
            </w:r>
          </w:p>
        </w:tc>
        <w:tc>
          <w:tcPr>
            <w:tcW w:w="1276" w:type="dxa"/>
            <w:shd w:val="clear" w:color="auto" w:fill="EAF1DD" w:themeFill="accent3" w:themeFillTint="33"/>
            <w:vAlign w:val="center"/>
          </w:tcPr>
          <w:p w14:paraId="710AA849" w14:textId="77777777" w:rsidR="00735E20" w:rsidRPr="00C84129" w:rsidRDefault="00735E20" w:rsidP="00C84129">
            <w:pPr>
              <w:rPr>
                <w:rFonts w:cs="Arial"/>
                <w:b/>
                <w:sz w:val="20"/>
                <w:szCs w:val="20"/>
                <w:lang w:val="de-DE"/>
              </w:rPr>
            </w:pPr>
            <w:r w:rsidRPr="00C84129">
              <w:rPr>
                <w:rFonts w:cs="Arial"/>
                <w:b/>
                <w:sz w:val="20"/>
                <w:szCs w:val="20"/>
                <w:lang w:val="de-DE"/>
              </w:rPr>
              <w:t>Warfarin</w:t>
            </w:r>
            <w:r w:rsidRPr="00C84129">
              <w:rPr>
                <w:rFonts w:cs="Arial"/>
                <w:b/>
                <w:sz w:val="20"/>
                <w:szCs w:val="20"/>
                <w:vertAlign w:val="superscript"/>
                <w:lang w:val="de-DE"/>
              </w:rPr>
              <w:t>5,</w:t>
            </w:r>
            <w:r w:rsidRPr="00C84129">
              <w:rPr>
                <w:rFonts w:cs="Arial"/>
                <w:sz w:val="20"/>
                <w:szCs w:val="20"/>
                <w:vertAlign w:val="superscript"/>
                <w:lang w:val="de-DE"/>
              </w:rPr>
              <w:t>6</w:t>
            </w:r>
          </w:p>
        </w:tc>
      </w:tr>
      <w:tr w:rsidR="00735E20" w:rsidRPr="00735E20" w14:paraId="0D392509" w14:textId="77777777" w:rsidTr="00C84129">
        <w:trPr>
          <w:trHeight w:val="1382"/>
          <w:jc w:val="center"/>
        </w:trPr>
        <w:tc>
          <w:tcPr>
            <w:tcW w:w="3681" w:type="dxa"/>
            <w:vAlign w:val="center"/>
          </w:tcPr>
          <w:p w14:paraId="780BC116" w14:textId="079F8118" w:rsidR="00735E20" w:rsidRPr="00C84129" w:rsidRDefault="00735E20" w:rsidP="00C84129">
            <w:pPr>
              <w:rPr>
                <w:rFonts w:cs="Arial"/>
                <w:szCs w:val="22"/>
              </w:rPr>
            </w:pPr>
            <w:r w:rsidRPr="00C84129">
              <w:rPr>
                <w:rFonts w:cs="Arial"/>
                <w:szCs w:val="22"/>
              </w:rPr>
              <w:t>Prevention of stroke and systemic embolism in adult patients with non-valvular atrial fibrillation (NVAF) with one or more risk factors, such as prior stroke or transient ischemic attack (TIA); age ≥75 years; heart failure (NYHA Class ≥ II); diabetes mellitus; hypertension</w:t>
            </w:r>
            <w:r w:rsidRPr="00C84129">
              <w:rPr>
                <w:rFonts w:cs="Arial"/>
                <w:szCs w:val="22"/>
                <w:vertAlign w:val="superscript"/>
              </w:rPr>
              <w:t>1,2,3,4</w:t>
            </w:r>
          </w:p>
        </w:tc>
        <w:tc>
          <w:tcPr>
            <w:tcW w:w="1417" w:type="dxa"/>
            <w:shd w:val="clear" w:color="auto" w:fill="auto"/>
            <w:vAlign w:val="center"/>
          </w:tcPr>
          <w:p w14:paraId="75FB5F3A" w14:textId="77777777" w:rsidR="00735E20" w:rsidRPr="00C84129" w:rsidRDefault="00735E20" w:rsidP="00C84129">
            <w:pPr>
              <w:jc w:val="center"/>
              <w:rPr>
                <w:rFonts w:cs="Arial"/>
                <w:sz w:val="24"/>
              </w:rPr>
            </w:pPr>
            <w:r w:rsidRPr="00C84129">
              <w:rPr>
                <w:rFonts w:cs="Arial"/>
                <w:sz w:val="24"/>
              </w:rPr>
              <w:sym w:font="Symbol" w:char="F0D6"/>
            </w:r>
          </w:p>
          <w:p w14:paraId="40A2CB7D" w14:textId="1E519CED" w:rsidR="00735E20" w:rsidRPr="00C84129" w:rsidRDefault="00735E20" w:rsidP="002E0A78">
            <w:pPr>
              <w:jc w:val="center"/>
              <w:rPr>
                <w:rFonts w:cs="Arial"/>
                <w:sz w:val="24"/>
              </w:rPr>
            </w:pPr>
            <w:r w:rsidRPr="00C84129">
              <w:rPr>
                <w:rFonts w:cs="Arial"/>
                <w:sz w:val="24"/>
              </w:rPr>
              <w:t>NICE TA 249</w:t>
            </w:r>
            <w:r w:rsidRPr="00C84129">
              <w:rPr>
                <w:rFonts w:cs="Arial"/>
                <w:sz w:val="24"/>
                <w:vertAlign w:val="superscript"/>
              </w:rPr>
              <w:t>7</w:t>
            </w:r>
          </w:p>
        </w:tc>
        <w:tc>
          <w:tcPr>
            <w:tcW w:w="1560" w:type="dxa"/>
            <w:shd w:val="clear" w:color="auto" w:fill="auto"/>
            <w:vAlign w:val="center"/>
          </w:tcPr>
          <w:p w14:paraId="40656243" w14:textId="77777777" w:rsidR="00735E20" w:rsidRPr="00C84129" w:rsidRDefault="00735E20" w:rsidP="00C84129">
            <w:pPr>
              <w:jc w:val="center"/>
              <w:rPr>
                <w:rFonts w:cs="Arial"/>
                <w:sz w:val="24"/>
              </w:rPr>
            </w:pPr>
            <w:r w:rsidRPr="00C84129">
              <w:rPr>
                <w:rFonts w:cs="Arial"/>
                <w:sz w:val="24"/>
              </w:rPr>
              <w:sym w:font="Symbol" w:char="F0D6"/>
            </w:r>
          </w:p>
          <w:p w14:paraId="5DC64CAD" w14:textId="2A5D559A" w:rsidR="00735E20" w:rsidRPr="00C84129" w:rsidRDefault="00735E20" w:rsidP="002E0A78">
            <w:pPr>
              <w:jc w:val="center"/>
              <w:rPr>
                <w:rFonts w:cs="Arial"/>
                <w:sz w:val="24"/>
              </w:rPr>
            </w:pPr>
            <w:r w:rsidRPr="00C84129">
              <w:rPr>
                <w:rFonts w:cs="Arial"/>
                <w:sz w:val="24"/>
              </w:rPr>
              <w:t>NICE TA 256</w:t>
            </w:r>
            <w:r w:rsidRPr="00C84129">
              <w:rPr>
                <w:rFonts w:cs="Arial"/>
                <w:sz w:val="24"/>
                <w:vertAlign w:val="superscript"/>
              </w:rPr>
              <w:t>8</w:t>
            </w:r>
          </w:p>
        </w:tc>
        <w:tc>
          <w:tcPr>
            <w:tcW w:w="1275" w:type="dxa"/>
            <w:shd w:val="clear" w:color="auto" w:fill="auto"/>
            <w:vAlign w:val="center"/>
          </w:tcPr>
          <w:p w14:paraId="1B7876C5" w14:textId="77777777" w:rsidR="00735E20" w:rsidRPr="00C84129" w:rsidRDefault="00735E20" w:rsidP="00C84129">
            <w:pPr>
              <w:jc w:val="center"/>
              <w:rPr>
                <w:rFonts w:cs="Arial"/>
                <w:sz w:val="24"/>
              </w:rPr>
            </w:pPr>
            <w:r w:rsidRPr="00C84129">
              <w:rPr>
                <w:rFonts w:cs="Arial"/>
                <w:sz w:val="24"/>
              </w:rPr>
              <w:sym w:font="Symbol" w:char="F0D6"/>
            </w:r>
          </w:p>
          <w:p w14:paraId="777128F2" w14:textId="77777777" w:rsidR="00735E20" w:rsidRPr="00C84129" w:rsidRDefault="00735E20" w:rsidP="00C84129">
            <w:pPr>
              <w:jc w:val="center"/>
              <w:rPr>
                <w:rFonts w:cs="Arial"/>
                <w:sz w:val="24"/>
              </w:rPr>
            </w:pPr>
            <w:r w:rsidRPr="00C84129">
              <w:rPr>
                <w:rFonts w:cs="Arial"/>
                <w:sz w:val="24"/>
              </w:rPr>
              <w:t>NICE TA 275</w:t>
            </w:r>
            <w:r w:rsidRPr="00C84129">
              <w:rPr>
                <w:rFonts w:cs="Arial"/>
                <w:sz w:val="24"/>
                <w:vertAlign w:val="superscript"/>
              </w:rPr>
              <w:t>9</w:t>
            </w:r>
          </w:p>
        </w:tc>
        <w:tc>
          <w:tcPr>
            <w:tcW w:w="1276" w:type="dxa"/>
            <w:shd w:val="clear" w:color="auto" w:fill="auto"/>
            <w:vAlign w:val="center"/>
          </w:tcPr>
          <w:p w14:paraId="4B3CD3C2" w14:textId="77777777" w:rsidR="00735E20" w:rsidRPr="00C84129" w:rsidRDefault="00735E20" w:rsidP="00C84129">
            <w:pPr>
              <w:jc w:val="center"/>
              <w:rPr>
                <w:rFonts w:cs="Arial"/>
                <w:sz w:val="24"/>
              </w:rPr>
            </w:pPr>
            <w:r w:rsidRPr="00C84129">
              <w:rPr>
                <w:rFonts w:cs="Arial"/>
                <w:sz w:val="24"/>
              </w:rPr>
              <w:sym w:font="Symbol" w:char="F0D6"/>
            </w:r>
          </w:p>
          <w:p w14:paraId="1BB60726" w14:textId="03330122" w:rsidR="00735E20" w:rsidRPr="00C84129" w:rsidRDefault="00735E20" w:rsidP="002315F1">
            <w:pPr>
              <w:jc w:val="center"/>
              <w:rPr>
                <w:rFonts w:cs="Arial"/>
                <w:sz w:val="24"/>
              </w:rPr>
            </w:pPr>
            <w:r w:rsidRPr="00C84129">
              <w:rPr>
                <w:rFonts w:cs="Arial"/>
                <w:sz w:val="24"/>
              </w:rPr>
              <w:t>NICE TA 355</w:t>
            </w:r>
            <w:r w:rsidRPr="00C84129">
              <w:rPr>
                <w:rFonts w:cs="Arial"/>
                <w:sz w:val="24"/>
                <w:vertAlign w:val="superscript"/>
              </w:rPr>
              <w:t>10</w:t>
            </w:r>
          </w:p>
        </w:tc>
        <w:tc>
          <w:tcPr>
            <w:tcW w:w="1276" w:type="dxa"/>
            <w:vAlign w:val="center"/>
          </w:tcPr>
          <w:p w14:paraId="313D06C3" w14:textId="4C8412A9" w:rsidR="00CA027D" w:rsidRPr="00C84129" w:rsidRDefault="00735E20" w:rsidP="00CA027D">
            <w:pPr>
              <w:jc w:val="center"/>
              <w:rPr>
                <w:rFonts w:cs="Arial"/>
                <w:sz w:val="24"/>
              </w:rPr>
            </w:pPr>
            <w:r w:rsidRPr="00C84129">
              <w:rPr>
                <w:rFonts w:cs="Arial"/>
                <w:sz w:val="24"/>
              </w:rPr>
              <w:sym w:font="Symbol" w:char="F0D6"/>
            </w:r>
          </w:p>
        </w:tc>
      </w:tr>
      <w:tr w:rsidR="00735E20" w:rsidRPr="00735E20" w14:paraId="1FCC4603" w14:textId="77777777" w:rsidTr="00C84129">
        <w:trPr>
          <w:trHeight w:val="707"/>
          <w:jc w:val="center"/>
        </w:trPr>
        <w:tc>
          <w:tcPr>
            <w:tcW w:w="3681" w:type="dxa"/>
            <w:vAlign w:val="center"/>
          </w:tcPr>
          <w:p w14:paraId="644E749A" w14:textId="2EF9ED46" w:rsidR="00735E20" w:rsidRPr="00C84129" w:rsidRDefault="00735E20" w:rsidP="00C84129">
            <w:pPr>
              <w:rPr>
                <w:rFonts w:cs="Arial"/>
                <w:szCs w:val="22"/>
              </w:rPr>
            </w:pPr>
            <w:r w:rsidRPr="00C84129">
              <w:rPr>
                <w:rFonts w:cs="Arial"/>
                <w:szCs w:val="22"/>
              </w:rPr>
              <w:t>Treatment of deep vein thrombosis (DVT) and pulmonary embolism (PE), and prevention of recurrent DVT and PE in adults</w:t>
            </w:r>
            <w:r w:rsidRPr="00C84129">
              <w:rPr>
                <w:rFonts w:cs="Arial"/>
                <w:szCs w:val="22"/>
                <w:vertAlign w:val="superscript"/>
              </w:rPr>
              <w:t>1,2,3,4</w:t>
            </w:r>
          </w:p>
        </w:tc>
        <w:tc>
          <w:tcPr>
            <w:tcW w:w="1417" w:type="dxa"/>
            <w:shd w:val="clear" w:color="auto" w:fill="auto"/>
            <w:vAlign w:val="center"/>
          </w:tcPr>
          <w:p w14:paraId="30DC29D6" w14:textId="77777777" w:rsidR="00735E20" w:rsidRPr="00C84129" w:rsidRDefault="00735E20" w:rsidP="00C84129">
            <w:pPr>
              <w:jc w:val="center"/>
              <w:rPr>
                <w:rFonts w:cs="Arial"/>
                <w:sz w:val="24"/>
              </w:rPr>
            </w:pPr>
            <w:r w:rsidRPr="00C84129">
              <w:rPr>
                <w:rFonts w:cs="Arial"/>
                <w:sz w:val="24"/>
              </w:rPr>
              <w:sym w:font="Symbol" w:char="F0D6"/>
            </w:r>
          </w:p>
          <w:p w14:paraId="093DD42E" w14:textId="77777777" w:rsidR="00735E20" w:rsidRPr="00C84129" w:rsidRDefault="00735E20" w:rsidP="00C84129">
            <w:pPr>
              <w:jc w:val="center"/>
              <w:rPr>
                <w:rFonts w:cs="Arial"/>
                <w:sz w:val="24"/>
              </w:rPr>
            </w:pPr>
            <w:r w:rsidRPr="00C84129">
              <w:rPr>
                <w:rFonts w:cs="Arial"/>
                <w:sz w:val="24"/>
              </w:rPr>
              <w:t>NICE TA 327</w:t>
            </w:r>
            <w:r w:rsidRPr="00C84129">
              <w:rPr>
                <w:rFonts w:cs="Arial"/>
                <w:sz w:val="24"/>
                <w:vertAlign w:val="superscript"/>
              </w:rPr>
              <w:t>11</w:t>
            </w:r>
          </w:p>
        </w:tc>
        <w:tc>
          <w:tcPr>
            <w:tcW w:w="1560" w:type="dxa"/>
            <w:shd w:val="clear" w:color="auto" w:fill="auto"/>
            <w:vAlign w:val="center"/>
          </w:tcPr>
          <w:p w14:paraId="2401AF98" w14:textId="77777777" w:rsidR="00735E20" w:rsidRPr="00C84129" w:rsidRDefault="00735E20" w:rsidP="00C84129">
            <w:pPr>
              <w:jc w:val="center"/>
              <w:rPr>
                <w:rFonts w:cs="Arial"/>
                <w:sz w:val="24"/>
              </w:rPr>
            </w:pPr>
            <w:r w:rsidRPr="00C84129">
              <w:rPr>
                <w:rFonts w:cs="Arial"/>
                <w:sz w:val="24"/>
              </w:rPr>
              <w:sym w:font="Symbol" w:char="F0D6"/>
            </w:r>
          </w:p>
          <w:p w14:paraId="6FBA2D9D" w14:textId="77777777" w:rsidR="00735E20" w:rsidRPr="00C84129" w:rsidRDefault="00735E20" w:rsidP="00C84129">
            <w:pPr>
              <w:jc w:val="center"/>
              <w:rPr>
                <w:rFonts w:cs="Arial"/>
                <w:sz w:val="24"/>
              </w:rPr>
            </w:pPr>
            <w:r w:rsidRPr="00C84129">
              <w:rPr>
                <w:rFonts w:cs="Arial"/>
                <w:sz w:val="24"/>
              </w:rPr>
              <w:t>NICE TA 261</w:t>
            </w:r>
            <w:r w:rsidRPr="00C84129">
              <w:rPr>
                <w:rFonts w:cs="Arial"/>
                <w:sz w:val="24"/>
                <w:vertAlign w:val="superscript"/>
              </w:rPr>
              <w:t>12</w:t>
            </w:r>
            <w:r w:rsidRPr="00C84129">
              <w:rPr>
                <w:rFonts w:cs="Arial"/>
                <w:sz w:val="24"/>
              </w:rPr>
              <w:t xml:space="preserve"> and 287</w:t>
            </w:r>
            <w:r w:rsidRPr="00C84129">
              <w:rPr>
                <w:rFonts w:cs="Arial"/>
                <w:sz w:val="24"/>
                <w:vertAlign w:val="superscript"/>
              </w:rPr>
              <w:t>13</w:t>
            </w:r>
          </w:p>
        </w:tc>
        <w:tc>
          <w:tcPr>
            <w:tcW w:w="1275" w:type="dxa"/>
            <w:shd w:val="clear" w:color="auto" w:fill="auto"/>
            <w:vAlign w:val="center"/>
          </w:tcPr>
          <w:p w14:paraId="5474C03E" w14:textId="77777777" w:rsidR="00735E20" w:rsidRPr="00C84129" w:rsidRDefault="00735E20" w:rsidP="00C84129">
            <w:pPr>
              <w:jc w:val="center"/>
              <w:rPr>
                <w:rFonts w:cs="Arial"/>
                <w:sz w:val="24"/>
              </w:rPr>
            </w:pPr>
            <w:r w:rsidRPr="00C84129">
              <w:rPr>
                <w:rFonts w:cs="Arial"/>
                <w:sz w:val="24"/>
              </w:rPr>
              <w:sym w:font="Symbol" w:char="F0D6"/>
            </w:r>
          </w:p>
          <w:p w14:paraId="7E360674" w14:textId="56BF3903" w:rsidR="00735E20" w:rsidRPr="00C84129" w:rsidRDefault="00735E20" w:rsidP="002315F1">
            <w:pPr>
              <w:jc w:val="center"/>
              <w:rPr>
                <w:rFonts w:cs="Arial"/>
                <w:sz w:val="24"/>
              </w:rPr>
            </w:pPr>
            <w:r w:rsidRPr="00C84129">
              <w:rPr>
                <w:rFonts w:cs="Arial"/>
                <w:sz w:val="24"/>
              </w:rPr>
              <w:t>NICE TA 341</w:t>
            </w:r>
            <w:r w:rsidRPr="00C84129">
              <w:rPr>
                <w:rFonts w:cs="Arial"/>
                <w:sz w:val="24"/>
                <w:vertAlign w:val="superscript"/>
              </w:rPr>
              <w:t>14</w:t>
            </w:r>
          </w:p>
        </w:tc>
        <w:tc>
          <w:tcPr>
            <w:tcW w:w="1276" w:type="dxa"/>
            <w:shd w:val="clear" w:color="auto" w:fill="auto"/>
            <w:vAlign w:val="center"/>
          </w:tcPr>
          <w:p w14:paraId="79A27E35" w14:textId="77777777" w:rsidR="00735E20" w:rsidRPr="00C84129" w:rsidRDefault="00735E20" w:rsidP="00C84129">
            <w:pPr>
              <w:jc w:val="center"/>
              <w:rPr>
                <w:rFonts w:cs="Arial"/>
                <w:sz w:val="24"/>
              </w:rPr>
            </w:pPr>
            <w:r w:rsidRPr="00C84129">
              <w:rPr>
                <w:rFonts w:cs="Arial"/>
                <w:sz w:val="24"/>
              </w:rPr>
              <w:sym w:font="Symbol" w:char="F0D6"/>
            </w:r>
          </w:p>
          <w:p w14:paraId="69D0B103" w14:textId="77777777" w:rsidR="00735E20" w:rsidRPr="00C84129" w:rsidRDefault="00735E20" w:rsidP="00C84129">
            <w:pPr>
              <w:jc w:val="center"/>
              <w:rPr>
                <w:rFonts w:cs="Arial"/>
                <w:sz w:val="24"/>
              </w:rPr>
            </w:pPr>
            <w:r w:rsidRPr="00C84129">
              <w:rPr>
                <w:rFonts w:cs="Arial"/>
                <w:sz w:val="24"/>
              </w:rPr>
              <w:t>NICE TA 354</w:t>
            </w:r>
            <w:r w:rsidRPr="00C84129">
              <w:rPr>
                <w:rFonts w:cs="Arial"/>
                <w:sz w:val="24"/>
                <w:vertAlign w:val="superscript"/>
              </w:rPr>
              <w:t>15</w:t>
            </w:r>
          </w:p>
        </w:tc>
        <w:tc>
          <w:tcPr>
            <w:tcW w:w="1276" w:type="dxa"/>
            <w:vAlign w:val="center"/>
          </w:tcPr>
          <w:p w14:paraId="0623A060" w14:textId="77777777" w:rsidR="00735E20" w:rsidRPr="00C84129" w:rsidRDefault="00735E20" w:rsidP="00C84129">
            <w:pPr>
              <w:jc w:val="center"/>
              <w:rPr>
                <w:rFonts w:cs="Arial"/>
                <w:sz w:val="24"/>
              </w:rPr>
            </w:pPr>
            <w:r w:rsidRPr="00C84129">
              <w:rPr>
                <w:rFonts w:cs="Arial"/>
                <w:sz w:val="24"/>
              </w:rPr>
              <w:sym w:font="Symbol" w:char="F0D6"/>
            </w:r>
          </w:p>
        </w:tc>
      </w:tr>
      <w:tr w:rsidR="00735E20" w:rsidRPr="00735E20" w14:paraId="4350A3DA" w14:textId="77777777" w:rsidTr="00C84129">
        <w:trPr>
          <w:trHeight w:val="993"/>
          <w:jc w:val="center"/>
        </w:trPr>
        <w:tc>
          <w:tcPr>
            <w:tcW w:w="3681" w:type="dxa"/>
            <w:vAlign w:val="center"/>
          </w:tcPr>
          <w:p w14:paraId="7AA6B156" w14:textId="402556AD" w:rsidR="00735E20" w:rsidRPr="00C84129" w:rsidRDefault="00735E20" w:rsidP="00C84129">
            <w:pPr>
              <w:rPr>
                <w:rFonts w:cs="Arial"/>
                <w:szCs w:val="22"/>
              </w:rPr>
            </w:pPr>
            <w:r w:rsidRPr="00C84129">
              <w:rPr>
                <w:rFonts w:cs="Arial"/>
                <w:szCs w:val="22"/>
              </w:rPr>
              <w:t>Primary prevention of venous thromboembolic events in adult patients who have undergone elective total hip replacement surgery or total knee replacement surgery</w:t>
            </w:r>
            <w:r w:rsidRPr="00C84129">
              <w:rPr>
                <w:rFonts w:cs="Arial"/>
                <w:szCs w:val="22"/>
                <w:vertAlign w:val="superscript"/>
              </w:rPr>
              <w:t>1,2,3</w:t>
            </w:r>
            <w:r w:rsidRPr="00C84129">
              <w:rPr>
                <w:rFonts w:cs="Arial"/>
                <w:szCs w:val="22"/>
              </w:rPr>
              <w:t xml:space="preserve"> </w:t>
            </w:r>
          </w:p>
        </w:tc>
        <w:tc>
          <w:tcPr>
            <w:tcW w:w="1417" w:type="dxa"/>
            <w:shd w:val="clear" w:color="auto" w:fill="auto"/>
            <w:vAlign w:val="center"/>
          </w:tcPr>
          <w:p w14:paraId="67EE1EAF" w14:textId="77777777" w:rsidR="00735E20" w:rsidRPr="00C84129" w:rsidRDefault="00735E20" w:rsidP="00C84129">
            <w:pPr>
              <w:jc w:val="center"/>
              <w:rPr>
                <w:rFonts w:cs="Arial"/>
                <w:sz w:val="24"/>
              </w:rPr>
            </w:pPr>
            <w:r w:rsidRPr="00C84129">
              <w:rPr>
                <w:rFonts w:cs="Arial"/>
                <w:sz w:val="24"/>
              </w:rPr>
              <w:sym w:font="Symbol" w:char="F0D6"/>
            </w:r>
          </w:p>
          <w:p w14:paraId="1180780A" w14:textId="38A58EB7" w:rsidR="00735E20" w:rsidRPr="00C84129" w:rsidRDefault="00735E20" w:rsidP="002315F1">
            <w:pPr>
              <w:jc w:val="center"/>
              <w:rPr>
                <w:rFonts w:cs="Arial"/>
                <w:sz w:val="24"/>
              </w:rPr>
            </w:pPr>
            <w:r w:rsidRPr="00C84129">
              <w:rPr>
                <w:rFonts w:cs="Arial"/>
                <w:sz w:val="24"/>
              </w:rPr>
              <w:t>NICE TA 157</w:t>
            </w:r>
            <w:r w:rsidRPr="00C84129">
              <w:rPr>
                <w:rFonts w:cs="Arial"/>
                <w:sz w:val="24"/>
                <w:vertAlign w:val="superscript"/>
              </w:rPr>
              <w:t>16</w:t>
            </w:r>
          </w:p>
        </w:tc>
        <w:tc>
          <w:tcPr>
            <w:tcW w:w="1560" w:type="dxa"/>
            <w:shd w:val="clear" w:color="auto" w:fill="auto"/>
            <w:vAlign w:val="center"/>
          </w:tcPr>
          <w:p w14:paraId="0889D18E" w14:textId="77777777" w:rsidR="00735E20" w:rsidRPr="00C84129" w:rsidRDefault="00735E20" w:rsidP="00C84129">
            <w:pPr>
              <w:jc w:val="center"/>
              <w:rPr>
                <w:rFonts w:cs="Arial"/>
                <w:sz w:val="24"/>
              </w:rPr>
            </w:pPr>
            <w:r w:rsidRPr="00C84129">
              <w:rPr>
                <w:rFonts w:cs="Arial"/>
                <w:sz w:val="24"/>
              </w:rPr>
              <w:sym w:font="Symbol" w:char="F0D6"/>
            </w:r>
            <w:r w:rsidRPr="00C84129">
              <w:rPr>
                <w:rFonts w:cs="Arial"/>
                <w:sz w:val="24"/>
              </w:rPr>
              <w:t xml:space="preserve"> 10mg only</w:t>
            </w:r>
          </w:p>
          <w:p w14:paraId="66844474" w14:textId="00FB02C2" w:rsidR="00735E20" w:rsidRPr="00C84129" w:rsidRDefault="00735E20" w:rsidP="002315F1">
            <w:pPr>
              <w:jc w:val="center"/>
              <w:rPr>
                <w:rFonts w:cs="Arial"/>
                <w:sz w:val="24"/>
              </w:rPr>
            </w:pPr>
            <w:r w:rsidRPr="00C84129">
              <w:rPr>
                <w:rFonts w:cs="Arial"/>
                <w:sz w:val="24"/>
              </w:rPr>
              <w:t>NICE TA 170</w:t>
            </w:r>
            <w:r w:rsidRPr="00C84129">
              <w:rPr>
                <w:rFonts w:cs="Arial"/>
                <w:sz w:val="24"/>
                <w:vertAlign w:val="superscript"/>
              </w:rPr>
              <w:t>17</w:t>
            </w:r>
          </w:p>
        </w:tc>
        <w:tc>
          <w:tcPr>
            <w:tcW w:w="1275" w:type="dxa"/>
            <w:shd w:val="clear" w:color="auto" w:fill="auto"/>
            <w:vAlign w:val="center"/>
          </w:tcPr>
          <w:p w14:paraId="7B430495" w14:textId="77777777" w:rsidR="00735E20" w:rsidRPr="00C84129" w:rsidRDefault="00735E20" w:rsidP="00C84129">
            <w:pPr>
              <w:jc w:val="center"/>
              <w:rPr>
                <w:rFonts w:cs="Arial"/>
                <w:sz w:val="24"/>
              </w:rPr>
            </w:pPr>
            <w:r w:rsidRPr="00C84129">
              <w:rPr>
                <w:rFonts w:cs="Arial"/>
                <w:sz w:val="24"/>
              </w:rPr>
              <w:sym w:font="Symbol" w:char="F0D6"/>
            </w:r>
          </w:p>
          <w:p w14:paraId="717807F4" w14:textId="4260CBD6" w:rsidR="00735E20" w:rsidRPr="00C84129" w:rsidRDefault="00735E20" w:rsidP="002315F1">
            <w:pPr>
              <w:jc w:val="center"/>
              <w:rPr>
                <w:rFonts w:cs="Arial"/>
                <w:sz w:val="24"/>
              </w:rPr>
            </w:pPr>
            <w:r w:rsidRPr="00C84129">
              <w:rPr>
                <w:rFonts w:cs="Arial"/>
                <w:sz w:val="24"/>
              </w:rPr>
              <w:t>NICE TA 245</w:t>
            </w:r>
            <w:r w:rsidRPr="00C84129">
              <w:rPr>
                <w:rFonts w:cs="Arial"/>
                <w:sz w:val="24"/>
                <w:vertAlign w:val="superscript"/>
              </w:rPr>
              <w:t>18</w:t>
            </w:r>
          </w:p>
        </w:tc>
        <w:tc>
          <w:tcPr>
            <w:tcW w:w="1276" w:type="dxa"/>
            <w:shd w:val="clear" w:color="auto" w:fill="auto"/>
            <w:vAlign w:val="center"/>
          </w:tcPr>
          <w:p w14:paraId="24D60B23" w14:textId="77777777" w:rsidR="00735E20" w:rsidRPr="00C84129" w:rsidRDefault="00735E20" w:rsidP="00C84129">
            <w:pPr>
              <w:jc w:val="center"/>
              <w:rPr>
                <w:rFonts w:cs="Arial"/>
                <w:sz w:val="24"/>
              </w:rPr>
            </w:pPr>
            <w:r w:rsidRPr="00C84129">
              <w:rPr>
                <w:rFonts w:cs="Arial"/>
                <w:sz w:val="24"/>
              </w:rPr>
              <w:t>x</w:t>
            </w:r>
          </w:p>
        </w:tc>
        <w:tc>
          <w:tcPr>
            <w:tcW w:w="1276" w:type="dxa"/>
            <w:vAlign w:val="center"/>
          </w:tcPr>
          <w:p w14:paraId="4275FBFB" w14:textId="77777777" w:rsidR="00735E20" w:rsidRPr="00C84129" w:rsidRDefault="00735E20" w:rsidP="00C84129">
            <w:pPr>
              <w:jc w:val="center"/>
              <w:rPr>
                <w:rFonts w:cs="Arial"/>
                <w:sz w:val="24"/>
              </w:rPr>
            </w:pPr>
            <w:r w:rsidRPr="00C84129">
              <w:rPr>
                <w:rFonts w:cs="Arial"/>
                <w:sz w:val="24"/>
              </w:rPr>
              <w:sym w:font="Symbol" w:char="F0D6"/>
            </w:r>
          </w:p>
        </w:tc>
      </w:tr>
      <w:tr w:rsidR="00735E20" w:rsidRPr="00735E20" w14:paraId="730E0031" w14:textId="77777777" w:rsidTr="00C84129">
        <w:trPr>
          <w:trHeight w:val="958"/>
          <w:jc w:val="center"/>
        </w:trPr>
        <w:tc>
          <w:tcPr>
            <w:tcW w:w="3681" w:type="dxa"/>
            <w:vAlign w:val="center"/>
          </w:tcPr>
          <w:p w14:paraId="07AAA99B" w14:textId="05D6826A" w:rsidR="00735E20" w:rsidRPr="00C84129" w:rsidRDefault="00735E20" w:rsidP="00C84129">
            <w:pPr>
              <w:rPr>
                <w:rFonts w:cs="Arial"/>
                <w:szCs w:val="22"/>
                <w:vertAlign w:val="superscript"/>
              </w:rPr>
            </w:pPr>
            <w:r w:rsidRPr="00C84129">
              <w:rPr>
                <w:rFonts w:cs="Arial"/>
                <w:szCs w:val="22"/>
              </w:rPr>
              <w:t>Co-administered with acetylsalicylic acid* (ASA) alone or with ASA plus clopidogrel or ticlopidine, indicated for</w:t>
            </w:r>
            <w:r w:rsidR="00C71032">
              <w:rPr>
                <w:rFonts w:cs="Arial"/>
                <w:szCs w:val="22"/>
              </w:rPr>
              <w:t xml:space="preserve"> </w:t>
            </w:r>
            <w:r w:rsidRPr="00C84129">
              <w:rPr>
                <w:rFonts w:cs="Arial"/>
                <w:szCs w:val="22"/>
              </w:rPr>
              <w:t>prevention of atherothrombotic events in adult patients after an acute coronary syndrome (ACS) with elevated cardiac biomarkers</w:t>
            </w:r>
            <w:r w:rsidRPr="00C84129">
              <w:rPr>
                <w:rFonts w:cs="Arial"/>
                <w:szCs w:val="22"/>
                <w:vertAlign w:val="superscript"/>
              </w:rPr>
              <w:t>2</w:t>
            </w:r>
          </w:p>
          <w:p w14:paraId="393956C2" w14:textId="77777777" w:rsidR="00735E20" w:rsidRPr="00C84129" w:rsidRDefault="00735E20" w:rsidP="00C84129">
            <w:pPr>
              <w:rPr>
                <w:rFonts w:cs="Arial"/>
                <w:szCs w:val="22"/>
              </w:rPr>
            </w:pPr>
            <w:r w:rsidRPr="00C84129">
              <w:rPr>
                <w:rFonts w:cs="Arial"/>
                <w:szCs w:val="22"/>
              </w:rPr>
              <w:t>*acetylsalicylic acid (ASA) = Aspirin</w:t>
            </w:r>
          </w:p>
        </w:tc>
        <w:tc>
          <w:tcPr>
            <w:tcW w:w="1417" w:type="dxa"/>
            <w:shd w:val="clear" w:color="auto" w:fill="auto"/>
            <w:vAlign w:val="center"/>
          </w:tcPr>
          <w:p w14:paraId="67C213D6" w14:textId="77777777" w:rsidR="00735E20" w:rsidRPr="00C84129" w:rsidRDefault="00735E20" w:rsidP="00C84129">
            <w:pPr>
              <w:jc w:val="center"/>
              <w:rPr>
                <w:rFonts w:cs="Arial"/>
                <w:sz w:val="24"/>
              </w:rPr>
            </w:pPr>
            <w:r w:rsidRPr="00C84129">
              <w:rPr>
                <w:rFonts w:cs="Arial"/>
                <w:sz w:val="24"/>
              </w:rPr>
              <w:t>x</w:t>
            </w:r>
          </w:p>
        </w:tc>
        <w:tc>
          <w:tcPr>
            <w:tcW w:w="1560" w:type="dxa"/>
            <w:shd w:val="clear" w:color="auto" w:fill="auto"/>
            <w:vAlign w:val="center"/>
          </w:tcPr>
          <w:p w14:paraId="1B7FDDE6" w14:textId="77777777" w:rsidR="00735E20" w:rsidRPr="00C84129" w:rsidRDefault="00735E20" w:rsidP="00C84129">
            <w:pPr>
              <w:jc w:val="center"/>
              <w:rPr>
                <w:rFonts w:cs="Arial"/>
                <w:sz w:val="24"/>
              </w:rPr>
            </w:pPr>
            <w:r w:rsidRPr="00C84129">
              <w:rPr>
                <w:rFonts w:cs="Arial"/>
                <w:sz w:val="24"/>
              </w:rPr>
              <w:sym w:font="Symbol" w:char="F0D6"/>
            </w:r>
            <w:r w:rsidRPr="00C84129">
              <w:rPr>
                <w:rFonts w:cs="Arial"/>
                <w:sz w:val="24"/>
              </w:rPr>
              <w:t xml:space="preserve"> 2.5mg only</w:t>
            </w:r>
          </w:p>
          <w:p w14:paraId="5D5C5A5A" w14:textId="1678AF61" w:rsidR="00735E20" w:rsidRPr="00C84129" w:rsidRDefault="00735E20" w:rsidP="002315F1">
            <w:pPr>
              <w:jc w:val="center"/>
              <w:rPr>
                <w:rFonts w:cs="Arial"/>
                <w:sz w:val="24"/>
              </w:rPr>
            </w:pPr>
            <w:r w:rsidRPr="00C84129">
              <w:rPr>
                <w:rFonts w:cs="Arial"/>
                <w:sz w:val="24"/>
              </w:rPr>
              <w:t>NICE TA 355</w:t>
            </w:r>
            <w:r w:rsidRPr="00C84129">
              <w:rPr>
                <w:rFonts w:cs="Arial"/>
                <w:sz w:val="24"/>
                <w:vertAlign w:val="superscript"/>
              </w:rPr>
              <w:t>19</w:t>
            </w:r>
          </w:p>
        </w:tc>
        <w:tc>
          <w:tcPr>
            <w:tcW w:w="1275" w:type="dxa"/>
            <w:shd w:val="clear" w:color="auto" w:fill="auto"/>
            <w:vAlign w:val="center"/>
          </w:tcPr>
          <w:p w14:paraId="3B030F21" w14:textId="77777777" w:rsidR="00735E20" w:rsidRPr="00C84129" w:rsidRDefault="00735E20" w:rsidP="00C84129">
            <w:pPr>
              <w:jc w:val="center"/>
              <w:rPr>
                <w:rFonts w:cs="Arial"/>
                <w:sz w:val="24"/>
              </w:rPr>
            </w:pPr>
            <w:r w:rsidRPr="00C84129">
              <w:rPr>
                <w:rFonts w:cs="Arial"/>
                <w:sz w:val="24"/>
              </w:rPr>
              <w:t>x</w:t>
            </w:r>
          </w:p>
        </w:tc>
        <w:tc>
          <w:tcPr>
            <w:tcW w:w="1276" w:type="dxa"/>
            <w:shd w:val="clear" w:color="auto" w:fill="auto"/>
            <w:vAlign w:val="center"/>
          </w:tcPr>
          <w:p w14:paraId="7F68360F" w14:textId="77777777" w:rsidR="00735E20" w:rsidRPr="00C84129" w:rsidRDefault="00735E20" w:rsidP="00C84129">
            <w:pPr>
              <w:jc w:val="center"/>
              <w:rPr>
                <w:rFonts w:cs="Arial"/>
                <w:sz w:val="24"/>
              </w:rPr>
            </w:pPr>
            <w:r w:rsidRPr="00C84129">
              <w:rPr>
                <w:rFonts w:cs="Arial"/>
                <w:sz w:val="24"/>
              </w:rPr>
              <w:t>x</w:t>
            </w:r>
          </w:p>
        </w:tc>
        <w:tc>
          <w:tcPr>
            <w:tcW w:w="1276" w:type="dxa"/>
            <w:vAlign w:val="center"/>
          </w:tcPr>
          <w:p w14:paraId="5BEECBD1" w14:textId="77777777" w:rsidR="00735E20" w:rsidRPr="00C84129" w:rsidRDefault="00735E20" w:rsidP="00C84129">
            <w:pPr>
              <w:jc w:val="center"/>
              <w:rPr>
                <w:rFonts w:cs="Arial"/>
                <w:sz w:val="24"/>
              </w:rPr>
            </w:pPr>
            <w:r w:rsidRPr="00C84129">
              <w:rPr>
                <w:rFonts w:cs="Arial"/>
                <w:sz w:val="24"/>
              </w:rPr>
              <w:t>x</w:t>
            </w:r>
          </w:p>
        </w:tc>
      </w:tr>
      <w:tr w:rsidR="00735E20" w:rsidRPr="00735E20" w14:paraId="59FDBDE8" w14:textId="77777777" w:rsidTr="00C84129">
        <w:trPr>
          <w:trHeight w:val="2675"/>
          <w:jc w:val="center"/>
        </w:trPr>
        <w:tc>
          <w:tcPr>
            <w:tcW w:w="3681" w:type="dxa"/>
            <w:vAlign w:val="center"/>
          </w:tcPr>
          <w:p w14:paraId="7B2A4DE2" w14:textId="4EFAA4BE" w:rsidR="00735E20" w:rsidRPr="00C84129" w:rsidRDefault="00735E20" w:rsidP="00C84129">
            <w:pPr>
              <w:pStyle w:val="NormalWeb"/>
              <w:shd w:val="clear" w:color="auto" w:fill="FFFFFF"/>
              <w:spacing w:before="0" w:beforeAutospacing="0" w:after="0" w:afterAutospacing="0"/>
              <w:rPr>
                <w:rFonts w:cs="Arial"/>
                <w:color w:val="000000"/>
                <w:szCs w:val="22"/>
                <w:vertAlign w:val="superscript"/>
              </w:rPr>
            </w:pPr>
            <w:r w:rsidRPr="00C84129">
              <w:rPr>
                <w:rFonts w:cs="Arial"/>
                <w:color w:val="000000"/>
                <w:szCs w:val="22"/>
              </w:rPr>
              <w:t>Co-administered with acetylsalicylic acid (ASA) is indicated for the prevention of atherothrombotic events in adult patients with coronary artery disease (CAD) or symptomatic peripheral artery disease (PAD) at high risk of ischaemic events</w:t>
            </w:r>
            <w:r w:rsidRPr="00C84129">
              <w:rPr>
                <w:rFonts w:cs="Arial"/>
                <w:color w:val="000000"/>
                <w:szCs w:val="22"/>
                <w:vertAlign w:val="superscript"/>
              </w:rPr>
              <w:t>2</w:t>
            </w:r>
          </w:p>
          <w:p w14:paraId="20FAE17F" w14:textId="77777777" w:rsidR="00735E20" w:rsidRPr="00C84129" w:rsidRDefault="00735E20" w:rsidP="00C84129">
            <w:pPr>
              <w:pStyle w:val="NormalWeb"/>
              <w:shd w:val="clear" w:color="auto" w:fill="FFFFFF"/>
              <w:spacing w:before="0" w:beforeAutospacing="0" w:after="0" w:afterAutospacing="0"/>
              <w:rPr>
                <w:rFonts w:cs="Arial"/>
                <w:szCs w:val="22"/>
              </w:rPr>
            </w:pPr>
            <w:r w:rsidRPr="00C84129">
              <w:rPr>
                <w:rFonts w:cs="Arial"/>
                <w:szCs w:val="22"/>
              </w:rPr>
              <w:t>*acetylsalicylic acid (ASA) = Aspirin</w:t>
            </w:r>
          </w:p>
        </w:tc>
        <w:tc>
          <w:tcPr>
            <w:tcW w:w="1417" w:type="dxa"/>
            <w:shd w:val="clear" w:color="auto" w:fill="auto"/>
            <w:vAlign w:val="center"/>
          </w:tcPr>
          <w:p w14:paraId="53A98B7E" w14:textId="77777777" w:rsidR="00735E20" w:rsidRPr="00C84129" w:rsidRDefault="00735E20" w:rsidP="00C84129">
            <w:pPr>
              <w:jc w:val="center"/>
              <w:rPr>
                <w:rFonts w:cs="Arial"/>
                <w:sz w:val="24"/>
              </w:rPr>
            </w:pPr>
            <w:r w:rsidRPr="00C84129">
              <w:rPr>
                <w:rFonts w:cs="Arial"/>
                <w:sz w:val="24"/>
              </w:rPr>
              <w:t>x</w:t>
            </w:r>
          </w:p>
        </w:tc>
        <w:tc>
          <w:tcPr>
            <w:tcW w:w="1560" w:type="dxa"/>
            <w:shd w:val="clear" w:color="auto" w:fill="auto"/>
            <w:vAlign w:val="center"/>
          </w:tcPr>
          <w:p w14:paraId="2A59501E" w14:textId="77777777" w:rsidR="00735E20" w:rsidRPr="00C84129" w:rsidRDefault="00735E20" w:rsidP="00C84129">
            <w:pPr>
              <w:jc w:val="center"/>
              <w:rPr>
                <w:rFonts w:cs="Arial"/>
                <w:sz w:val="24"/>
              </w:rPr>
            </w:pPr>
            <w:r w:rsidRPr="00C84129">
              <w:rPr>
                <w:rFonts w:cs="Arial"/>
                <w:sz w:val="24"/>
              </w:rPr>
              <w:sym w:font="Symbol" w:char="F0D6"/>
            </w:r>
            <w:r w:rsidRPr="00C84129">
              <w:rPr>
                <w:rFonts w:cs="Arial"/>
                <w:sz w:val="24"/>
              </w:rPr>
              <w:t xml:space="preserve"> 2.5mg only</w:t>
            </w:r>
          </w:p>
          <w:p w14:paraId="633D31C3" w14:textId="2EECDF86" w:rsidR="00735E20" w:rsidRPr="00C84129" w:rsidRDefault="00735E20" w:rsidP="002315F1">
            <w:pPr>
              <w:jc w:val="center"/>
              <w:rPr>
                <w:rFonts w:cs="Arial"/>
                <w:sz w:val="24"/>
              </w:rPr>
            </w:pPr>
            <w:r w:rsidRPr="00C84129">
              <w:rPr>
                <w:rFonts w:cs="Arial"/>
                <w:sz w:val="24"/>
              </w:rPr>
              <w:t>NICE TA 607</w:t>
            </w:r>
            <w:r w:rsidRPr="00C84129">
              <w:rPr>
                <w:rFonts w:cs="Arial"/>
                <w:sz w:val="24"/>
                <w:vertAlign w:val="superscript"/>
              </w:rPr>
              <w:t>20</w:t>
            </w:r>
          </w:p>
        </w:tc>
        <w:tc>
          <w:tcPr>
            <w:tcW w:w="1275" w:type="dxa"/>
            <w:shd w:val="clear" w:color="auto" w:fill="auto"/>
            <w:vAlign w:val="center"/>
          </w:tcPr>
          <w:p w14:paraId="3DAAF2DC" w14:textId="77777777" w:rsidR="00735E20" w:rsidRPr="00C84129" w:rsidRDefault="00735E20" w:rsidP="00C84129">
            <w:pPr>
              <w:jc w:val="center"/>
              <w:rPr>
                <w:rFonts w:cs="Arial"/>
                <w:sz w:val="24"/>
              </w:rPr>
            </w:pPr>
            <w:r w:rsidRPr="00C84129">
              <w:rPr>
                <w:rFonts w:cs="Arial"/>
                <w:sz w:val="24"/>
              </w:rPr>
              <w:t>x</w:t>
            </w:r>
          </w:p>
        </w:tc>
        <w:tc>
          <w:tcPr>
            <w:tcW w:w="1276" w:type="dxa"/>
            <w:shd w:val="clear" w:color="auto" w:fill="auto"/>
            <w:vAlign w:val="center"/>
          </w:tcPr>
          <w:p w14:paraId="6233C6C6" w14:textId="77777777" w:rsidR="00735E20" w:rsidRPr="00C84129" w:rsidRDefault="00735E20" w:rsidP="00C84129">
            <w:pPr>
              <w:jc w:val="center"/>
              <w:rPr>
                <w:rFonts w:cs="Arial"/>
                <w:sz w:val="24"/>
              </w:rPr>
            </w:pPr>
            <w:r w:rsidRPr="00C84129">
              <w:rPr>
                <w:rFonts w:cs="Arial"/>
                <w:sz w:val="24"/>
              </w:rPr>
              <w:t>x</w:t>
            </w:r>
          </w:p>
        </w:tc>
        <w:tc>
          <w:tcPr>
            <w:tcW w:w="1276" w:type="dxa"/>
            <w:vAlign w:val="center"/>
          </w:tcPr>
          <w:p w14:paraId="775D867F" w14:textId="77777777" w:rsidR="00735E20" w:rsidRPr="00C84129" w:rsidRDefault="00735E20" w:rsidP="00C84129">
            <w:pPr>
              <w:jc w:val="center"/>
              <w:rPr>
                <w:rFonts w:cs="Arial"/>
                <w:sz w:val="24"/>
              </w:rPr>
            </w:pPr>
            <w:r w:rsidRPr="00C84129">
              <w:rPr>
                <w:rFonts w:cs="Arial"/>
                <w:sz w:val="24"/>
              </w:rPr>
              <w:t>x</w:t>
            </w:r>
          </w:p>
        </w:tc>
      </w:tr>
      <w:tr w:rsidR="00735E20" w:rsidRPr="00735E20" w14:paraId="2882B772" w14:textId="77777777" w:rsidTr="00C84129">
        <w:trPr>
          <w:trHeight w:val="799"/>
          <w:jc w:val="center"/>
        </w:trPr>
        <w:tc>
          <w:tcPr>
            <w:tcW w:w="3681" w:type="dxa"/>
            <w:vAlign w:val="center"/>
          </w:tcPr>
          <w:p w14:paraId="766B4C36" w14:textId="0881A1D2" w:rsidR="00735E20" w:rsidRPr="00C84129" w:rsidRDefault="005467EF" w:rsidP="00C84129">
            <w:pPr>
              <w:pStyle w:val="NormalWeb"/>
              <w:shd w:val="clear" w:color="auto" w:fill="FFFFFF"/>
              <w:spacing w:after="143"/>
              <w:rPr>
                <w:rFonts w:cs="Arial"/>
                <w:color w:val="000000"/>
                <w:szCs w:val="22"/>
              </w:rPr>
            </w:pPr>
            <w:r>
              <w:rPr>
                <w:rFonts w:cs="Arial"/>
                <w:color w:val="000000"/>
                <w:szCs w:val="22"/>
              </w:rPr>
              <w:t>T</w:t>
            </w:r>
            <w:r w:rsidR="00735E20" w:rsidRPr="00C84129">
              <w:rPr>
                <w:rFonts w:cs="Arial"/>
                <w:color w:val="000000"/>
                <w:szCs w:val="22"/>
              </w:rPr>
              <w:t>ransient cerebral ischaemic attacks</w:t>
            </w:r>
          </w:p>
        </w:tc>
        <w:tc>
          <w:tcPr>
            <w:tcW w:w="1417" w:type="dxa"/>
            <w:shd w:val="clear" w:color="auto" w:fill="auto"/>
            <w:vAlign w:val="center"/>
          </w:tcPr>
          <w:p w14:paraId="0D57B925" w14:textId="77777777" w:rsidR="00735E20" w:rsidRPr="00C84129" w:rsidRDefault="00735E20" w:rsidP="00C84129">
            <w:pPr>
              <w:jc w:val="center"/>
              <w:rPr>
                <w:rFonts w:cs="Arial"/>
                <w:sz w:val="24"/>
              </w:rPr>
            </w:pPr>
            <w:r w:rsidRPr="00C84129">
              <w:rPr>
                <w:rFonts w:cs="Arial"/>
                <w:sz w:val="24"/>
              </w:rPr>
              <w:t>x</w:t>
            </w:r>
          </w:p>
        </w:tc>
        <w:tc>
          <w:tcPr>
            <w:tcW w:w="1560" w:type="dxa"/>
            <w:shd w:val="clear" w:color="auto" w:fill="auto"/>
            <w:vAlign w:val="center"/>
          </w:tcPr>
          <w:p w14:paraId="796667ED" w14:textId="77777777" w:rsidR="00735E20" w:rsidRPr="00C84129" w:rsidRDefault="00735E20" w:rsidP="00C84129">
            <w:pPr>
              <w:jc w:val="center"/>
              <w:rPr>
                <w:rFonts w:cs="Arial"/>
                <w:sz w:val="24"/>
              </w:rPr>
            </w:pPr>
            <w:r w:rsidRPr="00C84129">
              <w:rPr>
                <w:rFonts w:cs="Arial"/>
                <w:sz w:val="24"/>
              </w:rPr>
              <w:t>x</w:t>
            </w:r>
          </w:p>
        </w:tc>
        <w:tc>
          <w:tcPr>
            <w:tcW w:w="1275" w:type="dxa"/>
            <w:shd w:val="clear" w:color="auto" w:fill="auto"/>
            <w:vAlign w:val="center"/>
          </w:tcPr>
          <w:p w14:paraId="68ADE4BC" w14:textId="77777777" w:rsidR="00735E20" w:rsidRPr="00C84129" w:rsidRDefault="00735E20" w:rsidP="00C84129">
            <w:pPr>
              <w:jc w:val="center"/>
              <w:rPr>
                <w:rFonts w:cs="Arial"/>
                <w:sz w:val="24"/>
              </w:rPr>
            </w:pPr>
            <w:r w:rsidRPr="00C84129">
              <w:rPr>
                <w:rFonts w:cs="Arial"/>
                <w:sz w:val="24"/>
              </w:rPr>
              <w:t>x</w:t>
            </w:r>
          </w:p>
        </w:tc>
        <w:tc>
          <w:tcPr>
            <w:tcW w:w="1276" w:type="dxa"/>
            <w:shd w:val="clear" w:color="auto" w:fill="auto"/>
            <w:vAlign w:val="center"/>
          </w:tcPr>
          <w:p w14:paraId="722CE107" w14:textId="77777777" w:rsidR="00735E20" w:rsidRPr="00C84129" w:rsidRDefault="00735E20" w:rsidP="00C84129">
            <w:pPr>
              <w:jc w:val="center"/>
              <w:rPr>
                <w:rFonts w:cs="Arial"/>
                <w:sz w:val="24"/>
              </w:rPr>
            </w:pPr>
            <w:r w:rsidRPr="00C84129">
              <w:rPr>
                <w:rFonts w:cs="Arial"/>
                <w:sz w:val="24"/>
              </w:rPr>
              <w:t>x</w:t>
            </w:r>
          </w:p>
        </w:tc>
        <w:tc>
          <w:tcPr>
            <w:tcW w:w="1276" w:type="dxa"/>
            <w:vAlign w:val="center"/>
          </w:tcPr>
          <w:p w14:paraId="3EC1B67D" w14:textId="77777777" w:rsidR="00735E20" w:rsidRPr="00C84129" w:rsidRDefault="00735E20" w:rsidP="00C84129">
            <w:pPr>
              <w:jc w:val="center"/>
              <w:rPr>
                <w:rFonts w:cs="Arial"/>
                <w:sz w:val="24"/>
              </w:rPr>
            </w:pPr>
            <w:r w:rsidRPr="00C84129">
              <w:rPr>
                <w:rFonts w:cs="Arial"/>
                <w:sz w:val="24"/>
              </w:rPr>
              <w:sym w:font="Symbol" w:char="F0D6"/>
            </w:r>
          </w:p>
        </w:tc>
      </w:tr>
    </w:tbl>
    <w:p w14:paraId="641C7D01" w14:textId="38AF3A0E" w:rsidR="00FF706E" w:rsidRPr="00EB561B" w:rsidRDefault="00FF706E" w:rsidP="0093634D">
      <w:pPr>
        <w:pStyle w:val="Heading2"/>
        <w:rPr>
          <w:rFonts w:asciiTheme="majorHAnsi" w:hAnsiTheme="majorHAnsi" w:cstheme="majorHAnsi"/>
          <w:sz w:val="22"/>
          <w:szCs w:val="22"/>
        </w:rPr>
        <w:sectPr w:rsidR="00FF706E" w:rsidRPr="00EB561B" w:rsidSect="00FF706E">
          <w:footerReference w:type="default" r:id="rId9"/>
          <w:pgSz w:w="11900" w:h="16840"/>
          <w:pgMar w:top="1134" w:right="1021" w:bottom="1134" w:left="1134" w:header="567" w:footer="567" w:gutter="0"/>
          <w:cols w:space="708"/>
          <w:docGrid w:linePitch="360"/>
        </w:sectPr>
      </w:pPr>
    </w:p>
    <w:p w14:paraId="13F02865" w14:textId="6A778D1B" w:rsidR="00FF706E" w:rsidRPr="00EB561B" w:rsidRDefault="00FF706E" w:rsidP="00AC5AE4">
      <w:pPr>
        <w:pStyle w:val="ListParagraph"/>
        <w:rPr>
          <w:rFonts w:asciiTheme="majorHAnsi" w:hAnsiTheme="majorHAnsi" w:cstheme="majorHAnsi"/>
          <w:szCs w:val="22"/>
        </w:rPr>
      </w:pPr>
    </w:p>
    <w:tbl>
      <w:tblPr>
        <w:tblStyle w:val="TableGrid"/>
        <w:tblW w:w="5000" w:type="pct"/>
        <w:jc w:val="center"/>
        <w:tblLook w:val="04A0" w:firstRow="1" w:lastRow="0" w:firstColumn="1" w:lastColumn="0" w:noHBand="0" w:noVBand="1"/>
      </w:tblPr>
      <w:tblGrid>
        <w:gridCol w:w="2326"/>
        <w:gridCol w:w="1704"/>
        <w:gridCol w:w="1620"/>
        <w:gridCol w:w="2023"/>
        <w:gridCol w:w="2062"/>
      </w:tblGrid>
      <w:tr w:rsidR="009230F1" w:rsidRPr="00EB561B" w14:paraId="3BDEE8A2" w14:textId="77777777" w:rsidTr="006352E6">
        <w:trPr>
          <w:tblHeader/>
          <w:jc w:val="center"/>
        </w:trPr>
        <w:tc>
          <w:tcPr>
            <w:tcW w:w="5000" w:type="pct"/>
            <w:gridSpan w:val="5"/>
            <w:shd w:val="clear" w:color="auto" w:fill="F2F2F2" w:themeFill="background1" w:themeFillShade="F2"/>
            <w:vAlign w:val="center"/>
          </w:tcPr>
          <w:p w14:paraId="7BE28395" w14:textId="5629CEF5" w:rsidR="009230F1" w:rsidRPr="00C84129" w:rsidRDefault="002D580A" w:rsidP="006352E6">
            <w:pPr>
              <w:pStyle w:val="Heading2"/>
            </w:pPr>
            <w:bookmarkStart w:id="29" w:name="_Toc363736442"/>
            <w:bookmarkStart w:id="30" w:name="_Toc365717729"/>
            <w:bookmarkStart w:id="31" w:name="_Toc96868245"/>
            <w:bookmarkStart w:id="32" w:name="_Toc104910441"/>
            <w:bookmarkStart w:id="33" w:name="_Toc106708889"/>
            <w:r>
              <w:t>Mode of a</w:t>
            </w:r>
            <w:r w:rsidR="009230F1" w:rsidRPr="00EB561B">
              <w:t>ction</w:t>
            </w:r>
            <w:bookmarkEnd w:id="29"/>
            <w:bookmarkEnd w:id="30"/>
            <w:bookmarkEnd w:id="31"/>
            <w:bookmarkEnd w:id="32"/>
            <w:bookmarkEnd w:id="33"/>
          </w:p>
        </w:tc>
      </w:tr>
      <w:tr w:rsidR="009230F1" w:rsidRPr="00EB561B" w14:paraId="2309F14D" w14:textId="77777777" w:rsidTr="00852362">
        <w:trPr>
          <w:tblHeader/>
          <w:jc w:val="center"/>
        </w:trPr>
        <w:tc>
          <w:tcPr>
            <w:tcW w:w="1195" w:type="pct"/>
            <w:shd w:val="clear" w:color="auto" w:fill="DBE5F1" w:themeFill="accent1" w:themeFillTint="33"/>
            <w:vAlign w:val="center"/>
          </w:tcPr>
          <w:p w14:paraId="718F7247" w14:textId="4CC97D64" w:rsidR="009230F1" w:rsidRPr="00C84129" w:rsidRDefault="009230F1" w:rsidP="006352E6">
            <w:pPr>
              <w:rPr>
                <w:b/>
                <w:bCs/>
              </w:rPr>
            </w:pPr>
            <w:r w:rsidRPr="00C84129">
              <w:rPr>
                <w:b/>
                <w:bCs/>
              </w:rPr>
              <w:t>Dabigatran (Pradaxa</w:t>
            </w:r>
            <w:r w:rsidRPr="00C84129">
              <w:rPr>
                <w:b/>
                <w:bCs/>
              </w:rPr>
              <w:sym w:font="Symbol" w:char="F0D2"/>
            </w:r>
            <w:r w:rsidRPr="00C84129">
              <w:rPr>
                <w:b/>
                <w:bCs/>
              </w:rPr>
              <w:t>)</w:t>
            </w:r>
            <w:r w:rsidRPr="00C84129">
              <w:rPr>
                <w:b/>
                <w:bCs/>
                <w:vertAlign w:val="superscript"/>
              </w:rPr>
              <w:t>1</w:t>
            </w:r>
            <w:r w:rsidR="00172937" w:rsidRPr="00C84129">
              <w:rPr>
                <w:b/>
                <w:bCs/>
                <w:vertAlign w:val="superscript"/>
              </w:rPr>
              <w:t>,5</w:t>
            </w:r>
          </w:p>
        </w:tc>
        <w:tc>
          <w:tcPr>
            <w:tcW w:w="875" w:type="pct"/>
            <w:shd w:val="clear" w:color="auto" w:fill="F2DBDB" w:themeFill="accent2" w:themeFillTint="33"/>
            <w:vAlign w:val="center"/>
          </w:tcPr>
          <w:p w14:paraId="27200F6C" w14:textId="77777777" w:rsidR="009230F1" w:rsidRPr="00C84129" w:rsidRDefault="009230F1" w:rsidP="006352E6">
            <w:pPr>
              <w:rPr>
                <w:b/>
                <w:bCs/>
              </w:rPr>
            </w:pPr>
            <w:r w:rsidRPr="00C84129">
              <w:rPr>
                <w:b/>
                <w:bCs/>
              </w:rPr>
              <w:t>Rivaroxaban (Xarelto</w:t>
            </w:r>
            <w:r w:rsidRPr="00C84129">
              <w:rPr>
                <w:b/>
                <w:bCs/>
              </w:rPr>
              <w:sym w:font="Symbol" w:char="F0D2"/>
            </w:r>
            <w:r w:rsidRPr="00C84129">
              <w:rPr>
                <w:rFonts w:cs="Arial"/>
                <w:b/>
                <w:bCs/>
              </w:rPr>
              <w:t>▼</w:t>
            </w:r>
            <w:r w:rsidRPr="00C84129">
              <w:rPr>
                <w:b/>
                <w:bCs/>
              </w:rPr>
              <w:t>)</w:t>
            </w:r>
            <w:r w:rsidRPr="00C84129">
              <w:rPr>
                <w:b/>
                <w:bCs/>
                <w:vertAlign w:val="superscript"/>
              </w:rPr>
              <w:t>2</w:t>
            </w:r>
          </w:p>
        </w:tc>
        <w:tc>
          <w:tcPr>
            <w:tcW w:w="832" w:type="pct"/>
            <w:shd w:val="clear" w:color="auto" w:fill="E5DFEC" w:themeFill="accent4" w:themeFillTint="33"/>
            <w:vAlign w:val="center"/>
          </w:tcPr>
          <w:p w14:paraId="13FC5F01" w14:textId="77777777" w:rsidR="009230F1" w:rsidRPr="00C84129" w:rsidRDefault="009230F1" w:rsidP="006352E6">
            <w:pPr>
              <w:rPr>
                <w:b/>
                <w:bCs/>
              </w:rPr>
            </w:pPr>
            <w:r w:rsidRPr="00C84129">
              <w:rPr>
                <w:b/>
                <w:bCs/>
              </w:rPr>
              <w:t>Apixaban (Eliquis</w:t>
            </w:r>
            <w:r w:rsidRPr="00C84129">
              <w:rPr>
                <w:b/>
                <w:bCs/>
              </w:rPr>
              <w:sym w:font="Symbol" w:char="F0D2"/>
            </w:r>
            <w:r w:rsidRPr="00C84129">
              <w:rPr>
                <w:b/>
                <w:bCs/>
              </w:rPr>
              <w:t>)</w:t>
            </w:r>
            <w:r w:rsidRPr="00C84129">
              <w:rPr>
                <w:b/>
                <w:bCs/>
                <w:vertAlign w:val="superscript"/>
              </w:rPr>
              <w:t>3</w:t>
            </w:r>
          </w:p>
        </w:tc>
        <w:tc>
          <w:tcPr>
            <w:tcW w:w="1039" w:type="pct"/>
            <w:shd w:val="clear" w:color="auto" w:fill="FDE9D9" w:themeFill="accent6" w:themeFillTint="33"/>
            <w:vAlign w:val="center"/>
          </w:tcPr>
          <w:p w14:paraId="53D568C0" w14:textId="79321217" w:rsidR="009230F1" w:rsidRPr="00C84129" w:rsidRDefault="009230F1" w:rsidP="006352E6">
            <w:pPr>
              <w:rPr>
                <w:b/>
                <w:bCs/>
              </w:rPr>
            </w:pPr>
            <w:r w:rsidRPr="00C84129">
              <w:rPr>
                <w:b/>
                <w:bCs/>
              </w:rPr>
              <w:t>Edoxaban (Lixiana</w:t>
            </w:r>
            <w:r w:rsidRPr="00C84129">
              <w:rPr>
                <w:b/>
                <w:bCs/>
              </w:rPr>
              <w:sym w:font="Symbol" w:char="F0D2"/>
            </w:r>
            <w:r w:rsidRPr="00C84129">
              <w:rPr>
                <w:b/>
                <w:bCs/>
              </w:rPr>
              <w:t>)</w:t>
            </w:r>
            <w:r w:rsidRPr="00C84129">
              <w:rPr>
                <w:b/>
                <w:bCs/>
                <w:vertAlign w:val="superscript"/>
              </w:rPr>
              <w:t>4</w:t>
            </w:r>
          </w:p>
        </w:tc>
        <w:tc>
          <w:tcPr>
            <w:tcW w:w="1059" w:type="pct"/>
            <w:shd w:val="clear" w:color="auto" w:fill="EAF1DD" w:themeFill="accent3" w:themeFillTint="33"/>
            <w:vAlign w:val="center"/>
          </w:tcPr>
          <w:p w14:paraId="3D208137" w14:textId="1373F154" w:rsidR="009230F1" w:rsidRPr="00C84129" w:rsidRDefault="009230F1" w:rsidP="006352E6">
            <w:pPr>
              <w:rPr>
                <w:b/>
                <w:bCs/>
              </w:rPr>
            </w:pPr>
            <w:r w:rsidRPr="00C84129">
              <w:rPr>
                <w:b/>
                <w:bCs/>
              </w:rPr>
              <w:t>Warfarin</w:t>
            </w:r>
            <w:r w:rsidR="004350D5" w:rsidRPr="00C84129">
              <w:rPr>
                <w:b/>
                <w:bCs/>
                <w:vertAlign w:val="superscript"/>
              </w:rPr>
              <w:t>5</w:t>
            </w:r>
            <w:r w:rsidR="00EE50A0" w:rsidRPr="00C84129">
              <w:rPr>
                <w:b/>
                <w:bCs/>
                <w:vertAlign w:val="superscript"/>
              </w:rPr>
              <w:t>,6</w:t>
            </w:r>
          </w:p>
        </w:tc>
      </w:tr>
      <w:tr w:rsidR="009230F1" w:rsidRPr="00EB561B" w14:paraId="0F6D5140" w14:textId="77777777" w:rsidTr="006352E6">
        <w:trPr>
          <w:trHeight w:val="1757"/>
          <w:jc w:val="center"/>
        </w:trPr>
        <w:tc>
          <w:tcPr>
            <w:tcW w:w="1195" w:type="pct"/>
            <w:shd w:val="clear" w:color="auto" w:fill="auto"/>
            <w:vAlign w:val="center"/>
          </w:tcPr>
          <w:p w14:paraId="4F7AD40A" w14:textId="2FFD2805" w:rsidR="009230F1" w:rsidRPr="00EB561B" w:rsidRDefault="008C5614" w:rsidP="006352E6">
            <w:r w:rsidRPr="00EB561B">
              <w:t>Direct t</w:t>
            </w:r>
            <w:r w:rsidR="009230F1" w:rsidRPr="00EB561B">
              <w:t>hrombin</w:t>
            </w:r>
            <w:r w:rsidRPr="00EB561B">
              <w:t xml:space="preserve"> inhibitor</w:t>
            </w:r>
          </w:p>
        </w:tc>
        <w:tc>
          <w:tcPr>
            <w:tcW w:w="875" w:type="pct"/>
            <w:shd w:val="clear" w:color="auto" w:fill="auto"/>
            <w:vAlign w:val="center"/>
          </w:tcPr>
          <w:p w14:paraId="36255EE5" w14:textId="18D2FE1D" w:rsidR="009230F1" w:rsidRPr="00EB561B" w:rsidRDefault="009230F1" w:rsidP="006352E6">
            <w:bookmarkStart w:id="34" w:name="OLE_LINK12"/>
            <w:bookmarkStart w:id="35" w:name="OLE_LINK13"/>
            <w:r w:rsidRPr="00EB561B">
              <w:t xml:space="preserve">Direct inhibitor of </w:t>
            </w:r>
            <w:r w:rsidR="008C5614" w:rsidRPr="00EB561B">
              <w:t>f</w:t>
            </w:r>
            <w:r w:rsidRPr="00EB561B">
              <w:t>actor Xa</w:t>
            </w:r>
            <w:bookmarkEnd w:id="34"/>
            <w:bookmarkEnd w:id="35"/>
          </w:p>
        </w:tc>
        <w:tc>
          <w:tcPr>
            <w:tcW w:w="832" w:type="pct"/>
            <w:shd w:val="clear" w:color="auto" w:fill="auto"/>
            <w:vAlign w:val="center"/>
          </w:tcPr>
          <w:p w14:paraId="52B65A2C" w14:textId="728F1E0C" w:rsidR="009230F1" w:rsidRPr="00EB561B" w:rsidRDefault="009230F1" w:rsidP="006352E6">
            <w:r w:rsidRPr="00EB561B">
              <w:t xml:space="preserve">Direct inhibitor of </w:t>
            </w:r>
            <w:r w:rsidR="008C5614" w:rsidRPr="00EB561B">
              <w:t>f</w:t>
            </w:r>
            <w:r w:rsidRPr="00EB561B">
              <w:t>actor Xa</w:t>
            </w:r>
          </w:p>
        </w:tc>
        <w:tc>
          <w:tcPr>
            <w:tcW w:w="1039" w:type="pct"/>
            <w:shd w:val="clear" w:color="auto" w:fill="auto"/>
            <w:vAlign w:val="center"/>
          </w:tcPr>
          <w:p w14:paraId="38AE21CD" w14:textId="5BFB0A23" w:rsidR="009230F1" w:rsidRPr="00EB561B" w:rsidRDefault="009230F1" w:rsidP="006352E6">
            <w:r w:rsidRPr="00EB561B">
              <w:t xml:space="preserve">Direct inhibitor of </w:t>
            </w:r>
            <w:r w:rsidR="008C5614" w:rsidRPr="00EB561B">
              <w:t>f</w:t>
            </w:r>
            <w:r w:rsidRPr="00EB561B">
              <w:t>actor Xa</w:t>
            </w:r>
          </w:p>
        </w:tc>
        <w:tc>
          <w:tcPr>
            <w:tcW w:w="1059" w:type="pct"/>
            <w:vAlign w:val="center"/>
          </w:tcPr>
          <w:p w14:paraId="1F01497F" w14:textId="5F665C7F" w:rsidR="009230F1" w:rsidRPr="00EB561B" w:rsidRDefault="009230F1" w:rsidP="006352E6">
            <w:r w:rsidRPr="00EB561B">
              <w:t xml:space="preserve">Inhibits the synthesis of vitamin K dependent clotting factors, which include </w:t>
            </w:r>
            <w:r w:rsidR="008C5614" w:rsidRPr="00EB561B">
              <w:t>f</w:t>
            </w:r>
            <w:r w:rsidRPr="00EB561B">
              <w:t>actors II, VII, IX and X, and the anticoagulant proteins C and S</w:t>
            </w:r>
          </w:p>
        </w:tc>
      </w:tr>
    </w:tbl>
    <w:p w14:paraId="79515B4E" w14:textId="3A690E4D" w:rsidR="00FF706E" w:rsidRPr="00EB561B" w:rsidRDefault="00FF706E">
      <w:pPr>
        <w:rPr>
          <w:rFonts w:asciiTheme="majorHAnsi" w:hAnsiTheme="majorHAnsi" w:cstheme="majorHAnsi"/>
          <w:szCs w:val="22"/>
        </w:rPr>
      </w:pPr>
    </w:p>
    <w:p w14:paraId="6B567A8F" w14:textId="77777777" w:rsidR="0005253C" w:rsidRPr="00EB561B" w:rsidRDefault="0005253C">
      <w:pPr>
        <w:rPr>
          <w:rFonts w:asciiTheme="majorHAnsi" w:hAnsiTheme="majorHAnsi" w:cstheme="majorHAnsi"/>
          <w:szCs w:val="22"/>
        </w:rPr>
      </w:pPr>
    </w:p>
    <w:tbl>
      <w:tblPr>
        <w:tblStyle w:val="TableGrid"/>
        <w:tblW w:w="5000" w:type="pct"/>
        <w:jc w:val="center"/>
        <w:tblLook w:val="04A0" w:firstRow="1" w:lastRow="0" w:firstColumn="1" w:lastColumn="0" w:noHBand="0" w:noVBand="1"/>
      </w:tblPr>
      <w:tblGrid>
        <w:gridCol w:w="1947"/>
        <w:gridCol w:w="1947"/>
        <w:gridCol w:w="1947"/>
        <w:gridCol w:w="1947"/>
        <w:gridCol w:w="1947"/>
      </w:tblGrid>
      <w:tr w:rsidR="00CB300D" w:rsidRPr="00EB561B" w14:paraId="2E692F62" w14:textId="02DFFC24" w:rsidTr="006352E6">
        <w:trPr>
          <w:tblHeader/>
          <w:jc w:val="center"/>
        </w:trPr>
        <w:tc>
          <w:tcPr>
            <w:tcW w:w="5000" w:type="pct"/>
            <w:gridSpan w:val="5"/>
            <w:shd w:val="clear" w:color="auto" w:fill="F2F2F2" w:themeFill="background1" w:themeFillShade="F2"/>
            <w:vAlign w:val="center"/>
          </w:tcPr>
          <w:p w14:paraId="65D8AA8C" w14:textId="03388562" w:rsidR="00CB300D" w:rsidRPr="00EB561B" w:rsidRDefault="00CB300D" w:rsidP="00C84129">
            <w:pPr>
              <w:pStyle w:val="Heading2"/>
            </w:pPr>
            <w:bookmarkStart w:id="36" w:name="_Toc363736443"/>
            <w:bookmarkStart w:id="37" w:name="_Toc365717730"/>
            <w:bookmarkStart w:id="38" w:name="_Toc96868246"/>
            <w:bookmarkStart w:id="39" w:name="_Toc104910442"/>
            <w:bookmarkStart w:id="40" w:name="_Toc106708890"/>
            <w:r w:rsidRPr="00EB561B">
              <w:t>Preparation (oral tablets or capsules)</w:t>
            </w:r>
            <w:bookmarkEnd w:id="36"/>
            <w:bookmarkEnd w:id="37"/>
            <w:bookmarkEnd w:id="38"/>
            <w:bookmarkEnd w:id="39"/>
            <w:bookmarkEnd w:id="40"/>
          </w:p>
        </w:tc>
      </w:tr>
      <w:tr w:rsidR="000C7431" w:rsidRPr="00EB561B" w14:paraId="49A9C6FD" w14:textId="4413A2EA" w:rsidTr="00852362">
        <w:trPr>
          <w:tblHeader/>
          <w:jc w:val="center"/>
        </w:trPr>
        <w:tc>
          <w:tcPr>
            <w:tcW w:w="1000" w:type="pct"/>
            <w:shd w:val="clear" w:color="auto" w:fill="DBE5F1" w:themeFill="accent1" w:themeFillTint="33"/>
            <w:vAlign w:val="center"/>
          </w:tcPr>
          <w:p w14:paraId="144B9A6C" w14:textId="3242368D" w:rsidR="000C7431" w:rsidRPr="00C84129" w:rsidRDefault="000C7431" w:rsidP="00C84129">
            <w:pPr>
              <w:rPr>
                <w:b/>
                <w:bCs/>
              </w:rPr>
            </w:pPr>
            <w:r w:rsidRPr="00C84129">
              <w:rPr>
                <w:b/>
                <w:bCs/>
              </w:rPr>
              <w:t>Dabigatran (Pradaxa</w:t>
            </w:r>
            <w:r w:rsidRPr="00C84129">
              <w:rPr>
                <w:b/>
                <w:bCs/>
              </w:rPr>
              <w:sym w:font="Symbol" w:char="F0D2"/>
            </w:r>
            <w:r w:rsidRPr="00C84129">
              <w:rPr>
                <w:b/>
                <w:bCs/>
              </w:rPr>
              <w:t>)</w:t>
            </w:r>
            <w:r w:rsidRPr="00C84129">
              <w:rPr>
                <w:b/>
                <w:bCs/>
                <w:vertAlign w:val="superscript"/>
              </w:rPr>
              <w:t>1</w:t>
            </w:r>
          </w:p>
        </w:tc>
        <w:tc>
          <w:tcPr>
            <w:tcW w:w="1000" w:type="pct"/>
            <w:shd w:val="clear" w:color="auto" w:fill="F2DBDB" w:themeFill="accent2" w:themeFillTint="33"/>
            <w:vAlign w:val="center"/>
          </w:tcPr>
          <w:p w14:paraId="336FD037" w14:textId="6D88C9CC" w:rsidR="000C7431" w:rsidRPr="00C84129" w:rsidRDefault="000C7431" w:rsidP="00C84129">
            <w:pPr>
              <w:rPr>
                <w:b/>
                <w:bCs/>
              </w:rPr>
            </w:pPr>
            <w:r w:rsidRPr="00C84129">
              <w:rPr>
                <w:b/>
                <w:bCs/>
              </w:rPr>
              <w:t>Rivaroxaban (Xarelto</w:t>
            </w:r>
            <w:r w:rsidRPr="00C84129">
              <w:rPr>
                <w:b/>
                <w:bCs/>
              </w:rPr>
              <w:sym w:font="Symbol" w:char="F0D2"/>
            </w:r>
            <w:r w:rsidRPr="00C84129">
              <w:rPr>
                <w:rFonts w:cs="Arial"/>
                <w:b/>
                <w:bCs/>
              </w:rPr>
              <w:t>▼</w:t>
            </w:r>
            <w:r w:rsidRPr="00C84129">
              <w:rPr>
                <w:b/>
                <w:bCs/>
              </w:rPr>
              <w:t>)</w:t>
            </w:r>
            <w:r w:rsidRPr="00C84129">
              <w:rPr>
                <w:b/>
                <w:bCs/>
                <w:vertAlign w:val="superscript"/>
              </w:rPr>
              <w:t>2</w:t>
            </w:r>
            <w:r w:rsidR="00295CD9" w:rsidRPr="00C84129">
              <w:rPr>
                <w:b/>
                <w:bCs/>
                <w:vertAlign w:val="superscript"/>
              </w:rPr>
              <w:t>,</w:t>
            </w:r>
            <w:r w:rsidR="000864AE">
              <w:rPr>
                <w:b/>
                <w:bCs/>
                <w:vertAlign w:val="superscript"/>
              </w:rPr>
              <w:t>6</w:t>
            </w:r>
          </w:p>
        </w:tc>
        <w:tc>
          <w:tcPr>
            <w:tcW w:w="1000" w:type="pct"/>
            <w:shd w:val="clear" w:color="auto" w:fill="E5DFEC" w:themeFill="accent4" w:themeFillTint="33"/>
            <w:vAlign w:val="center"/>
          </w:tcPr>
          <w:p w14:paraId="6393A38C" w14:textId="1872DC4E" w:rsidR="000C7431" w:rsidRPr="00C84129" w:rsidRDefault="000C7431" w:rsidP="00C84129">
            <w:pPr>
              <w:rPr>
                <w:b/>
                <w:bCs/>
              </w:rPr>
            </w:pPr>
            <w:r w:rsidRPr="00C84129">
              <w:rPr>
                <w:b/>
                <w:bCs/>
              </w:rPr>
              <w:t>Apixaban (Eliquis</w:t>
            </w:r>
            <w:r w:rsidRPr="00C84129">
              <w:rPr>
                <w:b/>
                <w:bCs/>
              </w:rPr>
              <w:sym w:font="Symbol" w:char="F0D2"/>
            </w:r>
            <w:r w:rsidRPr="00C84129">
              <w:rPr>
                <w:b/>
                <w:bCs/>
              </w:rPr>
              <w:t>)</w:t>
            </w:r>
            <w:r w:rsidRPr="00C84129">
              <w:rPr>
                <w:b/>
                <w:bCs/>
                <w:vertAlign w:val="superscript"/>
              </w:rPr>
              <w:t>3</w:t>
            </w:r>
          </w:p>
        </w:tc>
        <w:tc>
          <w:tcPr>
            <w:tcW w:w="1000" w:type="pct"/>
            <w:shd w:val="clear" w:color="auto" w:fill="FDE9D9" w:themeFill="accent6" w:themeFillTint="33"/>
            <w:vAlign w:val="center"/>
          </w:tcPr>
          <w:p w14:paraId="31F61C55" w14:textId="10ECF093" w:rsidR="000C7431" w:rsidRPr="00C84129" w:rsidRDefault="000C7431" w:rsidP="00C84129">
            <w:pPr>
              <w:rPr>
                <w:b/>
                <w:bCs/>
              </w:rPr>
            </w:pPr>
            <w:r w:rsidRPr="00C84129">
              <w:rPr>
                <w:b/>
                <w:bCs/>
              </w:rPr>
              <w:t>Edoxaban (Lixiana</w:t>
            </w:r>
            <w:r w:rsidRPr="00C84129">
              <w:rPr>
                <w:b/>
                <w:bCs/>
              </w:rPr>
              <w:sym w:font="Symbol" w:char="F0D2"/>
            </w:r>
            <w:r w:rsidRPr="00C84129">
              <w:rPr>
                <w:b/>
                <w:bCs/>
              </w:rPr>
              <w:t>)</w:t>
            </w:r>
            <w:r w:rsidRPr="00C84129">
              <w:rPr>
                <w:b/>
                <w:bCs/>
                <w:vertAlign w:val="superscript"/>
              </w:rPr>
              <w:t>4</w:t>
            </w:r>
          </w:p>
        </w:tc>
        <w:tc>
          <w:tcPr>
            <w:tcW w:w="1000" w:type="pct"/>
            <w:shd w:val="clear" w:color="auto" w:fill="EAF1DD" w:themeFill="accent3" w:themeFillTint="33"/>
            <w:vAlign w:val="center"/>
          </w:tcPr>
          <w:p w14:paraId="405DC49F" w14:textId="444770F1" w:rsidR="000C7431" w:rsidRPr="00C84129" w:rsidRDefault="000C7431" w:rsidP="00C84129">
            <w:pPr>
              <w:rPr>
                <w:b/>
                <w:bCs/>
              </w:rPr>
            </w:pPr>
            <w:r w:rsidRPr="00C84129">
              <w:rPr>
                <w:b/>
                <w:bCs/>
              </w:rPr>
              <w:t>Warfarin</w:t>
            </w:r>
            <w:r w:rsidR="00306F69" w:rsidRPr="00C84129">
              <w:rPr>
                <w:b/>
                <w:bCs/>
                <w:vertAlign w:val="superscript"/>
              </w:rPr>
              <w:t>5</w:t>
            </w:r>
          </w:p>
        </w:tc>
      </w:tr>
      <w:tr w:rsidR="000C7431" w:rsidRPr="00EB561B" w14:paraId="6A5C1EE2" w14:textId="684CEAE4" w:rsidTr="006352E6">
        <w:trPr>
          <w:trHeight w:val="2585"/>
          <w:jc w:val="center"/>
        </w:trPr>
        <w:tc>
          <w:tcPr>
            <w:tcW w:w="1000" w:type="pct"/>
            <w:shd w:val="clear" w:color="auto" w:fill="auto"/>
            <w:vAlign w:val="center"/>
          </w:tcPr>
          <w:p w14:paraId="1143B726" w14:textId="60F96671" w:rsidR="000C7431" w:rsidRPr="00EB561B" w:rsidRDefault="000C7431" w:rsidP="00C84129">
            <w:r w:rsidRPr="00EB561B">
              <w:t xml:space="preserve">75mg, 110mg and 150mg </w:t>
            </w:r>
            <w:r w:rsidR="008A4692" w:rsidRPr="00EB561B">
              <w:t>capsules (gelatin free)</w:t>
            </w:r>
          </w:p>
        </w:tc>
        <w:tc>
          <w:tcPr>
            <w:tcW w:w="1000" w:type="pct"/>
            <w:shd w:val="clear" w:color="auto" w:fill="auto"/>
            <w:vAlign w:val="center"/>
          </w:tcPr>
          <w:p w14:paraId="6DD5DB1C" w14:textId="660A8F7A" w:rsidR="000C7431" w:rsidRPr="00EB561B" w:rsidRDefault="000C7431" w:rsidP="00C84129">
            <w:r w:rsidRPr="00EB561B">
              <w:t xml:space="preserve">2.5mg, 10mg, 15mg and 20mg </w:t>
            </w:r>
            <w:r w:rsidR="008A4692" w:rsidRPr="00EB561B">
              <w:t>tablets</w:t>
            </w:r>
          </w:p>
        </w:tc>
        <w:tc>
          <w:tcPr>
            <w:tcW w:w="1000" w:type="pct"/>
            <w:shd w:val="clear" w:color="auto" w:fill="auto"/>
            <w:vAlign w:val="center"/>
          </w:tcPr>
          <w:p w14:paraId="4043A4C0" w14:textId="4B5D78AE" w:rsidR="000C7431" w:rsidRPr="00EB561B" w:rsidRDefault="000C7431" w:rsidP="00C84129">
            <w:r w:rsidRPr="00EB561B">
              <w:t xml:space="preserve">2.5mg and 5mg </w:t>
            </w:r>
            <w:r w:rsidR="008A4692" w:rsidRPr="00EB561B">
              <w:t xml:space="preserve">tablets </w:t>
            </w:r>
          </w:p>
        </w:tc>
        <w:tc>
          <w:tcPr>
            <w:tcW w:w="1000" w:type="pct"/>
            <w:shd w:val="clear" w:color="auto" w:fill="auto"/>
            <w:vAlign w:val="center"/>
          </w:tcPr>
          <w:p w14:paraId="7E144305" w14:textId="6D43DA5D" w:rsidR="000C7431" w:rsidRPr="00EB561B" w:rsidRDefault="000C7431" w:rsidP="00C84129">
            <w:r w:rsidRPr="00EB561B">
              <w:t>15mg, 30mg and 60mg</w:t>
            </w:r>
            <w:r w:rsidR="008A4692" w:rsidRPr="00EB561B">
              <w:t xml:space="preserve"> tablets</w:t>
            </w:r>
          </w:p>
        </w:tc>
        <w:tc>
          <w:tcPr>
            <w:tcW w:w="1000" w:type="pct"/>
            <w:vAlign w:val="center"/>
          </w:tcPr>
          <w:p w14:paraId="69DC1294" w14:textId="5818A828" w:rsidR="000C7431" w:rsidRPr="00EB561B" w:rsidRDefault="00CB300D" w:rsidP="00C84129">
            <w:r w:rsidRPr="00EB561B">
              <w:t>0.5mg, 1mg, 3mg, 5mg</w:t>
            </w:r>
            <w:r w:rsidR="008A4692" w:rsidRPr="00EB561B">
              <w:t xml:space="preserve"> tablets</w:t>
            </w:r>
          </w:p>
        </w:tc>
      </w:tr>
    </w:tbl>
    <w:p w14:paraId="21DC0486" w14:textId="44C29B51" w:rsidR="006352E6" w:rsidRDefault="006352E6">
      <w:pPr>
        <w:rPr>
          <w:rFonts w:asciiTheme="majorHAnsi" w:hAnsiTheme="majorHAnsi" w:cstheme="majorHAnsi"/>
          <w:szCs w:val="22"/>
        </w:rPr>
      </w:pPr>
      <w:r>
        <w:rPr>
          <w:rFonts w:asciiTheme="majorHAnsi" w:hAnsiTheme="majorHAnsi" w:cstheme="majorHAnsi"/>
          <w:szCs w:val="22"/>
        </w:rPr>
        <w:br w:type="page"/>
      </w:r>
    </w:p>
    <w:p w14:paraId="78CD5E2B" w14:textId="77777777" w:rsidR="000F7F87" w:rsidRPr="00EB561B" w:rsidRDefault="000F7F87">
      <w:pPr>
        <w:rPr>
          <w:rFonts w:asciiTheme="majorHAnsi" w:hAnsiTheme="majorHAnsi" w:cstheme="majorHAnsi"/>
          <w:szCs w:val="22"/>
        </w:rPr>
      </w:pPr>
    </w:p>
    <w:tbl>
      <w:tblPr>
        <w:tblStyle w:val="TableGrid"/>
        <w:tblpPr w:leftFromText="180" w:rightFromText="180" w:vertAnchor="text" w:horzAnchor="margin" w:tblpY="-32"/>
        <w:tblW w:w="5000" w:type="pct"/>
        <w:tblLook w:val="04A0" w:firstRow="1" w:lastRow="0" w:firstColumn="1" w:lastColumn="0" w:noHBand="0" w:noVBand="1"/>
      </w:tblPr>
      <w:tblGrid>
        <w:gridCol w:w="2689"/>
        <w:gridCol w:w="7046"/>
      </w:tblGrid>
      <w:tr w:rsidR="00AD2AF4" w:rsidRPr="00EB561B" w14:paraId="4E386903" w14:textId="77777777" w:rsidTr="00852362">
        <w:trPr>
          <w:cantSplit/>
          <w:trHeight w:val="841"/>
        </w:trPr>
        <w:tc>
          <w:tcPr>
            <w:tcW w:w="5000" w:type="pct"/>
            <w:gridSpan w:val="2"/>
            <w:shd w:val="clear" w:color="auto" w:fill="F2F2F2" w:themeFill="background1" w:themeFillShade="F2"/>
            <w:vAlign w:val="center"/>
          </w:tcPr>
          <w:p w14:paraId="0C69B459" w14:textId="4C32A265" w:rsidR="00AD2AF4" w:rsidRPr="00EB561B" w:rsidRDefault="009F099D" w:rsidP="006352E6">
            <w:pPr>
              <w:pStyle w:val="Heading2"/>
            </w:pPr>
            <w:bookmarkStart w:id="41" w:name="_Toc104910443"/>
            <w:bookmarkStart w:id="42" w:name="_Toc106708891"/>
            <w:r w:rsidRPr="006352E6">
              <w:t>Difficulty</w:t>
            </w:r>
            <w:r w:rsidRPr="00EB561B">
              <w:t xml:space="preserve"> swallowing </w:t>
            </w:r>
            <w:r w:rsidR="00AD2AF4" w:rsidRPr="00EB561B">
              <w:t>medication</w:t>
            </w:r>
            <w:bookmarkEnd w:id="41"/>
            <w:bookmarkEnd w:id="42"/>
            <w:r w:rsidR="00AD2AF4" w:rsidRPr="00EB561B">
              <w:t xml:space="preserve"> </w:t>
            </w:r>
          </w:p>
        </w:tc>
      </w:tr>
      <w:tr w:rsidR="006352E6" w:rsidRPr="00EB561B" w14:paraId="44BC1552" w14:textId="77777777" w:rsidTr="00852362">
        <w:trPr>
          <w:cantSplit/>
          <w:trHeight w:val="832"/>
        </w:trPr>
        <w:tc>
          <w:tcPr>
            <w:tcW w:w="1381" w:type="pct"/>
            <w:shd w:val="clear" w:color="auto" w:fill="DBE5F1" w:themeFill="accent1" w:themeFillTint="33"/>
            <w:vAlign w:val="center"/>
          </w:tcPr>
          <w:p w14:paraId="11BEBD87" w14:textId="69AB7A44" w:rsidR="006352E6" w:rsidRPr="006352E6" w:rsidRDefault="006352E6" w:rsidP="006352E6">
            <w:pPr>
              <w:rPr>
                <w:b/>
                <w:bCs/>
              </w:rPr>
            </w:pPr>
            <w:r w:rsidRPr="006352E6">
              <w:rPr>
                <w:b/>
                <w:bCs/>
              </w:rPr>
              <w:t xml:space="preserve">Dabigatran </w:t>
            </w:r>
            <w:r w:rsidR="007D1B0D">
              <w:rPr>
                <w:b/>
                <w:bCs/>
              </w:rPr>
              <w:t xml:space="preserve"> </w:t>
            </w:r>
            <w:r w:rsidRPr="006352E6">
              <w:rPr>
                <w:b/>
                <w:bCs/>
              </w:rPr>
              <w:t>(Pradaxa</w:t>
            </w:r>
            <w:r w:rsidRPr="006352E6">
              <w:rPr>
                <w:b/>
                <w:bCs/>
              </w:rPr>
              <w:sym w:font="Symbol" w:char="F0D2"/>
            </w:r>
            <w:r w:rsidRPr="006352E6">
              <w:rPr>
                <w:b/>
                <w:bCs/>
              </w:rPr>
              <w:t>)</w:t>
            </w:r>
            <w:r w:rsidRPr="006352E6">
              <w:rPr>
                <w:b/>
                <w:bCs/>
                <w:vertAlign w:val="superscript"/>
              </w:rPr>
              <w:t>1</w:t>
            </w:r>
          </w:p>
        </w:tc>
        <w:tc>
          <w:tcPr>
            <w:tcW w:w="3619" w:type="pct"/>
            <w:shd w:val="clear" w:color="auto" w:fill="auto"/>
            <w:vAlign w:val="center"/>
          </w:tcPr>
          <w:p w14:paraId="5E74DFD7" w14:textId="19646D11" w:rsidR="006352E6" w:rsidRPr="006352E6" w:rsidRDefault="006352E6" w:rsidP="006352E6">
            <w:r w:rsidRPr="00EB561B">
              <w:t>Do not open the capsule as this may increase the risk of bleeding</w:t>
            </w:r>
            <w:r w:rsidR="00362A02">
              <w:t xml:space="preserve"> due to increased bioavailability</w:t>
            </w:r>
            <w:r w:rsidR="00453318">
              <w:t xml:space="preserve"> of dabigatran etexilate.</w:t>
            </w:r>
          </w:p>
        </w:tc>
      </w:tr>
      <w:tr w:rsidR="006352E6" w:rsidRPr="00EB561B" w14:paraId="33498A4E" w14:textId="77777777" w:rsidTr="00852362">
        <w:trPr>
          <w:cantSplit/>
          <w:trHeight w:val="3150"/>
        </w:trPr>
        <w:tc>
          <w:tcPr>
            <w:tcW w:w="1381" w:type="pct"/>
            <w:shd w:val="clear" w:color="auto" w:fill="F2DBDB" w:themeFill="accent2" w:themeFillTint="33"/>
            <w:vAlign w:val="center"/>
          </w:tcPr>
          <w:p w14:paraId="51E0152B" w14:textId="15779104" w:rsidR="006352E6" w:rsidRPr="006352E6" w:rsidRDefault="006352E6" w:rsidP="006352E6">
            <w:pPr>
              <w:rPr>
                <w:b/>
                <w:bCs/>
              </w:rPr>
            </w:pPr>
            <w:r w:rsidRPr="006352E6">
              <w:rPr>
                <w:b/>
                <w:bCs/>
              </w:rPr>
              <w:t>Rivaroxaban (Xarelto</w:t>
            </w:r>
            <w:r w:rsidRPr="006352E6">
              <w:rPr>
                <w:b/>
                <w:bCs/>
              </w:rPr>
              <w:sym w:font="Symbol" w:char="F0D2"/>
            </w:r>
            <w:r w:rsidRPr="006352E6">
              <w:rPr>
                <w:rFonts w:cs="Arial"/>
                <w:b/>
                <w:bCs/>
              </w:rPr>
              <w:t>▼</w:t>
            </w:r>
            <w:r w:rsidRPr="006352E6">
              <w:rPr>
                <w:b/>
                <w:bCs/>
              </w:rPr>
              <w:t>)</w:t>
            </w:r>
            <w:r w:rsidRPr="006352E6">
              <w:rPr>
                <w:b/>
                <w:bCs/>
                <w:vertAlign w:val="superscript"/>
              </w:rPr>
              <w:t>2</w:t>
            </w:r>
          </w:p>
        </w:tc>
        <w:tc>
          <w:tcPr>
            <w:tcW w:w="3619" w:type="pct"/>
            <w:shd w:val="clear" w:color="auto" w:fill="auto"/>
            <w:vAlign w:val="center"/>
          </w:tcPr>
          <w:p w14:paraId="50FD8B9E" w14:textId="619B1633" w:rsidR="006352E6" w:rsidRPr="00EB561B" w:rsidRDefault="006352E6" w:rsidP="006352E6">
            <w:r w:rsidRPr="00EB561B">
              <w:t>Tablets may be crushed and mixed with water or apple puree immediately prior to use and administered orally</w:t>
            </w:r>
            <w:r w:rsidR="0016108B">
              <w:t>.</w:t>
            </w:r>
            <w:r w:rsidRPr="00EB561B">
              <w:t> </w:t>
            </w:r>
          </w:p>
          <w:p w14:paraId="619FC69A" w14:textId="15AF8297" w:rsidR="006352E6" w:rsidRPr="00EB561B" w:rsidRDefault="006352E6" w:rsidP="006352E6">
            <w:r w:rsidRPr="00EB561B">
              <w:t>The crushed tablet may also be given through gastric tubes after confirmation of the correct gastric placement of the tube</w:t>
            </w:r>
            <w:r w:rsidR="0016108B">
              <w:t>.</w:t>
            </w:r>
            <w:r w:rsidRPr="00EB561B">
              <w:t xml:space="preserve"> </w:t>
            </w:r>
          </w:p>
          <w:p w14:paraId="261CD09E" w14:textId="09318917" w:rsidR="006352E6" w:rsidRPr="00EB561B" w:rsidRDefault="006352E6" w:rsidP="006352E6">
            <w:r w:rsidRPr="00EB561B">
              <w:t>The crushed tablet should be administered in 50ml of water via a gastric tube after which it should be flushed with water</w:t>
            </w:r>
            <w:r w:rsidR="0016108B">
              <w:t>.</w:t>
            </w:r>
          </w:p>
          <w:p w14:paraId="1C98F707" w14:textId="4C64ED9A" w:rsidR="006352E6" w:rsidRPr="006352E6" w:rsidRDefault="006352E6" w:rsidP="006352E6">
            <w:r w:rsidRPr="00EB561B">
              <w:t>After the administration of crushed 15 mg or 20 mg film-coated tablets, the dose should then be immediately followed by enteral feeding</w:t>
            </w:r>
            <w:r w:rsidR="0016108B">
              <w:t>.</w:t>
            </w:r>
          </w:p>
        </w:tc>
      </w:tr>
      <w:tr w:rsidR="006352E6" w:rsidRPr="00EB561B" w14:paraId="629DD58C" w14:textId="77777777" w:rsidTr="00852362">
        <w:trPr>
          <w:cantSplit/>
          <w:trHeight w:val="2680"/>
        </w:trPr>
        <w:tc>
          <w:tcPr>
            <w:tcW w:w="1381" w:type="pct"/>
            <w:shd w:val="clear" w:color="auto" w:fill="E5DFEC" w:themeFill="accent4" w:themeFillTint="33"/>
            <w:vAlign w:val="center"/>
          </w:tcPr>
          <w:p w14:paraId="00A77411" w14:textId="1767CC1C" w:rsidR="006352E6" w:rsidRPr="006352E6" w:rsidRDefault="006352E6" w:rsidP="006352E6">
            <w:pPr>
              <w:rPr>
                <w:b/>
                <w:bCs/>
              </w:rPr>
            </w:pPr>
            <w:r w:rsidRPr="006352E6">
              <w:rPr>
                <w:b/>
                <w:bCs/>
              </w:rPr>
              <w:t xml:space="preserve">Apixaban </w:t>
            </w:r>
            <w:r w:rsidR="007D1B0D">
              <w:rPr>
                <w:b/>
                <w:bCs/>
              </w:rPr>
              <w:t xml:space="preserve">     </w:t>
            </w:r>
            <w:r w:rsidRPr="006352E6">
              <w:rPr>
                <w:b/>
                <w:bCs/>
              </w:rPr>
              <w:t>(Eliquis</w:t>
            </w:r>
            <w:r w:rsidRPr="006352E6">
              <w:rPr>
                <w:b/>
                <w:bCs/>
              </w:rPr>
              <w:sym w:font="Symbol" w:char="F0D2"/>
            </w:r>
            <w:r w:rsidRPr="006352E6">
              <w:rPr>
                <w:b/>
                <w:bCs/>
              </w:rPr>
              <w:t>)</w:t>
            </w:r>
            <w:r w:rsidRPr="006352E6">
              <w:rPr>
                <w:b/>
                <w:bCs/>
                <w:vertAlign w:val="superscript"/>
              </w:rPr>
              <w:t>3</w:t>
            </w:r>
          </w:p>
        </w:tc>
        <w:tc>
          <w:tcPr>
            <w:tcW w:w="3619" w:type="pct"/>
            <w:shd w:val="clear" w:color="auto" w:fill="auto"/>
            <w:vAlign w:val="center"/>
          </w:tcPr>
          <w:p w14:paraId="4BAEADB0" w14:textId="56FC1A44" w:rsidR="006352E6" w:rsidRPr="00EB561B" w:rsidRDefault="006352E6" w:rsidP="006352E6">
            <w:r w:rsidRPr="00EB561B">
              <w:t>Tablets may be crushed and suspended in water, or 5% dextrose in water (D5W), or apple juice or mixed with apple puree and immediately administered</w:t>
            </w:r>
            <w:r w:rsidR="0016108B">
              <w:t>.</w:t>
            </w:r>
          </w:p>
          <w:p w14:paraId="4096C444" w14:textId="20887D12" w:rsidR="006352E6" w:rsidRPr="00EB561B" w:rsidRDefault="006352E6" w:rsidP="006352E6">
            <w:r w:rsidRPr="00EB561B">
              <w:t>Alternatively, tablets may be crushed and suspended in 60 mL of water or D5W and immediately delivered through a nasogastric tube</w:t>
            </w:r>
            <w:r w:rsidR="0016108B">
              <w:t>.</w:t>
            </w:r>
          </w:p>
          <w:p w14:paraId="331C600E" w14:textId="2F32D144" w:rsidR="006352E6" w:rsidRPr="006352E6" w:rsidRDefault="006352E6" w:rsidP="006352E6">
            <w:r w:rsidRPr="00EB561B">
              <w:t>Crushed tablets are stable in water, D5W, apple juice, and apple puree for up to four hours</w:t>
            </w:r>
            <w:r w:rsidR="0016108B">
              <w:t>.</w:t>
            </w:r>
          </w:p>
        </w:tc>
      </w:tr>
      <w:tr w:rsidR="006352E6" w:rsidRPr="00EB561B" w14:paraId="3B86B762" w14:textId="77777777" w:rsidTr="00852362">
        <w:trPr>
          <w:cantSplit/>
          <w:trHeight w:val="2542"/>
        </w:trPr>
        <w:tc>
          <w:tcPr>
            <w:tcW w:w="1381" w:type="pct"/>
            <w:shd w:val="clear" w:color="auto" w:fill="FDE9D9" w:themeFill="accent6" w:themeFillTint="33"/>
            <w:vAlign w:val="center"/>
          </w:tcPr>
          <w:p w14:paraId="180B677B" w14:textId="2BC50F26" w:rsidR="006352E6" w:rsidRPr="006352E6" w:rsidRDefault="006352E6" w:rsidP="006352E6">
            <w:pPr>
              <w:rPr>
                <w:b/>
                <w:bCs/>
              </w:rPr>
            </w:pPr>
            <w:r w:rsidRPr="006352E6">
              <w:rPr>
                <w:b/>
                <w:bCs/>
              </w:rPr>
              <w:t xml:space="preserve">Edoxaban </w:t>
            </w:r>
            <w:r w:rsidR="007D1B0D">
              <w:rPr>
                <w:b/>
                <w:bCs/>
              </w:rPr>
              <w:t xml:space="preserve">    </w:t>
            </w:r>
            <w:r w:rsidRPr="006352E6">
              <w:rPr>
                <w:b/>
                <w:bCs/>
              </w:rPr>
              <w:t>(Lixiana</w:t>
            </w:r>
            <w:r w:rsidRPr="006352E6">
              <w:rPr>
                <w:b/>
                <w:bCs/>
              </w:rPr>
              <w:sym w:font="Symbol" w:char="F0D2"/>
            </w:r>
            <w:r w:rsidRPr="006352E6">
              <w:rPr>
                <w:b/>
                <w:bCs/>
              </w:rPr>
              <w:t>)</w:t>
            </w:r>
            <w:r w:rsidRPr="006352E6">
              <w:rPr>
                <w:b/>
                <w:bCs/>
                <w:vertAlign w:val="superscript"/>
              </w:rPr>
              <w:t>4</w:t>
            </w:r>
          </w:p>
        </w:tc>
        <w:tc>
          <w:tcPr>
            <w:tcW w:w="3619" w:type="pct"/>
            <w:shd w:val="clear" w:color="auto" w:fill="auto"/>
            <w:vAlign w:val="center"/>
          </w:tcPr>
          <w:p w14:paraId="259F71BD" w14:textId="4B92DA3F" w:rsidR="006352E6" w:rsidRPr="00EB561B" w:rsidRDefault="006352E6" w:rsidP="006352E6">
            <w:r w:rsidRPr="00EB561B">
              <w:t>Tablets may be crushed and mixed with water or apple puree and immediately administered orally</w:t>
            </w:r>
            <w:r w:rsidR="0016108B">
              <w:t>.</w:t>
            </w:r>
            <w:r w:rsidRPr="00EB561B">
              <w:t> </w:t>
            </w:r>
          </w:p>
          <w:p w14:paraId="23DDE4D3" w14:textId="5BCB73BC" w:rsidR="006352E6" w:rsidRPr="00EB561B" w:rsidRDefault="006352E6" w:rsidP="006352E6">
            <w:r w:rsidRPr="00EB561B">
              <w:t>Tablets may be crushed and suspended in a small amount of water and immediately delivered through a gastric tube after which it should be flushed with water</w:t>
            </w:r>
            <w:r w:rsidR="0016108B">
              <w:t>.</w:t>
            </w:r>
          </w:p>
          <w:p w14:paraId="088D9B2D" w14:textId="2723CCC3" w:rsidR="006352E6" w:rsidRPr="006352E6" w:rsidRDefault="006352E6" w:rsidP="006352E6">
            <w:r w:rsidRPr="00EB561B">
              <w:t>Crushed tablets are stable in water and apple puree for up to 4 hours</w:t>
            </w:r>
            <w:r w:rsidR="0016108B">
              <w:t>.</w:t>
            </w:r>
          </w:p>
        </w:tc>
      </w:tr>
      <w:tr w:rsidR="006352E6" w:rsidRPr="00EB561B" w14:paraId="0B87246C" w14:textId="77777777" w:rsidTr="00852362">
        <w:trPr>
          <w:cantSplit/>
          <w:trHeight w:val="2372"/>
        </w:trPr>
        <w:tc>
          <w:tcPr>
            <w:tcW w:w="1381" w:type="pct"/>
            <w:shd w:val="clear" w:color="auto" w:fill="EAF1DD" w:themeFill="accent3" w:themeFillTint="33"/>
            <w:vAlign w:val="center"/>
          </w:tcPr>
          <w:p w14:paraId="0E4A1CC4" w14:textId="3A2D053B" w:rsidR="006352E6" w:rsidRPr="006352E6" w:rsidRDefault="006352E6" w:rsidP="006352E6">
            <w:pPr>
              <w:rPr>
                <w:b/>
                <w:bCs/>
              </w:rPr>
            </w:pPr>
            <w:r w:rsidRPr="006352E6">
              <w:rPr>
                <w:b/>
                <w:bCs/>
              </w:rPr>
              <w:t>Warfarin</w:t>
            </w:r>
            <w:r w:rsidRPr="006352E6">
              <w:rPr>
                <w:b/>
                <w:bCs/>
                <w:vertAlign w:val="superscript"/>
              </w:rPr>
              <w:t>5</w:t>
            </w:r>
          </w:p>
        </w:tc>
        <w:tc>
          <w:tcPr>
            <w:tcW w:w="3619" w:type="pct"/>
            <w:shd w:val="clear" w:color="auto" w:fill="auto"/>
            <w:vAlign w:val="center"/>
          </w:tcPr>
          <w:p w14:paraId="11C6A0AC" w14:textId="5D54A078" w:rsidR="006352E6" w:rsidRPr="00EB561B" w:rsidRDefault="002315F1" w:rsidP="006352E6">
            <w:pPr>
              <w:rPr>
                <w:color w:val="333333"/>
                <w:shd w:val="clear" w:color="auto" w:fill="FFFFFF"/>
              </w:rPr>
            </w:pPr>
            <w:r>
              <w:rPr>
                <w:color w:val="333333"/>
                <w:shd w:val="clear" w:color="auto" w:fill="FFFFFF"/>
              </w:rPr>
              <w:t>Tablets may</w:t>
            </w:r>
            <w:r w:rsidR="006352E6" w:rsidRPr="00EB561B">
              <w:rPr>
                <w:color w:val="333333"/>
                <w:shd w:val="clear" w:color="auto" w:fill="FFFFFF"/>
              </w:rPr>
              <w:t xml:space="preserve"> be crushed and/or dispersed in water or crushed and given with soft food</w:t>
            </w:r>
            <w:r w:rsidR="0016108B">
              <w:rPr>
                <w:color w:val="333333"/>
                <w:shd w:val="clear" w:color="auto" w:fill="FFFFFF"/>
              </w:rPr>
              <w:t>.</w:t>
            </w:r>
          </w:p>
          <w:p w14:paraId="4C3E426D" w14:textId="2E8B9248" w:rsidR="006352E6" w:rsidRPr="006352E6" w:rsidRDefault="006352E6" w:rsidP="00295A52">
            <w:r w:rsidRPr="00EB561B">
              <w:t>Warfarin 1mg/1ml oral suspension is available as a licensed preparation</w:t>
            </w:r>
            <w:r w:rsidR="0016108B">
              <w:t>.</w:t>
            </w:r>
            <w:r w:rsidR="00295A52">
              <w:t xml:space="preserve"> </w:t>
            </w:r>
            <w:r w:rsidRPr="00EB561B">
              <w:t>It does not require fridge storage and has an expiry of 28 days once opened</w:t>
            </w:r>
            <w:r w:rsidR="00016E13">
              <w:t>.</w:t>
            </w:r>
            <w:r w:rsidRPr="00EB561B">
              <w:rPr>
                <w:vertAlign w:val="superscript"/>
              </w:rPr>
              <w:t>2</w:t>
            </w:r>
            <w:r w:rsidR="00D009AC">
              <w:rPr>
                <w:vertAlign w:val="superscript"/>
              </w:rPr>
              <w:t>1</w:t>
            </w:r>
          </w:p>
        </w:tc>
      </w:tr>
    </w:tbl>
    <w:p w14:paraId="0C9154A5" w14:textId="77777777" w:rsidR="006352E6" w:rsidRDefault="006352E6"/>
    <w:p w14:paraId="21EA52CC" w14:textId="23530EA1" w:rsidR="00B9302C" w:rsidRDefault="00B9302C">
      <w:pPr>
        <w:rPr>
          <w:rFonts w:asciiTheme="majorHAnsi" w:hAnsiTheme="majorHAnsi" w:cstheme="majorHAnsi"/>
          <w:szCs w:val="22"/>
        </w:rPr>
      </w:pPr>
    </w:p>
    <w:p w14:paraId="44650204" w14:textId="720B30E3" w:rsidR="00544874" w:rsidRDefault="00544874">
      <w:pPr>
        <w:rPr>
          <w:rFonts w:asciiTheme="majorHAnsi" w:hAnsiTheme="majorHAnsi" w:cstheme="majorHAnsi"/>
          <w:szCs w:val="22"/>
        </w:rPr>
      </w:pPr>
    </w:p>
    <w:p w14:paraId="325F61B6" w14:textId="2C42AB6C" w:rsidR="00544874" w:rsidRDefault="00544874">
      <w:pPr>
        <w:rPr>
          <w:rFonts w:asciiTheme="majorHAnsi" w:hAnsiTheme="majorHAnsi" w:cstheme="majorHAnsi"/>
          <w:szCs w:val="22"/>
        </w:rPr>
      </w:pPr>
    </w:p>
    <w:p w14:paraId="2C635A4F" w14:textId="77777777" w:rsidR="00D17B56" w:rsidRDefault="007129A9" w:rsidP="00D17B56">
      <w:pPr>
        <w:pStyle w:val="Heading1"/>
      </w:pPr>
      <w:bookmarkStart w:id="43" w:name="_Toc104910444"/>
      <w:bookmarkStart w:id="44" w:name="_Toc106708892"/>
      <w:r w:rsidRPr="00EB561B">
        <w:lastRenderedPageBreak/>
        <w:t>Calculating DOAC dosages</w:t>
      </w:r>
      <w:bookmarkStart w:id="45" w:name="_Toc104910445"/>
      <w:bookmarkStart w:id="46" w:name="_Toc106708893"/>
      <w:bookmarkEnd w:id="43"/>
      <w:bookmarkEnd w:id="44"/>
    </w:p>
    <w:p w14:paraId="6BFCCE8E" w14:textId="7CD9035F" w:rsidR="00114D48" w:rsidRPr="00EB561B" w:rsidRDefault="00114D48" w:rsidP="00D17B56">
      <w:pPr>
        <w:pStyle w:val="Heading1"/>
        <w:rPr>
          <w:rFonts w:asciiTheme="majorHAnsi" w:hAnsiTheme="majorHAnsi" w:cstheme="majorHAnsi"/>
          <w:bCs/>
          <w:sz w:val="22"/>
          <w:szCs w:val="22"/>
        </w:rPr>
      </w:pPr>
      <w:r w:rsidRPr="00EB561B">
        <w:rPr>
          <w:rFonts w:asciiTheme="majorHAnsi" w:hAnsiTheme="majorHAnsi" w:cstheme="majorHAnsi"/>
          <w:bCs/>
        </w:rPr>
        <w:t>Renal function</w:t>
      </w:r>
      <w:bookmarkEnd w:id="45"/>
      <w:bookmarkEnd w:id="46"/>
      <w:r w:rsidRPr="00EB561B">
        <w:rPr>
          <w:rFonts w:asciiTheme="majorHAnsi" w:hAnsiTheme="majorHAnsi" w:cstheme="majorHAnsi"/>
          <w:bCs/>
          <w:sz w:val="22"/>
          <w:szCs w:val="22"/>
        </w:rPr>
        <w:t xml:space="preserve"> </w:t>
      </w:r>
    </w:p>
    <w:p w14:paraId="7A775D55" w14:textId="3F0CE011" w:rsidR="009D39A0" w:rsidRPr="00EB561B" w:rsidRDefault="009D39A0" w:rsidP="00544874">
      <w:r w:rsidRPr="00EB561B">
        <w:t>All DOACs are dependent on renal function for elimination.</w:t>
      </w:r>
      <w:r w:rsidR="001B4586" w:rsidRPr="00EB561B">
        <w:t xml:space="preserve"> Dosages for all DOACs should be based on the estimated creatinine clearance (CrCl)</w:t>
      </w:r>
      <w:r w:rsidR="000D1173" w:rsidRPr="00EB561B">
        <w:t>.</w:t>
      </w:r>
      <w:r w:rsidRPr="00EB561B">
        <w:rPr>
          <w:vertAlign w:val="superscript"/>
        </w:rPr>
        <w:t>1-4</w:t>
      </w:r>
      <w:r w:rsidRPr="00EB561B">
        <w:t xml:space="preserve"> </w:t>
      </w:r>
    </w:p>
    <w:p w14:paraId="63E50795" w14:textId="750B12F7" w:rsidR="000037E2" w:rsidRPr="00EB561B" w:rsidRDefault="000037E2" w:rsidP="00544874">
      <w:pPr>
        <w:spacing w:before="240"/>
      </w:pPr>
      <w:r w:rsidRPr="00EB561B">
        <w:t>Renal function should be assessed prior to initiation and at least once a year, or more frequently as needed in certain situations. For example every one to three months when it is suspected that the renal function could decline or deteriorate, e.g. due to hypovolaemia, dehydration, and in case of concomitant use of certain medicinal products.</w:t>
      </w:r>
      <w:r w:rsidRPr="00EB561B">
        <w:rPr>
          <w:vertAlign w:val="superscript"/>
        </w:rPr>
        <w:t>1,2</w:t>
      </w:r>
      <w:r w:rsidR="00295A52">
        <w:rPr>
          <w:vertAlign w:val="superscript"/>
        </w:rPr>
        <w:t>2</w:t>
      </w:r>
      <w:r w:rsidR="00C71032">
        <w:t xml:space="preserve"> </w:t>
      </w:r>
      <w:r w:rsidRPr="00EB561B">
        <w:t>Note: In practice eGFR and CrCl are not interchangeable; however for average build and height, eGFR could provide some guidance.</w:t>
      </w:r>
      <w:r w:rsidR="009934A8" w:rsidRPr="00EB561B">
        <w:rPr>
          <w:vertAlign w:val="superscript"/>
        </w:rPr>
        <w:t>6</w:t>
      </w:r>
      <w:r w:rsidRPr="00EB561B">
        <w:rPr>
          <w:rFonts w:eastAsia="MS Mincho"/>
        </w:rPr>
        <w:t xml:space="preserve"> The Summary of Product Characteristics (SPCs) for Pradaxa® (dabigatran) and Lixiana® (edoxaban), specify that the method used to estimate renal function (creatinine clearance -</w:t>
      </w:r>
      <w:r w:rsidR="00E62A2A">
        <w:rPr>
          <w:rFonts w:eastAsia="MS Mincho"/>
        </w:rPr>
        <w:t xml:space="preserve"> </w:t>
      </w:r>
      <w:r w:rsidRPr="00EB561B">
        <w:rPr>
          <w:rFonts w:eastAsia="MS Mincho"/>
        </w:rPr>
        <w:t>CrCl in mL/min) is the Cockcroft-Gault method.</w:t>
      </w:r>
      <w:r w:rsidRPr="00EB561B">
        <w:rPr>
          <w:rFonts w:eastAsia="MS Mincho"/>
          <w:vertAlign w:val="superscript"/>
        </w:rPr>
        <w:t>1,</w:t>
      </w:r>
      <w:r w:rsidR="003E33BF" w:rsidRPr="00EB561B">
        <w:rPr>
          <w:rFonts w:eastAsia="MS Mincho"/>
          <w:vertAlign w:val="superscript"/>
        </w:rPr>
        <w:t>4</w:t>
      </w:r>
      <w:r w:rsidRPr="00EB561B">
        <w:rPr>
          <w:rFonts w:eastAsia="MS Mincho"/>
        </w:rPr>
        <w:t xml:space="preserve"> </w:t>
      </w:r>
      <w:r w:rsidR="00BD59FC" w:rsidRPr="00EB561B">
        <w:rPr>
          <w:rFonts w:eastAsia="MS Mincho"/>
        </w:rPr>
        <w:t>The Cockcroft-Gault equation is given below</w:t>
      </w:r>
      <w:r w:rsidR="00290814" w:rsidRPr="00290814">
        <w:rPr>
          <w:rFonts w:eastAsia="MS Mincho"/>
          <w:vertAlign w:val="superscript"/>
        </w:rPr>
        <w:t>6</w:t>
      </w:r>
      <w:r w:rsidR="00BD59FC" w:rsidRPr="00EB561B">
        <w:rPr>
          <w:rFonts w:eastAsia="MS Mincho"/>
        </w:rPr>
        <w:t>:</w:t>
      </w:r>
    </w:p>
    <w:p w14:paraId="6460C901" w14:textId="110DFA04" w:rsidR="000037E2" w:rsidRPr="00544874" w:rsidRDefault="000037E2" w:rsidP="000037E2">
      <w:pPr>
        <w:pStyle w:val="NormalWeb"/>
        <w:spacing w:before="80" w:beforeAutospacing="0" w:after="80" w:afterAutospacing="0"/>
        <w:jc w:val="center"/>
        <w:rPr>
          <w:rFonts w:cs="Arial"/>
          <w:b/>
          <w:bCs/>
          <w:sz w:val="24"/>
          <w:u w:val="single"/>
        </w:rPr>
      </w:pPr>
      <w:r w:rsidRPr="00544874">
        <w:rPr>
          <w:rFonts w:cs="Arial"/>
          <w:b/>
          <w:bCs/>
          <w:sz w:val="24"/>
        </w:rPr>
        <w:t xml:space="preserve">CrCl = </w:t>
      </w:r>
      <w:r w:rsidRPr="00544874">
        <w:rPr>
          <w:rFonts w:cs="Arial"/>
          <w:b/>
          <w:bCs/>
          <w:sz w:val="24"/>
          <w:u w:val="single"/>
        </w:rPr>
        <w:t xml:space="preserve">[140 – age (years)] x weight* </w:t>
      </w:r>
      <w:r w:rsidR="005A1AA9">
        <w:rPr>
          <w:rFonts w:cs="Arial"/>
          <w:b/>
          <w:bCs/>
          <w:sz w:val="24"/>
          <w:u w:val="single"/>
        </w:rPr>
        <w:t>(</w:t>
      </w:r>
      <w:r w:rsidRPr="00544874">
        <w:rPr>
          <w:rFonts w:cs="Arial"/>
          <w:b/>
          <w:bCs/>
          <w:sz w:val="24"/>
          <w:u w:val="single"/>
        </w:rPr>
        <w:t>kg) x (1.23 for males or x 1.04 for females)</w:t>
      </w:r>
    </w:p>
    <w:p w14:paraId="700C0F17" w14:textId="77777777" w:rsidR="000037E2" w:rsidRPr="00EB561B" w:rsidRDefault="000037E2" w:rsidP="000037E2">
      <w:pPr>
        <w:pStyle w:val="NormalWeb"/>
        <w:spacing w:before="80" w:beforeAutospacing="0" w:after="80" w:afterAutospacing="0"/>
        <w:jc w:val="center"/>
        <w:rPr>
          <w:rFonts w:asciiTheme="majorHAnsi" w:hAnsiTheme="majorHAnsi" w:cstheme="majorHAnsi"/>
          <w:szCs w:val="22"/>
        </w:rPr>
      </w:pPr>
      <w:r w:rsidRPr="00544874">
        <w:rPr>
          <w:rFonts w:cs="Arial"/>
          <w:b/>
          <w:bCs/>
          <w:sz w:val="24"/>
        </w:rPr>
        <w:t>Serum creatinine (micromole/l</w:t>
      </w:r>
      <w:r w:rsidRPr="00EB561B">
        <w:rPr>
          <w:rFonts w:asciiTheme="majorHAnsi" w:hAnsiTheme="majorHAnsi" w:cstheme="majorHAnsi"/>
          <w:szCs w:val="22"/>
        </w:rPr>
        <w:t>)</w:t>
      </w:r>
    </w:p>
    <w:p w14:paraId="7B4D1B29" w14:textId="5F8AADC2" w:rsidR="009D4967" w:rsidRPr="00D83C14" w:rsidRDefault="000037E2" w:rsidP="009D4967">
      <w:pPr>
        <w:widowControl w:val="0"/>
        <w:autoSpaceDE w:val="0"/>
        <w:autoSpaceDN w:val="0"/>
        <w:adjustRightInd w:val="0"/>
        <w:rPr>
          <w:rFonts w:eastAsia="MS Mincho"/>
        </w:rPr>
      </w:pPr>
      <w:r w:rsidRPr="00EB561B">
        <w:t>*</w:t>
      </w:r>
      <w:r w:rsidR="009D4967" w:rsidRPr="009D4967">
        <w:rPr>
          <w:rFonts w:cs="Arial"/>
          <w:b/>
          <w:noProof/>
          <w:lang w:eastAsia="en-GB"/>
        </w:rPr>
        <w:t xml:space="preserve"> </w:t>
      </w:r>
      <w:r w:rsidR="009D4967" w:rsidRPr="00D83C14">
        <w:rPr>
          <w:rFonts w:eastAsia="MS Mincho"/>
          <w:b/>
          <w:bCs/>
        </w:rPr>
        <w:t>Weight</w:t>
      </w:r>
      <w:r w:rsidR="009D4967" w:rsidRPr="00D83C14">
        <w:rPr>
          <w:rFonts w:eastAsia="MS Mincho"/>
        </w:rPr>
        <w:t xml:space="preserve">:  The </w:t>
      </w:r>
      <w:proofErr w:type="spellStart"/>
      <w:r w:rsidR="009D4967" w:rsidRPr="00D83C14">
        <w:rPr>
          <w:rFonts w:eastAsia="MS Mincho"/>
        </w:rPr>
        <w:t>MD+Calc</w:t>
      </w:r>
      <w:proofErr w:type="spellEnd"/>
      <w:r w:rsidR="009D4967" w:rsidRPr="00D83C14">
        <w:rPr>
          <w:rFonts w:eastAsia="MS Mincho"/>
        </w:rPr>
        <w:t xml:space="preserve"> site states</w:t>
      </w:r>
      <w:r w:rsidR="00D83C14">
        <w:rPr>
          <w:rFonts w:eastAsia="MS Mincho"/>
        </w:rPr>
        <w:t>:</w:t>
      </w:r>
    </w:p>
    <w:p w14:paraId="19ABDC7E" w14:textId="7E01D40F" w:rsidR="000037E2" w:rsidRPr="00EB561B" w:rsidRDefault="009D4967" w:rsidP="009D4967">
      <w:pPr>
        <w:widowControl w:val="0"/>
        <w:autoSpaceDE w:val="0"/>
        <w:autoSpaceDN w:val="0"/>
        <w:adjustRightInd w:val="0"/>
      </w:pPr>
      <w:r w:rsidRPr="00D83C14">
        <w:rPr>
          <w:rFonts w:eastAsia="MS Mincho"/>
        </w:rPr>
        <w:t>Based on several papers and expert opinions, we provide adjustments to the Cockcroft-Gault equation based on body weight and BMI, as it appears to become less accurate in weight extremes (underweight and particularly overweight/obesity). Adjustments and estimates are made as follows</w:t>
      </w:r>
      <w:r w:rsidRPr="009C6ADD">
        <w:rPr>
          <w:rStyle w:val="cf01"/>
        </w:rPr>
        <w:t>:</w:t>
      </w:r>
      <w:r w:rsidR="00C22014">
        <w:rPr>
          <w:vertAlign w:val="superscript"/>
        </w:rPr>
        <w:t>2</w:t>
      </w:r>
      <w:r w:rsidR="00295A52">
        <w:rPr>
          <w:vertAlign w:val="superscript"/>
        </w:rPr>
        <w:t>3</w:t>
      </w:r>
      <w:r w:rsidR="000037E2" w:rsidRPr="00EB561B">
        <w:t>:</w:t>
      </w:r>
    </w:p>
    <w:tbl>
      <w:tblPr>
        <w:tblStyle w:val="TableGrid"/>
        <w:tblW w:w="0" w:type="auto"/>
        <w:tblLook w:val="04A0" w:firstRow="1" w:lastRow="0" w:firstColumn="1" w:lastColumn="0" w:noHBand="0" w:noVBand="1"/>
      </w:tblPr>
      <w:tblGrid>
        <w:gridCol w:w="3169"/>
        <w:gridCol w:w="3170"/>
        <w:gridCol w:w="3170"/>
      </w:tblGrid>
      <w:tr w:rsidR="000037E2" w:rsidRPr="00EB561B" w14:paraId="04FFD5F2" w14:textId="77777777" w:rsidTr="00D468AD">
        <w:tc>
          <w:tcPr>
            <w:tcW w:w="3169" w:type="dxa"/>
          </w:tcPr>
          <w:p w14:paraId="7136A06B" w14:textId="77777777" w:rsidR="000037E2" w:rsidRPr="00EB561B" w:rsidRDefault="000037E2" w:rsidP="00544874">
            <w:r w:rsidRPr="00EB561B">
              <w:t>Underweight</w:t>
            </w:r>
          </w:p>
        </w:tc>
        <w:tc>
          <w:tcPr>
            <w:tcW w:w="3170" w:type="dxa"/>
          </w:tcPr>
          <w:p w14:paraId="57B5101F" w14:textId="2475D73D" w:rsidR="000037E2" w:rsidRPr="00EB561B" w:rsidRDefault="000037E2" w:rsidP="00544874">
            <w:r w:rsidRPr="00EB561B">
              <w:t>BMI</w:t>
            </w:r>
            <w:r w:rsidR="00831603">
              <w:t xml:space="preserve"> </w:t>
            </w:r>
            <w:r w:rsidRPr="00EB561B">
              <w:t>&lt;18.5</w:t>
            </w:r>
          </w:p>
        </w:tc>
        <w:tc>
          <w:tcPr>
            <w:tcW w:w="3170" w:type="dxa"/>
          </w:tcPr>
          <w:p w14:paraId="58385ACA" w14:textId="77777777" w:rsidR="000037E2" w:rsidRPr="00EB561B" w:rsidRDefault="000037E2" w:rsidP="00544874">
            <w:r w:rsidRPr="00EB561B">
              <w:t>Use actual body weight</w:t>
            </w:r>
          </w:p>
        </w:tc>
      </w:tr>
      <w:tr w:rsidR="000037E2" w:rsidRPr="00EB561B" w14:paraId="5F910D8E" w14:textId="77777777" w:rsidTr="00D468AD">
        <w:tc>
          <w:tcPr>
            <w:tcW w:w="3169" w:type="dxa"/>
          </w:tcPr>
          <w:p w14:paraId="65BF613B" w14:textId="77777777" w:rsidR="000037E2" w:rsidRPr="00EB561B" w:rsidRDefault="000037E2" w:rsidP="00544874">
            <w:r w:rsidRPr="00EB561B">
              <w:t>Normal weight</w:t>
            </w:r>
          </w:p>
        </w:tc>
        <w:tc>
          <w:tcPr>
            <w:tcW w:w="3170" w:type="dxa"/>
          </w:tcPr>
          <w:p w14:paraId="7A01F6BC" w14:textId="5072EBF9" w:rsidR="000037E2" w:rsidRPr="00EB561B" w:rsidRDefault="000037E2" w:rsidP="00544874">
            <w:r w:rsidRPr="00EB561B">
              <w:t>BMI</w:t>
            </w:r>
            <w:r w:rsidR="00831603">
              <w:t xml:space="preserve"> </w:t>
            </w:r>
            <w:r w:rsidRPr="00EB561B">
              <w:t>18.5-24.9</w:t>
            </w:r>
          </w:p>
        </w:tc>
        <w:tc>
          <w:tcPr>
            <w:tcW w:w="3170" w:type="dxa"/>
          </w:tcPr>
          <w:p w14:paraId="3863967D" w14:textId="77777777" w:rsidR="000037E2" w:rsidRPr="00EB561B" w:rsidRDefault="000037E2" w:rsidP="00544874">
            <w:r w:rsidRPr="00EB561B">
              <w:t>Use ideal body weight</w:t>
            </w:r>
          </w:p>
        </w:tc>
      </w:tr>
      <w:tr w:rsidR="000037E2" w:rsidRPr="00EB561B" w14:paraId="14C3D5E8" w14:textId="77777777" w:rsidTr="00D468AD">
        <w:tc>
          <w:tcPr>
            <w:tcW w:w="3169" w:type="dxa"/>
          </w:tcPr>
          <w:p w14:paraId="5AC1D9C0" w14:textId="77777777" w:rsidR="000037E2" w:rsidRPr="00EB561B" w:rsidRDefault="000037E2" w:rsidP="00544874">
            <w:r w:rsidRPr="00EB561B">
              <w:t>Overweight / obese</w:t>
            </w:r>
          </w:p>
        </w:tc>
        <w:tc>
          <w:tcPr>
            <w:tcW w:w="3170" w:type="dxa"/>
          </w:tcPr>
          <w:p w14:paraId="59CB7A6F" w14:textId="532DBD3D" w:rsidR="000037E2" w:rsidRPr="00EB561B" w:rsidRDefault="000037E2" w:rsidP="00544874">
            <w:r w:rsidRPr="00EB561B">
              <w:t>BMI</w:t>
            </w:r>
            <w:r w:rsidR="00831603">
              <w:t xml:space="preserve"> </w:t>
            </w:r>
            <w:r w:rsidRPr="00EB561B">
              <w:t>≥25</w:t>
            </w:r>
          </w:p>
        </w:tc>
        <w:tc>
          <w:tcPr>
            <w:tcW w:w="3170" w:type="dxa"/>
          </w:tcPr>
          <w:p w14:paraId="6E24CC70" w14:textId="77777777" w:rsidR="000037E2" w:rsidRPr="00EB561B" w:rsidRDefault="000037E2" w:rsidP="00544874">
            <w:r w:rsidRPr="00EB561B">
              <w:t>Use adjusted body weight</w:t>
            </w:r>
          </w:p>
        </w:tc>
      </w:tr>
    </w:tbl>
    <w:p w14:paraId="1A40FBCC" w14:textId="77777777" w:rsidR="00590F14" w:rsidRDefault="00590F14" w:rsidP="00590F14">
      <w:r>
        <w:t xml:space="preserve">However the </w:t>
      </w:r>
      <w:proofErr w:type="spellStart"/>
      <w:r>
        <w:t>MDCalc</w:t>
      </w:r>
      <w:proofErr w:type="spellEnd"/>
      <w:r>
        <w:t xml:space="preserve"> online calculator acknowledges that controversy exists over which form of weight to use and therefore, where height is also included, offers a range of creatinine clearance values to support making a clinical decision for individual patients, based on ideal, actual and adjusted weights.  Where a difference exists in the CrCl values calculated that would mean two different doses could be used, a decision should be made on an individual patient basis with advice from the consultant if appropriate. </w:t>
      </w:r>
    </w:p>
    <w:p w14:paraId="4143C20A" w14:textId="55B51F5F" w:rsidR="00590F14" w:rsidRDefault="00590F14" w:rsidP="00590F14">
      <w:r>
        <w:t xml:space="preserve">Ideal body weight (IBW) and adjusted body weight (ABW)are calculated as follows: </w:t>
      </w:r>
    </w:p>
    <w:p w14:paraId="5F77D532" w14:textId="77777777" w:rsidR="00590F14" w:rsidRDefault="00590F14" w:rsidP="00590F14">
      <w:r>
        <w:t xml:space="preserve">IBW, kg (male) = 50 + [ 2.3 × (height, inches – 60) </w:t>
      </w:r>
    </w:p>
    <w:p w14:paraId="133AB7A8" w14:textId="77777777" w:rsidR="00590F14" w:rsidRDefault="00590F14" w:rsidP="00590F14">
      <w:r>
        <w:t xml:space="preserve">IBW, kg (female) = 45.5 + [ 2.3 × (height, inches – 60)  </w:t>
      </w:r>
    </w:p>
    <w:p w14:paraId="49E734C9" w14:textId="77777777" w:rsidR="00590F14" w:rsidRDefault="00590F14" w:rsidP="00590F14">
      <w:r>
        <w:t>ABW, kg = IBW, kg + 0.4 × (actual body weight, kg – IBW, kg)</w:t>
      </w:r>
    </w:p>
    <w:p w14:paraId="33DFFB09" w14:textId="28CE9265" w:rsidR="00B42E2F" w:rsidRPr="00F83253" w:rsidRDefault="00B42E2F" w:rsidP="00B42E2F">
      <w:pPr>
        <w:rPr>
          <w:rStyle w:val="Hyperlink"/>
          <w:rFonts w:cs="Arial"/>
          <w:noProof/>
          <w:color w:val="auto"/>
          <w:u w:val="none"/>
          <w:lang w:eastAsia="en-GB"/>
        </w:rPr>
      </w:pPr>
      <w:r w:rsidRPr="00F83253">
        <w:rPr>
          <w:rStyle w:val="Hyperlink"/>
          <w:rFonts w:cs="Arial"/>
          <w:noProof/>
          <w:color w:val="auto"/>
          <w:u w:val="none"/>
          <w:lang w:eastAsia="en-GB"/>
        </w:rPr>
        <w:t xml:space="preserve">It is important to note that the CrCl calculations in the clinical trials for all DOACs used actual body weight for all patients rather than ideal or adjusted body weight. Dosing of the DOACs in the SPCs are therefore based on CrCl calculations using actual body weight. Using ideal body weight in patients may therefore result in </w:t>
      </w:r>
      <w:hyperlink r:id="rId10" w:history="1">
        <w:r w:rsidRPr="00777693">
          <w:rPr>
            <w:rStyle w:val="Hyperlink"/>
            <w:rFonts w:cs="Arial"/>
            <w:noProof/>
            <w:lang w:eastAsia="en-GB"/>
          </w:rPr>
          <w:t>under dosing</w:t>
        </w:r>
      </w:hyperlink>
      <w:r w:rsidRPr="00F83253">
        <w:rPr>
          <w:rStyle w:val="Hyperlink"/>
          <w:rFonts w:cs="Arial"/>
          <w:noProof/>
          <w:color w:val="auto"/>
          <w:u w:val="none"/>
          <w:lang w:eastAsia="en-GB"/>
        </w:rPr>
        <w:t>, particularly in those that are overweight or obese.</w:t>
      </w:r>
    </w:p>
    <w:p w14:paraId="5F149689" w14:textId="719EC08F" w:rsidR="00B42E2F" w:rsidRDefault="00B42E2F" w:rsidP="00B42E2F">
      <w:r w:rsidRPr="00F83253">
        <w:rPr>
          <w:rStyle w:val="Hyperlink"/>
          <w:rFonts w:cs="Arial"/>
          <w:noProof/>
          <w:color w:val="auto"/>
          <w:u w:val="none"/>
          <w:lang w:eastAsia="en-GB"/>
        </w:rPr>
        <w:t>Many local guidelines have been developed which use actual body weight for patients with a BMI ≤30kg/m</w:t>
      </w:r>
      <w:r w:rsidRPr="00F83253">
        <w:rPr>
          <w:rStyle w:val="Hyperlink"/>
          <w:rFonts w:cs="Arial"/>
          <w:noProof/>
          <w:color w:val="auto"/>
          <w:u w:val="none"/>
          <w:vertAlign w:val="superscript"/>
          <w:lang w:eastAsia="en-GB"/>
        </w:rPr>
        <w:t>2</w:t>
      </w:r>
      <w:r w:rsidRPr="00F83253">
        <w:rPr>
          <w:rStyle w:val="Hyperlink"/>
          <w:rFonts w:cs="Arial"/>
          <w:noProof/>
          <w:color w:val="auto"/>
          <w:u w:val="none"/>
          <w:lang w:eastAsia="en-GB"/>
        </w:rPr>
        <w:t xml:space="preserve"> and using adjusted body weight for those above this threshold. There is no national guidance available on this issue, therefore, local guidance should be </w:t>
      </w:r>
      <w:r w:rsidR="00C7775C">
        <w:rPr>
          <w:rStyle w:val="Hyperlink"/>
          <w:rFonts w:cs="Arial"/>
          <w:noProof/>
          <w:color w:val="auto"/>
          <w:u w:val="none"/>
          <w:lang w:eastAsia="en-GB"/>
        </w:rPr>
        <w:t>followed</w:t>
      </w:r>
      <w:r w:rsidRPr="00F83253">
        <w:rPr>
          <w:rStyle w:val="Hyperlink"/>
          <w:rFonts w:cs="Arial"/>
          <w:noProof/>
          <w:color w:val="auto"/>
          <w:u w:val="none"/>
          <w:lang w:eastAsia="en-GB"/>
        </w:rPr>
        <w:t xml:space="preserve"> on which weight to use in the calculations.</w:t>
      </w:r>
    </w:p>
    <w:p w14:paraId="7BDA339C" w14:textId="21260053" w:rsidR="00BD59FC" w:rsidRPr="00EB561B" w:rsidRDefault="003F0DE1" w:rsidP="00590F14">
      <w:pPr>
        <w:rPr>
          <w:vertAlign w:val="superscript"/>
        </w:rPr>
      </w:pPr>
      <w:r w:rsidRPr="00EB561B">
        <w:t xml:space="preserve">An on-line calculator can be used to calculate </w:t>
      </w:r>
      <w:r w:rsidR="00B30F51" w:rsidRPr="00EB561B">
        <w:t xml:space="preserve">the </w:t>
      </w:r>
      <w:r w:rsidRPr="00EB561B">
        <w:t>creatinine clearance using the Cockcroft-Gault equation</w:t>
      </w:r>
      <w:r w:rsidR="0064677F" w:rsidRPr="00EB561B">
        <w:t>. This is found at: MD+CALC</w:t>
      </w:r>
      <w:r w:rsidR="0064677F" w:rsidRPr="00831603">
        <w:rPr>
          <w:rFonts w:cs="Arial"/>
        </w:rPr>
        <w:t xml:space="preserve"> </w:t>
      </w:r>
      <w:hyperlink r:id="rId11" w:history="1">
        <w:r w:rsidR="00156B2D" w:rsidRPr="002E0A78">
          <w:rPr>
            <w:rStyle w:val="Hyperlink"/>
            <w:rFonts w:cs="Arial"/>
            <w:szCs w:val="22"/>
          </w:rPr>
          <w:t>https://www.mdcalc.com/creatinine-clearance-cockcroft-gault-equation</w:t>
        </w:r>
      </w:hyperlink>
      <w:r w:rsidR="00156B2D" w:rsidRPr="00EB561B">
        <w:rPr>
          <w:vertAlign w:val="superscript"/>
        </w:rPr>
        <w:t>2</w:t>
      </w:r>
      <w:r w:rsidR="00295A52">
        <w:rPr>
          <w:vertAlign w:val="superscript"/>
        </w:rPr>
        <w:t>3</w:t>
      </w:r>
      <w:r w:rsidR="00156B2D" w:rsidRPr="00EB561B">
        <w:rPr>
          <w:color w:val="FF0000"/>
          <w:vertAlign w:val="superscript"/>
        </w:rPr>
        <w:t xml:space="preserve"> </w:t>
      </w:r>
      <w:r w:rsidR="00C22014">
        <w:t xml:space="preserve">The </w:t>
      </w:r>
      <w:r w:rsidR="00DF570E">
        <w:t xml:space="preserve">Cockcroft and Gault formula </w:t>
      </w:r>
      <w:r w:rsidR="00B30F51" w:rsidRPr="00EB561B">
        <w:t>is also available in the BNF.</w:t>
      </w:r>
      <w:r w:rsidR="00257759" w:rsidRPr="00EB561B">
        <w:rPr>
          <w:vertAlign w:val="superscript"/>
        </w:rPr>
        <w:t>6</w:t>
      </w:r>
    </w:p>
    <w:p w14:paraId="13CEF503" w14:textId="6F109938" w:rsidR="000D1173" w:rsidRPr="00EB561B" w:rsidRDefault="001B06CE" w:rsidP="00544874">
      <w:r w:rsidRPr="00EB561B">
        <w:t>On-line calculators are also available for ideal body weight and adjusted body weight calculations</w:t>
      </w:r>
      <w:r w:rsidR="00831603">
        <w:t>.</w:t>
      </w:r>
      <w:r w:rsidR="00D01F42" w:rsidRPr="00EB561B">
        <w:t xml:space="preserve"> Refer to MD+CALC </w:t>
      </w:r>
      <w:hyperlink r:id="rId12" w:history="1">
        <w:r w:rsidR="00CD5CDB" w:rsidRPr="002E0A78">
          <w:rPr>
            <w:rStyle w:val="Hyperlink"/>
            <w:rFonts w:cs="Arial"/>
            <w:szCs w:val="22"/>
          </w:rPr>
          <w:t>https://www.mdcalc.com/ideal-body-weight-adjusted-body-weight</w:t>
        </w:r>
      </w:hyperlink>
      <w:r w:rsidR="00C71032">
        <w:t xml:space="preserve"> </w:t>
      </w:r>
    </w:p>
    <w:p w14:paraId="42F8A209" w14:textId="280DF73D" w:rsidR="000D1173" w:rsidRPr="00EB561B" w:rsidRDefault="000D1173" w:rsidP="00544874">
      <w:pPr>
        <w:rPr>
          <w:color w:val="000000" w:themeColor="text1"/>
        </w:rPr>
      </w:pPr>
      <w:r w:rsidRPr="00EB561B">
        <w:rPr>
          <w:color w:val="000000" w:themeColor="text1"/>
        </w:rPr>
        <w:lastRenderedPageBreak/>
        <w:t xml:space="preserve">GP practice clinical systems can also be used to calculate creatinine clearance but prescribers must be aware of defaults in the calculation i.e. ideal or actual body weight. </w:t>
      </w:r>
      <w:r w:rsidR="00F54F9D" w:rsidRPr="009C6ADD">
        <w:rPr>
          <w:rFonts w:cs="Arial"/>
          <w:bCs/>
          <w:noProof/>
          <w:lang w:eastAsia="en-GB"/>
        </w:rPr>
        <w:t xml:space="preserve">If calculated externally, creatinine clearance can be coded into GP clinical systems using the </w:t>
      </w:r>
      <w:hyperlink r:id="rId13" w:history="1">
        <w:r w:rsidR="00F54F9D" w:rsidRPr="00F23E99">
          <w:rPr>
            <w:rStyle w:val="Hyperlink"/>
            <w:rFonts w:cs="Arial"/>
            <w:bCs/>
            <w:noProof/>
            <w:lang w:eastAsia="en-GB"/>
          </w:rPr>
          <w:t>SNOMED code</w:t>
        </w:r>
      </w:hyperlink>
      <w:r w:rsidR="00F54F9D" w:rsidRPr="009C6ADD">
        <w:rPr>
          <w:rFonts w:cs="Arial"/>
          <w:bCs/>
          <w:noProof/>
          <w:lang w:eastAsia="en-GB"/>
        </w:rPr>
        <w:t xml:space="preserve"> </w:t>
      </w:r>
      <w:r w:rsidR="00F54F9D" w:rsidRPr="009C6ADD">
        <w:rPr>
          <w:rFonts w:cs="Arial"/>
        </w:rPr>
        <w:t>968191000000100.</w:t>
      </w:r>
    </w:p>
    <w:p w14:paraId="50447F7D" w14:textId="6024C20B" w:rsidR="009D39A0" w:rsidRPr="00EB561B" w:rsidRDefault="007C2B8A" w:rsidP="00544874">
      <w:pPr>
        <w:rPr>
          <w:vertAlign w:val="superscript"/>
        </w:rPr>
      </w:pPr>
      <w:r w:rsidRPr="00EB561B">
        <w:t xml:space="preserve">NG196 </w:t>
      </w:r>
      <w:r w:rsidR="003B1017" w:rsidRPr="00EB561B">
        <w:t xml:space="preserve">does not suggest a preferred DOAC in people with renal impairment, but does advise that </w:t>
      </w:r>
      <w:r w:rsidR="00E92965" w:rsidRPr="00EB561B">
        <w:t xml:space="preserve">BNF guidance on </w:t>
      </w:r>
      <w:r w:rsidR="008A5FF9" w:rsidRPr="00EB561B">
        <w:t xml:space="preserve">dosages </w:t>
      </w:r>
      <w:r w:rsidR="004645B2" w:rsidRPr="00EB561B">
        <w:t xml:space="preserve">in </w:t>
      </w:r>
      <w:r w:rsidR="00630122" w:rsidRPr="00EB561B">
        <w:t>people with renal impairment</w:t>
      </w:r>
      <w:r w:rsidR="008A5FF9" w:rsidRPr="00EB561B">
        <w:t xml:space="preserve"> </w:t>
      </w:r>
      <w:r w:rsidR="00E92965" w:rsidRPr="00EB561B">
        <w:t>are</w:t>
      </w:r>
      <w:r w:rsidR="008A5FF9" w:rsidRPr="00EB561B">
        <w:t xml:space="preserve"> </w:t>
      </w:r>
      <w:r w:rsidR="00DC3160" w:rsidRPr="00EB561B">
        <w:t>followed</w:t>
      </w:r>
      <w:r w:rsidR="00F6115A" w:rsidRPr="00EB561B">
        <w:t>.</w:t>
      </w:r>
      <w:r w:rsidR="00156B2D" w:rsidRPr="00EB561B">
        <w:rPr>
          <w:vertAlign w:val="superscript"/>
        </w:rPr>
        <w:t>2</w:t>
      </w:r>
      <w:r w:rsidR="00295A52">
        <w:rPr>
          <w:vertAlign w:val="superscript"/>
        </w:rPr>
        <w:t>4</w:t>
      </w:r>
      <w:r w:rsidR="00587AD0" w:rsidRPr="00EB561B">
        <w:rPr>
          <w:vertAlign w:val="superscript"/>
        </w:rPr>
        <w:t xml:space="preserve"> </w:t>
      </w:r>
      <w:r w:rsidR="00587AD0" w:rsidRPr="00EB561B">
        <w:t>NG158 states that people with confirmed proximal DVT or PE and renal impa</w:t>
      </w:r>
      <w:r w:rsidR="00C05B02" w:rsidRPr="00EB561B">
        <w:t>irment (CrCl 15-50ml/min) should be offered one of: apixab</w:t>
      </w:r>
      <w:r w:rsidR="0094588D" w:rsidRPr="00EB561B">
        <w:t xml:space="preserve">an, rivaroxaban, LMWH for at least </w:t>
      </w:r>
      <w:r w:rsidR="00544874">
        <w:t>five</w:t>
      </w:r>
      <w:r w:rsidR="0094588D" w:rsidRPr="00EB561B">
        <w:t xml:space="preserve"> days then edoxaban or dabigatran, LMWH or UFH with warfarin for at least </w:t>
      </w:r>
      <w:r w:rsidR="00544874">
        <w:t>five</w:t>
      </w:r>
      <w:r w:rsidR="0094588D" w:rsidRPr="00EB561B">
        <w:t xml:space="preserve"> days then warfarin alone.</w:t>
      </w:r>
      <w:r w:rsidR="00BD78D5" w:rsidRPr="00EB561B">
        <w:rPr>
          <w:vertAlign w:val="superscript"/>
        </w:rPr>
        <w:t>2</w:t>
      </w:r>
      <w:r w:rsidR="00295A52">
        <w:rPr>
          <w:vertAlign w:val="superscript"/>
        </w:rPr>
        <w:t>5</w:t>
      </w:r>
    </w:p>
    <w:p w14:paraId="7D18CDDA" w14:textId="7552CD8C" w:rsidR="009D39A0" w:rsidRPr="00EB561B" w:rsidRDefault="009D39A0" w:rsidP="00544874">
      <w:r w:rsidRPr="00EB561B">
        <w:t xml:space="preserve">The NICE guideline </w:t>
      </w:r>
      <w:r w:rsidR="00831603">
        <w:t xml:space="preserve">for </w:t>
      </w:r>
      <w:r w:rsidRPr="00EB561B">
        <w:t>chronic kidney disease in adults: assessment and management [NG203] recommends that healthcare professionals should consider apixaban in preference to warfarin in people with a confirmed eGFR of 30–50ml/min/1.73m</w:t>
      </w:r>
      <w:r w:rsidRPr="00EB561B">
        <w:rPr>
          <w:vertAlign w:val="superscript"/>
        </w:rPr>
        <w:t>2</w:t>
      </w:r>
      <w:r w:rsidRPr="00EB561B">
        <w:t xml:space="preserve"> and NVAF who have one or more specified risk factors for stroke.</w:t>
      </w:r>
      <w:r w:rsidRPr="00EB561B">
        <w:rPr>
          <w:vertAlign w:val="superscript"/>
        </w:rPr>
        <w:t>2</w:t>
      </w:r>
      <w:r w:rsidR="00295A52">
        <w:rPr>
          <w:vertAlign w:val="superscript"/>
        </w:rPr>
        <w:t>6</w:t>
      </w:r>
      <w:r w:rsidRPr="00EB561B">
        <w:t xml:space="preserve"> </w:t>
      </w:r>
    </w:p>
    <w:p w14:paraId="3B604064" w14:textId="7B1E407C" w:rsidR="009D39A0" w:rsidRDefault="009D39A0" w:rsidP="00544874">
      <w:pPr>
        <w:rPr>
          <w:vertAlign w:val="superscript"/>
        </w:rPr>
      </w:pPr>
      <w:r w:rsidRPr="00EB561B">
        <w:t>The SPC for edoxaban states that, when used for preventing stroke and systemic embolism in people with NVAF, a trend towards decreasing efficacy with increasing CrCl was observed for edoxaban compared with well-managed warfarin. Therefore, edoxaban should be used in people with NVAF and high CrCl only after a careful evaluation of the individual thromboembolic and bleeding risk.</w:t>
      </w:r>
      <w:r w:rsidRPr="00EB561B">
        <w:rPr>
          <w:vertAlign w:val="superscript"/>
        </w:rPr>
        <w:t>4</w:t>
      </w:r>
    </w:p>
    <w:p w14:paraId="529CD5D9" w14:textId="495E6B1F" w:rsidR="00A85A68" w:rsidRDefault="00A85A68" w:rsidP="00544874">
      <w:pPr>
        <w:rPr>
          <w:vertAlign w:val="superscript"/>
        </w:rPr>
      </w:pPr>
    </w:p>
    <w:p w14:paraId="4640515D" w14:textId="2C7E331B" w:rsidR="00A85A68" w:rsidRDefault="00A85A68" w:rsidP="00544874">
      <w:pPr>
        <w:rPr>
          <w:vertAlign w:val="superscript"/>
        </w:rPr>
      </w:pPr>
    </w:p>
    <w:p w14:paraId="007B4FE1" w14:textId="77777777" w:rsidR="00A85A68" w:rsidRDefault="00A85A68" w:rsidP="00544874">
      <w:pPr>
        <w:rPr>
          <w:vertAlign w:val="superscript"/>
        </w:rPr>
      </w:pPr>
    </w:p>
    <w:tbl>
      <w:tblPr>
        <w:tblStyle w:val="TableGrid"/>
        <w:tblW w:w="10491" w:type="dxa"/>
        <w:jc w:val="center"/>
        <w:tblLook w:val="04A0" w:firstRow="1" w:lastRow="0" w:firstColumn="1" w:lastColumn="0" w:noHBand="0" w:noVBand="1"/>
      </w:tblPr>
      <w:tblGrid>
        <w:gridCol w:w="1668"/>
        <w:gridCol w:w="2020"/>
        <w:gridCol w:w="1637"/>
        <w:gridCol w:w="2079"/>
        <w:gridCol w:w="1674"/>
        <w:gridCol w:w="1413"/>
      </w:tblGrid>
      <w:tr w:rsidR="007415C5" w:rsidRPr="00EB561B" w14:paraId="0492D45D" w14:textId="77777777" w:rsidTr="00544874">
        <w:trPr>
          <w:trHeight w:val="340"/>
          <w:jc w:val="center"/>
        </w:trPr>
        <w:tc>
          <w:tcPr>
            <w:tcW w:w="10491" w:type="dxa"/>
            <w:gridSpan w:val="6"/>
            <w:shd w:val="clear" w:color="auto" w:fill="F2F2F2" w:themeFill="background1" w:themeFillShade="F2"/>
            <w:vAlign w:val="center"/>
          </w:tcPr>
          <w:p w14:paraId="56BBFAD6" w14:textId="77777777" w:rsidR="007415C5" w:rsidRPr="00544874" w:rsidRDefault="007415C5" w:rsidP="00544874">
            <w:pPr>
              <w:pStyle w:val="Heading2"/>
            </w:pPr>
            <w:bookmarkStart w:id="47" w:name="_Toc104910446"/>
            <w:bookmarkStart w:id="48" w:name="_Toc106708894"/>
            <w:r w:rsidRPr="00544874">
              <w:rPr>
                <w:rStyle w:val="Heading2Char"/>
                <w:b/>
              </w:rPr>
              <w:t>Dosages in renal impairment</w:t>
            </w:r>
            <w:bookmarkEnd w:id="47"/>
            <w:bookmarkEnd w:id="48"/>
            <w:r w:rsidRPr="00544874" w:rsidDel="003B32F1">
              <w:t xml:space="preserve"> </w:t>
            </w:r>
          </w:p>
        </w:tc>
      </w:tr>
      <w:tr w:rsidR="00544874" w:rsidRPr="00544874" w14:paraId="4C980E40" w14:textId="77777777" w:rsidTr="00852362">
        <w:trPr>
          <w:trHeight w:val="605"/>
          <w:jc w:val="center"/>
        </w:trPr>
        <w:tc>
          <w:tcPr>
            <w:tcW w:w="1668" w:type="dxa"/>
            <w:shd w:val="clear" w:color="auto" w:fill="F2F2F2" w:themeFill="background1" w:themeFillShade="F2"/>
            <w:vAlign w:val="center"/>
          </w:tcPr>
          <w:p w14:paraId="0FE9A77D" w14:textId="77777777" w:rsidR="007415C5" w:rsidRPr="00544874" w:rsidRDefault="007415C5" w:rsidP="00544874">
            <w:pPr>
              <w:jc w:val="center"/>
              <w:rPr>
                <w:rFonts w:cs="Arial"/>
                <w:szCs w:val="22"/>
              </w:rPr>
            </w:pPr>
          </w:p>
        </w:tc>
        <w:tc>
          <w:tcPr>
            <w:tcW w:w="2020" w:type="dxa"/>
            <w:shd w:val="clear" w:color="auto" w:fill="DBE5F1" w:themeFill="accent1" w:themeFillTint="33"/>
            <w:vAlign w:val="center"/>
          </w:tcPr>
          <w:p w14:paraId="11CB26A0" w14:textId="33D75DA1" w:rsidR="007415C5" w:rsidRPr="00544874" w:rsidRDefault="007415C5" w:rsidP="002E0A78">
            <w:pPr>
              <w:rPr>
                <w:rFonts w:cs="Arial"/>
                <w:b/>
                <w:bCs/>
                <w:sz w:val="20"/>
                <w:szCs w:val="20"/>
                <w:lang w:val="it-IT"/>
              </w:rPr>
            </w:pPr>
            <w:r w:rsidRPr="00544874">
              <w:rPr>
                <w:rFonts w:cs="Arial"/>
                <w:b/>
                <w:bCs/>
                <w:sz w:val="20"/>
                <w:szCs w:val="20"/>
                <w:lang w:val="it-IT"/>
              </w:rPr>
              <w:t>Dabigatran (Pradaxa®)</w:t>
            </w:r>
            <w:r w:rsidRPr="00544874">
              <w:rPr>
                <w:rFonts w:cs="Arial"/>
                <w:b/>
                <w:bCs/>
                <w:sz w:val="20"/>
                <w:szCs w:val="20"/>
                <w:vertAlign w:val="superscript"/>
                <w:lang w:val="it-IT"/>
              </w:rPr>
              <w:t>1,2</w:t>
            </w:r>
            <w:r w:rsidR="00295A52">
              <w:rPr>
                <w:rFonts w:cs="Arial"/>
                <w:b/>
                <w:bCs/>
                <w:sz w:val="20"/>
                <w:szCs w:val="20"/>
                <w:vertAlign w:val="superscript"/>
                <w:lang w:val="it-IT"/>
              </w:rPr>
              <w:t>7</w:t>
            </w:r>
          </w:p>
        </w:tc>
        <w:tc>
          <w:tcPr>
            <w:tcW w:w="1637" w:type="dxa"/>
            <w:shd w:val="clear" w:color="auto" w:fill="F2DBDB" w:themeFill="accent2" w:themeFillTint="33"/>
            <w:vAlign w:val="center"/>
          </w:tcPr>
          <w:p w14:paraId="39959527" w14:textId="0AC16690" w:rsidR="007415C5" w:rsidRPr="00544874" w:rsidRDefault="007415C5" w:rsidP="002E0A78">
            <w:pPr>
              <w:rPr>
                <w:rFonts w:cs="Arial"/>
                <w:b/>
                <w:bCs/>
                <w:sz w:val="20"/>
                <w:szCs w:val="20"/>
              </w:rPr>
            </w:pPr>
            <w:r w:rsidRPr="00544874">
              <w:rPr>
                <w:rFonts w:cs="Arial"/>
                <w:b/>
                <w:bCs/>
                <w:sz w:val="20"/>
                <w:szCs w:val="20"/>
              </w:rPr>
              <w:t>Rivaroxaban (Xarelto</w:t>
            </w:r>
            <w:r w:rsidRPr="00544874">
              <w:rPr>
                <w:rFonts w:cs="Arial"/>
                <w:b/>
                <w:bCs/>
                <w:sz w:val="20"/>
                <w:szCs w:val="20"/>
              </w:rPr>
              <w:sym w:font="Symbol" w:char="F0D2"/>
            </w:r>
            <w:r w:rsidRPr="00544874">
              <w:rPr>
                <w:rFonts w:cs="Arial"/>
                <w:b/>
                <w:bCs/>
                <w:sz w:val="20"/>
                <w:szCs w:val="20"/>
              </w:rPr>
              <w:t>▼)</w:t>
            </w:r>
            <w:r w:rsidRPr="00544874">
              <w:rPr>
                <w:rFonts w:cs="Arial"/>
                <w:b/>
                <w:bCs/>
                <w:sz w:val="20"/>
                <w:szCs w:val="20"/>
                <w:vertAlign w:val="superscript"/>
              </w:rPr>
              <w:t>2,2</w:t>
            </w:r>
            <w:r w:rsidR="00295A52">
              <w:rPr>
                <w:rFonts w:cs="Arial"/>
                <w:b/>
                <w:bCs/>
                <w:sz w:val="20"/>
                <w:szCs w:val="20"/>
                <w:vertAlign w:val="superscript"/>
              </w:rPr>
              <w:t>7</w:t>
            </w:r>
          </w:p>
        </w:tc>
        <w:tc>
          <w:tcPr>
            <w:tcW w:w="2079" w:type="dxa"/>
            <w:shd w:val="clear" w:color="auto" w:fill="E5DFEC" w:themeFill="accent4" w:themeFillTint="33"/>
            <w:vAlign w:val="center"/>
          </w:tcPr>
          <w:p w14:paraId="3A87C885" w14:textId="61F3D0AE" w:rsidR="007415C5" w:rsidRPr="00544874" w:rsidRDefault="007415C5" w:rsidP="002E0A78">
            <w:pPr>
              <w:rPr>
                <w:rFonts w:cs="Arial"/>
                <w:b/>
                <w:bCs/>
                <w:sz w:val="20"/>
                <w:szCs w:val="20"/>
              </w:rPr>
            </w:pPr>
            <w:r w:rsidRPr="00544874">
              <w:rPr>
                <w:rFonts w:cs="Arial"/>
                <w:b/>
                <w:bCs/>
                <w:sz w:val="20"/>
                <w:szCs w:val="20"/>
              </w:rPr>
              <w:t>Apixaban (Eliquis®)</w:t>
            </w:r>
            <w:r w:rsidRPr="00544874">
              <w:rPr>
                <w:rFonts w:cs="Arial"/>
                <w:b/>
                <w:bCs/>
                <w:sz w:val="20"/>
                <w:szCs w:val="20"/>
                <w:vertAlign w:val="superscript"/>
              </w:rPr>
              <w:t>3,2</w:t>
            </w:r>
            <w:r w:rsidR="00295A52">
              <w:rPr>
                <w:rFonts w:cs="Arial"/>
                <w:b/>
                <w:bCs/>
                <w:sz w:val="20"/>
                <w:szCs w:val="20"/>
                <w:vertAlign w:val="superscript"/>
              </w:rPr>
              <w:t>7</w:t>
            </w:r>
          </w:p>
        </w:tc>
        <w:tc>
          <w:tcPr>
            <w:tcW w:w="1674" w:type="dxa"/>
            <w:shd w:val="clear" w:color="auto" w:fill="FDE9D9" w:themeFill="accent6" w:themeFillTint="33"/>
            <w:vAlign w:val="center"/>
          </w:tcPr>
          <w:p w14:paraId="06245782" w14:textId="5D58941A" w:rsidR="007415C5" w:rsidRPr="00544874" w:rsidRDefault="007415C5" w:rsidP="002E0A78">
            <w:pPr>
              <w:rPr>
                <w:rFonts w:cs="Arial"/>
                <w:b/>
                <w:bCs/>
                <w:sz w:val="20"/>
                <w:szCs w:val="20"/>
              </w:rPr>
            </w:pPr>
            <w:r w:rsidRPr="00544874">
              <w:rPr>
                <w:rFonts w:cs="Arial"/>
                <w:b/>
                <w:bCs/>
                <w:sz w:val="20"/>
                <w:szCs w:val="20"/>
              </w:rPr>
              <w:t>Edoxaban (Lixiana</w:t>
            </w:r>
            <w:r w:rsidRPr="00544874">
              <w:rPr>
                <w:rFonts w:cs="Arial"/>
                <w:b/>
                <w:bCs/>
                <w:sz w:val="20"/>
                <w:szCs w:val="20"/>
              </w:rPr>
              <w:sym w:font="Symbol" w:char="F0D2"/>
            </w:r>
            <w:r w:rsidRPr="00544874">
              <w:rPr>
                <w:rFonts w:cs="Arial"/>
                <w:b/>
                <w:bCs/>
                <w:sz w:val="20"/>
                <w:szCs w:val="20"/>
              </w:rPr>
              <w:t>)</w:t>
            </w:r>
            <w:r w:rsidRPr="00544874">
              <w:rPr>
                <w:rFonts w:cs="Arial"/>
                <w:b/>
                <w:bCs/>
                <w:sz w:val="20"/>
                <w:szCs w:val="20"/>
                <w:vertAlign w:val="superscript"/>
              </w:rPr>
              <w:t>4,2</w:t>
            </w:r>
            <w:r w:rsidR="00295A52">
              <w:rPr>
                <w:rFonts w:cs="Arial"/>
                <w:b/>
                <w:bCs/>
                <w:sz w:val="20"/>
                <w:szCs w:val="20"/>
                <w:vertAlign w:val="superscript"/>
              </w:rPr>
              <w:t>7</w:t>
            </w:r>
          </w:p>
        </w:tc>
        <w:tc>
          <w:tcPr>
            <w:tcW w:w="1413" w:type="dxa"/>
            <w:shd w:val="clear" w:color="auto" w:fill="EAF1DD" w:themeFill="accent3" w:themeFillTint="33"/>
            <w:vAlign w:val="center"/>
          </w:tcPr>
          <w:p w14:paraId="3B3DCAC0" w14:textId="77777777" w:rsidR="007415C5" w:rsidRPr="00544874" w:rsidRDefault="007415C5" w:rsidP="00852362">
            <w:pPr>
              <w:rPr>
                <w:rFonts w:cs="Arial"/>
                <w:b/>
                <w:bCs/>
                <w:sz w:val="20"/>
                <w:szCs w:val="20"/>
                <w:vertAlign w:val="superscript"/>
              </w:rPr>
            </w:pPr>
            <w:r w:rsidRPr="00544874">
              <w:rPr>
                <w:rFonts w:cs="Arial"/>
                <w:b/>
                <w:bCs/>
                <w:sz w:val="20"/>
                <w:szCs w:val="20"/>
              </w:rPr>
              <w:t>Warfarin</w:t>
            </w:r>
            <w:r w:rsidRPr="00544874">
              <w:rPr>
                <w:rFonts w:cs="Arial"/>
                <w:b/>
                <w:bCs/>
                <w:sz w:val="20"/>
                <w:szCs w:val="20"/>
                <w:vertAlign w:val="superscript"/>
              </w:rPr>
              <w:t>5,6</w:t>
            </w:r>
          </w:p>
        </w:tc>
      </w:tr>
      <w:tr w:rsidR="00544874" w:rsidRPr="00544874" w14:paraId="0BFB36BB" w14:textId="77777777" w:rsidTr="00544874">
        <w:trPr>
          <w:trHeight w:val="729"/>
          <w:jc w:val="center"/>
        </w:trPr>
        <w:tc>
          <w:tcPr>
            <w:tcW w:w="1668" w:type="dxa"/>
            <w:shd w:val="clear" w:color="auto" w:fill="F2F2F2" w:themeFill="background1" w:themeFillShade="F2"/>
            <w:vAlign w:val="center"/>
          </w:tcPr>
          <w:p w14:paraId="006799AD" w14:textId="77777777" w:rsidR="007415C5" w:rsidRPr="00544874" w:rsidRDefault="007415C5" w:rsidP="00544874">
            <w:pPr>
              <w:jc w:val="center"/>
              <w:rPr>
                <w:rFonts w:cs="Arial"/>
                <w:szCs w:val="22"/>
              </w:rPr>
            </w:pPr>
            <w:r w:rsidRPr="00544874">
              <w:rPr>
                <w:rFonts w:cs="Arial"/>
                <w:szCs w:val="22"/>
              </w:rPr>
              <w:t>CrCl &gt;80ml/min</w:t>
            </w:r>
          </w:p>
        </w:tc>
        <w:tc>
          <w:tcPr>
            <w:tcW w:w="2020" w:type="dxa"/>
            <w:shd w:val="clear" w:color="auto" w:fill="auto"/>
            <w:vAlign w:val="center"/>
          </w:tcPr>
          <w:p w14:paraId="217F2EF5" w14:textId="77777777" w:rsidR="007415C5" w:rsidRPr="00544874" w:rsidRDefault="007415C5" w:rsidP="00544874">
            <w:pPr>
              <w:jc w:val="center"/>
              <w:rPr>
                <w:rFonts w:cs="Arial"/>
                <w:szCs w:val="22"/>
              </w:rPr>
            </w:pPr>
            <w:r w:rsidRPr="00544874">
              <w:rPr>
                <w:rFonts w:cs="Arial"/>
                <w:szCs w:val="22"/>
              </w:rPr>
              <w:t>No dosage adjustment</w:t>
            </w:r>
          </w:p>
        </w:tc>
        <w:tc>
          <w:tcPr>
            <w:tcW w:w="1637" w:type="dxa"/>
            <w:shd w:val="clear" w:color="auto" w:fill="auto"/>
            <w:vAlign w:val="center"/>
          </w:tcPr>
          <w:p w14:paraId="27392DD2" w14:textId="77777777" w:rsidR="007415C5" w:rsidRPr="00544874" w:rsidRDefault="007415C5" w:rsidP="00544874">
            <w:pPr>
              <w:jc w:val="center"/>
              <w:rPr>
                <w:rFonts w:cs="Arial"/>
                <w:szCs w:val="22"/>
              </w:rPr>
            </w:pPr>
            <w:r w:rsidRPr="00544874">
              <w:rPr>
                <w:rFonts w:cs="Arial"/>
                <w:szCs w:val="22"/>
              </w:rPr>
              <w:t>No dosage adjustment</w:t>
            </w:r>
          </w:p>
        </w:tc>
        <w:tc>
          <w:tcPr>
            <w:tcW w:w="2079" w:type="dxa"/>
            <w:shd w:val="clear" w:color="auto" w:fill="auto"/>
            <w:vAlign w:val="center"/>
          </w:tcPr>
          <w:p w14:paraId="579F97B8" w14:textId="77777777" w:rsidR="007415C5" w:rsidRPr="00544874" w:rsidRDefault="007415C5" w:rsidP="00544874">
            <w:pPr>
              <w:jc w:val="center"/>
              <w:rPr>
                <w:rFonts w:cs="Arial"/>
                <w:szCs w:val="22"/>
              </w:rPr>
            </w:pPr>
            <w:r w:rsidRPr="00544874">
              <w:rPr>
                <w:rFonts w:cs="Arial"/>
                <w:szCs w:val="22"/>
              </w:rPr>
              <w:t>No dosage adjustment</w:t>
            </w:r>
          </w:p>
        </w:tc>
        <w:tc>
          <w:tcPr>
            <w:tcW w:w="1674" w:type="dxa"/>
            <w:shd w:val="clear" w:color="auto" w:fill="auto"/>
            <w:vAlign w:val="center"/>
          </w:tcPr>
          <w:p w14:paraId="208C6428" w14:textId="77777777" w:rsidR="007415C5" w:rsidRPr="00544874" w:rsidRDefault="007415C5" w:rsidP="00544874">
            <w:pPr>
              <w:jc w:val="center"/>
              <w:rPr>
                <w:rFonts w:cs="Arial"/>
                <w:szCs w:val="22"/>
              </w:rPr>
            </w:pPr>
            <w:r w:rsidRPr="00544874">
              <w:rPr>
                <w:rFonts w:cs="Arial"/>
                <w:color w:val="0B0C0C"/>
                <w:szCs w:val="22"/>
                <w:lang w:eastAsia="en-GB"/>
              </w:rPr>
              <w:t>No dosage adjustment</w:t>
            </w:r>
          </w:p>
        </w:tc>
        <w:tc>
          <w:tcPr>
            <w:tcW w:w="1413" w:type="dxa"/>
            <w:vAlign w:val="center"/>
          </w:tcPr>
          <w:p w14:paraId="44EB251A" w14:textId="789CB449" w:rsidR="007415C5" w:rsidRPr="00544874" w:rsidRDefault="007415C5" w:rsidP="00544874">
            <w:pPr>
              <w:jc w:val="center"/>
              <w:rPr>
                <w:rFonts w:cs="Arial"/>
                <w:szCs w:val="22"/>
              </w:rPr>
            </w:pPr>
            <w:r w:rsidRPr="00544874">
              <w:rPr>
                <w:rFonts w:cs="Arial"/>
                <w:szCs w:val="22"/>
              </w:rPr>
              <w:t>No dosage adjustment</w:t>
            </w:r>
          </w:p>
        </w:tc>
      </w:tr>
      <w:tr w:rsidR="00544874" w:rsidRPr="00544874" w14:paraId="3757ECF3" w14:textId="77777777" w:rsidTr="00544874">
        <w:trPr>
          <w:trHeight w:val="729"/>
          <w:jc w:val="center"/>
        </w:trPr>
        <w:tc>
          <w:tcPr>
            <w:tcW w:w="1668" w:type="dxa"/>
            <w:shd w:val="clear" w:color="auto" w:fill="F2F2F2" w:themeFill="background1" w:themeFillShade="F2"/>
            <w:vAlign w:val="center"/>
          </w:tcPr>
          <w:p w14:paraId="3F6F6712" w14:textId="77777777" w:rsidR="007415C5" w:rsidRPr="00544874" w:rsidRDefault="007415C5" w:rsidP="00544874">
            <w:pPr>
              <w:jc w:val="center"/>
              <w:rPr>
                <w:rFonts w:cs="Arial"/>
                <w:szCs w:val="22"/>
              </w:rPr>
            </w:pPr>
            <w:r w:rsidRPr="00544874">
              <w:rPr>
                <w:rFonts w:cs="Arial"/>
                <w:szCs w:val="22"/>
              </w:rPr>
              <w:t>CrCl</w:t>
            </w:r>
          </w:p>
          <w:p w14:paraId="2FD1EDCA" w14:textId="77777777" w:rsidR="007415C5" w:rsidRPr="00544874" w:rsidRDefault="007415C5" w:rsidP="00544874">
            <w:pPr>
              <w:jc w:val="center"/>
              <w:rPr>
                <w:rFonts w:cs="Arial"/>
                <w:szCs w:val="22"/>
                <w:highlight w:val="yellow"/>
              </w:rPr>
            </w:pPr>
            <w:r w:rsidRPr="00544874">
              <w:rPr>
                <w:rFonts w:cs="Arial"/>
                <w:szCs w:val="22"/>
              </w:rPr>
              <w:t>50-80ml/min</w:t>
            </w:r>
          </w:p>
        </w:tc>
        <w:tc>
          <w:tcPr>
            <w:tcW w:w="2020" w:type="dxa"/>
            <w:shd w:val="clear" w:color="auto" w:fill="auto"/>
            <w:vAlign w:val="center"/>
          </w:tcPr>
          <w:p w14:paraId="239C2677" w14:textId="77777777" w:rsidR="007415C5" w:rsidRPr="00544874" w:rsidRDefault="007415C5" w:rsidP="00544874">
            <w:pPr>
              <w:jc w:val="center"/>
              <w:rPr>
                <w:rFonts w:cs="Arial"/>
                <w:szCs w:val="22"/>
              </w:rPr>
            </w:pPr>
            <w:r w:rsidRPr="00544874">
              <w:rPr>
                <w:rFonts w:cs="Arial"/>
                <w:szCs w:val="22"/>
              </w:rPr>
              <w:t>No dosage adjustment</w:t>
            </w:r>
          </w:p>
        </w:tc>
        <w:tc>
          <w:tcPr>
            <w:tcW w:w="1637" w:type="dxa"/>
            <w:shd w:val="clear" w:color="auto" w:fill="auto"/>
            <w:vAlign w:val="center"/>
          </w:tcPr>
          <w:p w14:paraId="387C7308" w14:textId="77777777" w:rsidR="007415C5" w:rsidRPr="00544874" w:rsidRDefault="007415C5" w:rsidP="00544874">
            <w:pPr>
              <w:jc w:val="center"/>
              <w:rPr>
                <w:rFonts w:cs="Arial"/>
                <w:szCs w:val="22"/>
              </w:rPr>
            </w:pPr>
            <w:r w:rsidRPr="00544874">
              <w:rPr>
                <w:rFonts w:cs="Arial"/>
                <w:szCs w:val="22"/>
              </w:rPr>
              <w:t>No dosage adjustment</w:t>
            </w:r>
          </w:p>
        </w:tc>
        <w:tc>
          <w:tcPr>
            <w:tcW w:w="2079" w:type="dxa"/>
            <w:shd w:val="clear" w:color="auto" w:fill="auto"/>
            <w:vAlign w:val="center"/>
          </w:tcPr>
          <w:p w14:paraId="1955BE8B" w14:textId="77777777" w:rsidR="007415C5" w:rsidRPr="00544874" w:rsidRDefault="007415C5" w:rsidP="00544874">
            <w:pPr>
              <w:jc w:val="center"/>
              <w:rPr>
                <w:rFonts w:cs="Arial"/>
                <w:szCs w:val="22"/>
              </w:rPr>
            </w:pPr>
            <w:r w:rsidRPr="00544874">
              <w:rPr>
                <w:rFonts w:cs="Arial"/>
                <w:szCs w:val="22"/>
              </w:rPr>
              <w:t>2.5mg bd for some patients*</w:t>
            </w:r>
          </w:p>
        </w:tc>
        <w:tc>
          <w:tcPr>
            <w:tcW w:w="1674" w:type="dxa"/>
            <w:shd w:val="clear" w:color="auto" w:fill="auto"/>
            <w:vAlign w:val="center"/>
          </w:tcPr>
          <w:p w14:paraId="097B9CA9" w14:textId="77777777" w:rsidR="007415C5" w:rsidRPr="00544874" w:rsidRDefault="007415C5" w:rsidP="00544874">
            <w:pPr>
              <w:jc w:val="center"/>
              <w:rPr>
                <w:rFonts w:cs="Arial"/>
                <w:szCs w:val="22"/>
              </w:rPr>
            </w:pPr>
            <w:r w:rsidRPr="00544874">
              <w:rPr>
                <w:rFonts w:cs="Arial"/>
                <w:szCs w:val="22"/>
              </w:rPr>
              <w:t>No dosage adjustment</w:t>
            </w:r>
          </w:p>
        </w:tc>
        <w:tc>
          <w:tcPr>
            <w:tcW w:w="1413" w:type="dxa"/>
            <w:vAlign w:val="center"/>
          </w:tcPr>
          <w:p w14:paraId="6635C1C7" w14:textId="77777777" w:rsidR="007415C5" w:rsidRPr="00544874" w:rsidRDefault="007415C5" w:rsidP="00544874">
            <w:pPr>
              <w:jc w:val="center"/>
              <w:rPr>
                <w:rFonts w:cs="Arial"/>
                <w:szCs w:val="22"/>
              </w:rPr>
            </w:pPr>
            <w:r w:rsidRPr="00544874">
              <w:rPr>
                <w:rFonts w:cs="Arial"/>
                <w:szCs w:val="22"/>
              </w:rPr>
              <w:t>Use with caution</w:t>
            </w:r>
          </w:p>
        </w:tc>
      </w:tr>
      <w:tr w:rsidR="00544874" w:rsidRPr="00544874" w14:paraId="57C58586" w14:textId="77777777" w:rsidTr="00544874">
        <w:trPr>
          <w:trHeight w:val="729"/>
          <w:jc w:val="center"/>
        </w:trPr>
        <w:tc>
          <w:tcPr>
            <w:tcW w:w="1668" w:type="dxa"/>
            <w:shd w:val="clear" w:color="auto" w:fill="F2F2F2" w:themeFill="background1" w:themeFillShade="F2"/>
            <w:vAlign w:val="center"/>
          </w:tcPr>
          <w:p w14:paraId="4329F135" w14:textId="77777777" w:rsidR="007415C5" w:rsidRPr="00544874" w:rsidRDefault="007415C5" w:rsidP="00544874">
            <w:pPr>
              <w:jc w:val="center"/>
              <w:rPr>
                <w:rFonts w:cs="Arial"/>
                <w:szCs w:val="22"/>
              </w:rPr>
            </w:pPr>
            <w:r w:rsidRPr="00544874">
              <w:rPr>
                <w:rFonts w:cs="Arial"/>
                <w:szCs w:val="22"/>
              </w:rPr>
              <w:t>CrCl</w:t>
            </w:r>
          </w:p>
          <w:p w14:paraId="3B174A4F" w14:textId="77777777" w:rsidR="007415C5" w:rsidRPr="00544874" w:rsidRDefault="007415C5" w:rsidP="00544874">
            <w:pPr>
              <w:jc w:val="center"/>
              <w:rPr>
                <w:rFonts w:cs="Arial"/>
                <w:szCs w:val="22"/>
              </w:rPr>
            </w:pPr>
            <w:r w:rsidRPr="00544874">
              <w:rPr>
                <w:rFonts w:cs="Arial"/>
                <w:szCs w:val="22"/>
              </w:rPr>
              <w:t>30-49ml/min</w:t>
            </w:r>
          </w:p>
        </w:tc>
        <w:tc>
          <w:tcPr>
            <w:tcW w:w="2020" w:type="dxa"/>
            <w:shd w:val="clear" w:color="auto" w:fill="auto"/>
            <w:vAlign w:val="center"/>
          </w:tcPr>
          <w:p w14:paraId="6C9B572F" w14:textId="49B7EAE7" w:rsidR="00164899" w:rsidRDefault="007415C5" w:rsidP="00544874">
            <w:pPr>
              <w:jc w:val="center"/>
              <w:rPr>
                <w:rFonts w:cs="Arial"/>
                <w:szCs w:val="22"/>
              </w:rPr>
            </w:pPr>
            <w:r w:rsidRPr="00544874">
              <w:rPr>
                <w:rFonts w:cs="Arial"/>
                <w:szCs w:val="22"/>
              </w:rPr>
              <w:t xml:space="preserve">Primary prevention of VTE in orthopaedic surgery - single capsule of 75mg followed by 150mg daily </w:t>
            </w:r>
          </w:p>
          <w:p w14:paraId="078A7A31" w14:textId="08328150" w:rsidR="007415C5" w:rsidRPr="00544874" w:rsidRDefault="007415C5" w:rsidP="00544874">
            <w:pPr>
              <w:jc w:val="center"/>
              <w:rPr>
                <w:rFonts w:cs="Arial"/>
                <w:szCs w:val="22"/>
              </w:rPr>
            </w:pPr>
            <w:r w:rsidRPr="00544874">
              <w:rPr>
                <w:rFonts w:cs="Arial"/>
                <w:szCs w:val="22"/>
              </w:rPr>
              <w:t xml:space="preserve">AF, DVT &amp; PE - </w:t>
            </w:r>
            <w:r w:rsidR="00164899">
              <w:rPr>
                <w:rFonts w:cs="Arial"/>
                <w:szCs w:val="22"/>
              </w:rPr>
              <w:t>n</w:t>
            </w:r>
            <w:r w:rsidRPr="00544874">
              <w:rPr>
                <w:rFonts w:cs="Arial"/>
                <w:szCs w:val="22"/>
              </w:rPr>
              <w:t>o dosage adjustment unless bleeding risk, then reduce to 110mg twice daily</w:t>
            </w:r>
          </w:p>
        </w:tc>
        <w:tc>
          <w:tcPr>
            <w:tcW w:w="1637" w:type="dxa"/>
            <w:shd w:val="clear" w:color="auto" w:fill="auto"/>
            <w:vAlign w:val="center"/>
          </w:tcPr>
          <w:p w14:paraId="667E53D5" w14:textId="77777777" w:rsidR="007415C5" w:rsidRPr="00544874" w:rsidRDefault="007415C5" w:rsidP="00544874">
            <w:pPr>
              <w:jc w:val="center"/>
              <w:rPr>
                <w:rFonts w:cs="Arial"/>
                <w:szCs w:val="22"/>
              </w:rPr>
            </w:pPr>
            <w:r w:rsidRPr="00544874">
              <w:rPr>
                <w:rFonts w:cs="Arial"/>
                <w:szCs w:val="22"/>
              </w:rPr>
              <w:t>15mg daily</w:t>
            </w:r>
          </w:p>
        </w:tc>
        <w:tc>
          <w:tcPr>
            <w:tcW w:w="2079" w:type="dxa"/>
            <w:shd w:val="clear" w:color="auto" w:fill="auto"/>
            <w:vAlign w:val="center"/>
          </w:tcPr>
          <w:p w14:paraId="17630EC3" w14:textId="77777777" w:rsidR="007415C5" w:rsidRPr="00544874" w:rsidRDefault="007415C5" w:rsidP="00544874">
            <w:pPr>
              <w:jc w:val="center"/>
              <w:rPr>
                <w:rFonts w:cs="Arial"/>
                <w:szCs w:val="22"/>
              </w:rPr>
            </w:pPr>
            <w:r w:rsidRPr="00544874">
              <w:rPr>
                <w:rFonts w:cs="Arial"/>
                <w:szCs w:val="22"/>
              </w:rPr>
              <w:t>2.5mg bd for some patients*</w:t>
            </w:r>
          </w:p>
        </w:tc>
        <w:tc>
          <w:tcPr>
            <w:tcW w:w="1674" w:type="dxa"/>
            <w:shd w:val="clear" w:color="auto" w:fill="auto"/>
            <w:vAlign w:val="center"/>
          </w:tcPr>
          <w:p w14:paraId="4E3A1665" w14:textId="77777777" w:rsidR="007415C5" w:rsidRPr="00544874" w:rsidRDefault="007415C5" w:rsidP="00544874">
            <w:pPr>
              <w:jc w:val="center"/>
              <w:rPr>
                <w:rFonts w:cs="Arial"/>
                <w:szCs w:val="22"/>
              </w:rPr>
            </w:pPr>
            <w:r w:rsidRPr="00544874">
              <w:rPr>
                <w:rFonts w:cs="Arial"/>
                <w:szCs w:val="22"/>
              </w:rPr>
              <w:t>30mg daily</w:t>
            </w:r>
          </w:p>
        </w:tc>
        <w:tc>
          <w:tcPr>
            <w:tcW w:w="1413" w:type="dxa"/>
            <w:vAlign w:val="center"/>
          </w:tcPr>
          <w:p w14:paraId="563C062B" w14:textId="77777777" w:rsidR="007415C5" w:rsidRPr="00544874" w:rsidRDefault="007415C5" w:rsidP="00544874">
            <w:pPr>
              <w:jc w:val="center"/>
              <w:rPr>
                <w:rFonts w:cs="Arial"/>
                <w:szCs w:val="22"/>
              </w:rPr>
            </w:pPr>
            <w:r w:rsidRPr="00544874">
              <w:rPr>
                <w:rFonts w:cs="Arial"/>
                <w:szCs w:val="22"/>
              </w:rPr>
              <w:t>Use with caution</w:t>
            </w:r>
          </w:p>
        </w:tc>
      </w:tr>
      <w:tr w:rsidR="00544874" w:rsidRPr="00544874" w14:paraId="6471F23C" w14:textId="77777777" w:rsidTr="00544874">
        <w:trPr>
          <w:jc w:val="center"/>
        </w:trPr>
        <w:tc>
          <w:tcPr>
            <w:tcW w:w="1668" w:type="dxa"/>
            <w:shd w:val="clear" w:color="auto" w:fill="F2F2F2" w:themeFill="background1" w:themeFillShade="F2"/>
            <w:vAlign w:val="center"/>
          </w:tcPr>
          <w:p w14:paraId="4FA040B8" w14:textId="77777777" w:rsidR="007415C5" w:rsidRPr="00544874" w:rsidRDefault="007415C5" w:rsidP="00544874">
            <w:pPr>
              <w:jc w:val="center"/>
              <w:rPr>
                <w:rFonts w:cs="Arial"/>
                <w:szCs w:val="22"/>
              </w:rPr>
            </w:pPr>
            <w:r w:rsidRPr="00544874">
              <w:rPr>
                <w:rFonts w:cs="Arial"/>
                <w:szCs w:val="22"/>
              </w:rPr>
              <w:t>CrCl</w:t>
            </w:r>
          </w:p>
          <w:p w14:paraId="51DFA0EB" w14:textId="77777777" w:rsidR="007415C5" w:rsidRPr="00544874" w:rsidRDefault="007415C5" w:rsidP="00544874">
            <w:pPr>
              <w:jc w:val="center"/>
              <w:rPr>
                <w:rFonts w:cs="Arial"/>
                <w:szCs w:val="22"/>
              </w:rPr>
            </w:pPr>
            <w:r w:rsidRPr="00544874">
              <w:rPr>
                <w:rFonts w:cs="Arial"/>
                <w:szCs w:val="22"/>
              </w:rPr>
              <w:t>15-29ml/min</w:t>
            </w:r>
          </w:p>
        </w:tc>
        <w:tc>
          <w:tcPr>
            <w:tcW w:w="2020" w:type="dxa"/>
            <w:shd w:val="clear" w:color="auto" w:fill="auto"/>
            <w:vAlign w:val="center"/>
          </w:tcPr>
          <w:p w14:paraId="0B2D3B8E" w14:textId="77777777" w:rsidR="007415C5" w:rsidRPr="00544874" w:rsidRDefault="007415C5" w:rsidP="00544874">
            <w:pPr>
              <w:jc w:val="center"/>
              <w:rPr>
                <w:rFonts w:cs="Arial"/>
                <w:szCs w:val="22"/>
              </w:rPr>
            </w:pPr>
            <w:r w:rsidRPr="00544874">
              <w:rPr>
                <w:rFonts w:cs="Arial"/>
                <w:szCs w:val="22"/>
              </w:rPr>
              <w:t>Contraindicated</w:t>
            </w:r>
          </w:p>
        </w:tc>
        <w:tc>
          <w:tcPr>
            <w:tcW w:w="1637" w:type="dxa"/>
            <w:shd w:val="clear" w:color="auto" w:fill="auto"/>
            <w:vAlign w:val="center"/>
          </w:tcPr>
          <w:p w14:paraId="61526471" w14:textId="77777777" w:rsidR="007415C5" w:rsidRPr="00544874" w:rsidRDefault="007415C5" w:rsidP="00544874">
            <w:pPr>
              <w:jc w:val="center"/>
              <w:rPr>
                <w:rFonts w:cs="Arial"/>
                <w:szCs w:val="22"/>
              </w:rPr>
            </w:pPr>
            <w:r w:rsidRPr="00544874">
              <w:rPr>
                <w:rFonts w:cs="Arial"/>
                <w:szCs w:val="22"/>
              </w:rPr>
              <w:t>Caution - 15mg daily</w:t>
            </w:r>
          </w:p>
        </w:tc>
        <w:tc>
          <w:tcPr>
            <w:tcW w:w="2079" w:type="dxa"/>
            <w:shd w:val="clear" w:color="auto" w:fill="auto"/>
            <w:vAlign w:val="center"/>
          </w:tcPr>
          <w:p w14:paraId="30E4232F" w14:textId="02FC56F2" w:rsidR="007415C5" w:rsidRPr="00544874" w:rsidRDefault="007415C5" w:rsidP="00544874">
            <w:pPr>
              <w:jc w:val="center"/>
              <w:rPr>
                <w:rFonts w:cs="Arial"/>
                <w:color w:val="000000"/>
                <w:szCs w:val="22"/>
                <w:shd w:val="clear" w:color="auto" w:fill="FFFFFF"/>
              </w:rPr>
            </w:pPr>
            <w:r w:rsidRPr="00544874">
              <w:rPr>
                <w:rFonts w:cs="Arial"/>
                <w:color w:val="000000"/>
                <w:szCs w:val="22"/>
                <w:shd w:val="clear" w:color="auto" w:fill="FFFFFF"/>
              </w:rPr>
              <w:t>2.5mg bd for</w:t>
            </w:r>
            <w:r w:rsidR="00C71032">
              <w:rPr>
                <w:rFonts w:cs="Arial"/>
                <w:color w:val="000000"/>
                <w:szCs w:val="22"/>
                <w:shd w:val="clear" w:color="auto" w:fill="FFFFFF"/>
              </w:rPr>
              <w:t xml:space="preserve"> </w:t>
            </w:r>
            <w:r w:rsidRPr="00544874">
              <w:rPr>
                <w:rFonts w:cs="Arial"/>
                <w:color w:val="000000"/>
                <w:szCs w:val="22"/>
                <w:shd w:val="clear" w:color="auto" w:fill="FFFFFF"/>
              </w:rPr>
              <w:t>prevention of stroke and systemic embolism in patients with NVAF</w:t>
            </w:r>
          </w:p>
          <w:p w14:paraId="537A4EB4" w14:textId="77777777" w:rsidR="007415C5" w:rsidRPr="00544874" w:rsidRDefault="007415C5" w:rsidP="00544874">
            <w:pPr>
              <w:jc w:val="center"/>
              <w:rPr>
                <w:rFonts w:cs="Arial"/>
                <w:szCs w:val="22"/>
              </w:rPr>
            </w:pPr>
            <w:r w:rsidRPr="00544874">
              <w:rPr>
                <w:rFonts w:cs="Arial"/>
                <w:color w:val="000000"/>
                <w:szCs w:val="22"/>
                <w:shd w:val="clear" w:color="auto" w:fill="FFFFFF"/>
              </w:rPr>
              <w:lastRenderedPageBreak/>
              <w:t>Use with caution for other indications</w:t>
            </w:r>
          </w:p>
        </w:tc>
        <w:tc>
          <w:tcPr>
            <w:tcW w:w="1674" w:type="dxa"/>
            <w:shd w:val="clear" w:color="auto" w:fill="auto"/>
            <w:vAlign w:val="center"/>
          </w:tcPr>
          <w:p w14:paraId="162A3D17" w14:textId="77777777" w:rsidR="007415C5" w:rsidRPr="00544874" w:rsidRDefault="007415C5" w:rsidP="00544874">
            <w:pPr>
              <w:jc w:val="center"/>
              <w:rPr>
                <w:rFonts w:cs="Arial"/>
                <w:szCs w:val="22"/>
              </w:rPr>
            </w:pPr>
            <w:r w:rsidRPr="00544874">
              <w:rPr>
                <w:rFonts w:cs="Arial"/>
                <w:szCs w:val="22"/>
              </w:rPr>
              <w:lastRenderedPageBreak/>
              <w:t>30mg daily</w:t>
            </w:r>
          </w:p>
        </w:tc>
        <w:tc>
          <w:tcPr>
            <w:tcW w:w="1413" w:type="dxa"/>
            <w:vAlign w:val="center"/>
          </w:tcPr>
          <w:p w14:paraId="28306A7C" w14:textId="77777777" w:rsidR="007415C5" w:rsidRPr="00544874" w:rsidRDefault="007415C5" w:rsidP="00544874">
            <w:pPr>
              <w:jc w:val="center"/>
              <w:rPr>
                <w:rFonts w:cs="Arial"/>
                <w:szCs w:val="22"/>
              </w:rPr>
            </w:pPr>
            <w:r w:rsidRPr="00544874">
              <w:rPr>
                <w:rFonts w:cs="Arial"/>
                <w:szCs w:val="22"/>
              </w:rPr>
              <w:t>Monitor INR more frequently</w:t>
            </w:r>
          </w:p>
        </w:tc>
      </w:tr>
      <w:tr w:rsidR="00544874" w:rsidRPr="00544874" w14:paraId="48BD540B" w14:textId="77777777" w:rsidTr="00544874">
        <w:trPr>
          <w:trHeight w:val="826"/>
          <w:jc w:val="center"/>
        </w:trPr>
        <w:tc>
          <w:tcPr>
            <w:tcW w:w="1668" w:type="dxa"/>
            <w:shd w:val="clear" w:color="auto" w:fill="F2F2F2" w:themeFill="background1" w:themeFillShade="F2"/>
            <w:vAlign w:val="center"/>
          </w:tcPr>
          <w:p w14:paraId="0266C3D0" w14:textId="55A5C9EC" w:rsidR="007415C5" w:rsidRPr="00544874" w:rsidRDefault="007415C5" w:rsidP="00544874">
            <w:pPr>
              <w:jc w:val="center"/>
              <w:rPr>
                <w:rFonts w:cs="Arial"/>
                <w:szCs w:val="22"/>
              </w:rPr>
            </w:pPr>
            <w:r w:rsidRPr="00544874">
              <w:rPr>
                <w:rFonts w:cs="Arial"/>
                <w:szCs w:val="22"/>
              </w:rPr>
              <w:t>CrCl &lt;15ml/min</w:t>
            </w:r>
          </w:p>
        </w:tc>
        <w:tc>
          <w:tcPr>
            <w:tcW w:w="2020" w:type="dxa"/>
            <w:shd w:val="clear" w:color="auto" w:fill="auto"/>
            <w:vAlign w:val="center"/>
          </w:tcPr>
          <w:p w14:paraId="3B72B823" w14:textId="77777777" w:rsidR="007415C5" w:rsidRPr="00544874" w:rsidRDefault="007415C5" w:rsidP="00544874">
            <w:pPr>
              <w:jc w:val="center"/>
              <w:rPr>
                <w:rFonts w:cs="Arial"/>
                <w:szCs w:val="22"/>
              </w:rPr>
            </w:pPr>
            <w:r w:rsidRPr="00544874">
              <w:rPr>
                <w:rFonts w:cs="Arial"/>
                <w:szCs w:val="22"/>
              </w:rPr>
              <w:t>Contraindicated</w:t>
            </w:r>
          </w:p>
        </w:tc>
        <w:tc>
          <w:tcPr>
            <w:tcW w:w="1637" w:type="dxa"/>
            <w:shd w:val="clear" w:color="auto" w:fill="auto"/>
            <w:vAlign w:val="center"/>
          </w:tcPr>
          <w:p w14:paraId="3B0EEBB0" w14:textId="77777777" w:rsidR="007415C5" w:rsidRPr="00544874" w:rsidRDefault="007415C5" w:rsidP="00544874">
            <w:pPr>
              <w:jc w:val="center"/>
              <w:rPr>
                <w:rFonts w:cs="Arial"/>
                <w:szCs w:val="22"/>
              </w:rPr>
            </w:pPr>
            <w:r w:rsidRPr="00544874">
              <w:rPr>
                <w:rFonts w:cs="Arial"/>
                <w:szCs w:val="22"/>
              </w:rPr>
              <w:t>Use not recommended</w:t>
            </w:r>
          </w:p>
        </w:tc>
        <w:tc>
          <w:tcPr>
            <w:tcW w:w="2079" w:type="dxa"/>
            <w:shd w:val="clear" w:color="auto" w:fill="auto"/>
            <w:vAlign w:val="center"/>
          </w:tcPr>
          <w:p w14:paraId="467488AB" w14:textId="77777777" w:rsidR="007415C5" w:rsidRPr="00544874" w:rsidRDefault="007415C5" w:rsidP="00544874">
            <w:pPr>
              <w:jc w:val="center"/>
              <w:rPr>
                <w:rFonts w:cs="Arial"/>
                <w:szCs w:val="22"/>
              </w:rPr>
            </w:pPr>
            <w:r w:rsidRPr="00544874">
              <w:rPr>
                <w:rFonts w:cs="Arial"/>
                <w:szCs w:val="22"/>
              </w:rPr>
              <w:t>Use not recommended</w:t>
            </w:r>
          </w:p>
        </w:tc>
        <w:tc>
          <w:tcPr>
            <w:tcW w:w="1674" w:type="dxa"/>
            <w:shd w:val="clear" w:color="auto" w:fill="auto"/>
            <w:vAlign w:val="center"/>
          </w:tcPr>
          <w:p w14:paraId="7FABD7C4" w14:textId="77777777" w:rsidR="007415C5" w:rsidRPr="00544874" w:rsidRDefault="007415C5" w:rsidP="00544874">
            <w:pPr>
              <w:jc w:val="center"/>
              <w:rPr>
                <w:rFonts w:cs="Arial"/>
                <w:szCs w:val="22"/>
              </w:rPr>
            </w:pPr>
            <w:r w:rsidRPr="00544874">
              <w:rPr>
                <w:rFonts w:cs="Arial"/>
                <w:szCs w:val="22"/>
              </w:rPr>
              <w:t>Use not recommended</w:t>
            </w:r>
          </w:p>
        </w:tc>
        <w:tc>
          <w:tcPr>
            <w:tcW w:w="1413" w:type="dxa"/>
          </w:tcPr>
          <w:p w14:paraId="7E817DA0" w14:textId="77777777" w:rsidR="007415C5" w:rsidRPr="00544874" w:rsidRDefault="007415C5" w:rsidP="00544874">
            <w:pPr>
              <w:jc w:val="center"/>
              <w:rPr>
                <w:rFonts w:cs="Arial"/>
                <w:szCs w:val="22"/>
              </w:rPr>
            </w:pPr>
            <w:r w:rsidRPr="00544874">
              <w:rPr>
                <w:rFonts w:cs="Arial"/>
                <w:szCs w:val="22"/>
              </w:rPr>
              <w:t>Monitor INR more frequently</w:t>
            </w:r>
          </w:p>
        </w:tc>
      </w:tr>
      <w:tr w:rsidR="00544874" w:rsidRPr="00544874" w14:paraId="0BB7334B" w14:textId="77777777" w:rsidTr="00544874">
        <w:trPr>
          <w:trHeight w:val="826"/>
          <w:jc w:val="center"/>
        </w:trPr>
        <w:tc>
          <w:tcPr>
            <w:tcW w:w="1668" w:type="dxa"/>
            <w:shd w:val="clear" w:color="auto" w:fill="F2F2F2" w:themeFill="background1" w:themeFillShade="F2"/>
            <w:vAlign w:val="center"/>
          </w:tcPr>
          <w:p w14:paraId="224DF9A6" w14:textId="77777777" w:rsidR="007415C5" w:rsidRPr="00544874" w:rsidRDefault="007415C5" w:rsidP="00544874">
            <w:pPr>
              <w:jc w:val="center"/>
              <w:rPr>
                <w:rFonts w:cs="Arial"/>
                <w:szCs w:val="22"/>
              </w:rPr>
            </w:pPr>
            <w:r w:rsidRPr="00544874">
              <w:rPr>
                <w:rFonts w:cs="Arial"/>
                <w:szCs w:val="22"/>
              </w:rPr>
              <w:t>Notes</w:t>
            </w:r>
          </w:p>
        </w:tc>
        <w:tc>
          <w:tcPr>
            <w:tcW w:w="2020" w:type="dxa"/>
            <w:shd w:val="clear" w:color="auto" w:fill="auto"/>
            <w:vAlign w:val="center"/>
          </w:tcPr>
          <w:p w14:paraId="246F0C01" w14:textId="77777777" w:rsidR="007415C5" w:rsidRPr="00544874" w:rsidRDefault="007415C5" w:rsidP="00544874">
            <w:pPr>
              <w:jc w:val="center"/>
              <w:rPr>
                <w:rFonts w:cs="Arial"/>
                <w:szCs w:val="22"/>
              </w:rPr>
            </w:pPr>
          </w:p>
        </w:tc>
        <w:tc>
          <w:tcPr>
            <w:tcW w:w="1637" w:type="dxa"/>
            <w:shd w:val="clear" w:color="auto" w:fill="auto"/>
            <w:vAlign w:val="center"/>
          </w:tcPr>
          <w:p w14:paraId="532C4CC4" w14:textId="52E59981" w:rsidR="007415C5" w:rsidRPr="00544874" w:rsidRDefault="007415C5" w:rsidP="00544874">
            <w:pPr>
              <w:jc w:val="center"/>
              <w:rPr>
                <w:rFonts w:cs="Arial"/>
                <w:szCs w:val="22"/>
              </w:rPr>
            </w:pPr>
            <w:r w:rsidRPr="00544874">
              <w:rPr>
                <w:rFonts w:cs="Arial"/>
                <w:szCs w:val="22"/>
              </w:rPr>
              <w:t>When dose is 10mg daily, no dosage adjustment necessary</w:t>
            </w:r>
          </w:p>
        </w:tc>
        <w:tc>
          <w:tcPr>
            <w:tcW w:w="2079" w:type="dxa"/>
            <w:shd w:val="clear" w:color="auto" w:fill="auto"/>
            <w:vAlign w:val="center"/>
          </w:tcPr>
          <w:p w14:paraId="6589E334" w14:textId="09CE8431" w:rsidR="007415C5" w:rsidRPr="00544874" w:rsidRDefault="007415C5" w:rsidP="00544874">
            <w:pPr>
              <w:jc w:val="center"/>
              <w:rPr>
                <w:rFonts w:cs="Arial"/>
                <w:szCs w:val="22"/>
              </w:rPr>
            </w:pPr>
            <w:r w:rsidRPr="00544874">
              <w:rPr>
                <w:rFonts w:cs="Arial"/>
                <w:szCs w:val="22"/>
              </w:rPr>
              <w:t>*</w:t>
            </w:r>
            <w:r w:rsidRPr="00544874">
              <w:rPr>
                <w:rFonts w:cs="Arial"/>
                <w:bCs/>
                <w:szCs w:val="22"/>
              </w:rPr>
              <w:t>For prevention of stroke and systemic embolism in patients with NVAF in</w:t>
            </w:r>
            <w:r w:rsidRPr="00544874">
              <w:rPr>
                <w:rFonts w:cs="Arial"/>
                <w:szCs w:val="22"/>
              </w:rPr>
              <w:t xml:space="preserve"> patients with serum creatinine ≥1.5mg/dL (133micromole/L), age ≥80 years or body weight ≤60kg</w:t>
            </w:r>
          </w:p>
        </w:tc>
        <w:tc>
          <w:tcPr>
            <w:tcW w:w="1674" w:type="dxa"/>
            <w:shd w:val="clear" w:color="auto" w:fill="auto"/>
            <w:vAlign w:val="center"/>
          </w:tcPr>
          <w:p w14:paraId="75DE2039" w14:textId="77777777" w:rsidR="007415C5" w:rsidRPr="00544874" w:rsidRDefault="007415C5" w:rsidP="00544874">
            <w:pPr>
              <w:jc w:val="center"/>
              <w:rPr>
                <w:rFonts w:cs="Arial"/>
                <w:szCs w:val="22"/>
              </w:rPr>
            </w:pPr>
          </w:p>
        </w:tc>
        <w:tc>
          <w:tcPr>
            <w:tcW w:w="1413" w:type="dxa"/>
          </w:tcPr>
          <w:p w14:paraId="65871ED8" w14:textId="77777777" w:rsidR="007415C5" w:rsidRPr="00544874" w:rsidRDefault="007415C5" w:rsidP="00544874">
            <w:pPr>
              <w:jc w:val="center"/>
              <w:rPr>
                <w:rFonts w:cs="Arial"/>
                <w:szCs w:val="22"/>
              </w:rPr>
            </w:pPr>
          </w:p>
        </w:tc>
      </w:tr>
    </w:tbl>
    <w:p w14:paraId="54403F45" w14:textId="77777777" w:rsidR="00544874" w:rsidRDefault="00544874"/>
    <w:tbl>
      <w:tblPr>
        <w:tblStyle w:val="TableGrid"/>
        <w:tblW w:w="0" w:type="auto"/>
        <w:jc w:val="center"/>
        <w:tblLook w:val="04A0" w:firstRow="1" w:lastRow="0" w:firstColumn="1" w:lastColumn="0" w:noHBand="0" w:noVBand="1"/>
      </w:tblPr>
      <w:tblGrid>
        <w:gridCol w:w="2689"/>
        <w:gridCol w:w="7046"/>
      </w:tblGrid>
      <w:tr w:rsidR="00CB300D" w:rsidRPr="00EB561B" w14:paraId="3773AA13" w14:textId="0E2E768F" w:rsidTr="00CB0FEA">
        <w:trPr>
          <w:tblHeader/>
          <w:jc w:val="center"/>
        </w:trPr>
        <w:tc>
          <w:tcPr>
            <w:tcW w:w="9735" w:type="dxa"/>
            <w:gridSpan w:val="2"/>
            <w:shd w:val="clear" w:color="auto" w:fill="F2F2F2" w:themeFill="background1" w:themeFillShade="F2"/>
            <w:vAlign w:val="center"/>
          </w:tcPr>
          <w:p w14:paraId="13D0F7FC" w14:textId="77777777" w:rsidR="00CB0FEA" w:rsidRDefault="00CB300D" w:rsidP="00CB0FEA">
            <w:pPr>
              <w:pStyle w:val="Heading2"/>
            </w:pPr>
            <w:bookmarkStart w:id="49" w:name="_Toc363736444"/>
            <w:bookmarkStart w:id="50" w:name="_Toc365717731"/>
            <w:bookmarkStart w:id="51" w:name="_Toc106708895"/>
            <w:bookmarkStart w:id="52" w:name="_Toc96868247"/>
            <w:bookmarkStart w:id="53" w:name="_Toc102142795"/>
            <w:bookmarkStart w:id="54" w:name="_Toc104910447"/>
            <w:r w:rsidRPr="00EB561B">
              <w:lastRenderedPageBreak/>
              <w:t>Dose in AF</w:t>
            </w:r>
            <w:bookmarkEnd w:id="49"/>
            <w:bookmarkEnd w:id="50"/>
            <w:bookmarkEnd w:id="51"/>
          </w:p>
          <w:p w14:paraId="37FB8195" w14:textId="05160D99" w:rsidR="003331CC" w:rsidRPr="00EB561B" w:rsidRDefault="0060241C" w:rsidP="00544874">
            <w:r w:rsidRPr="00EB561B">
              <w:t>D</w:t>
            </w:r>
            <w:bookmarkStart w:id="55" w:name="_Toc365717732"/>
            <w:bookmarkStart w:id="56" w:name="_Toc96868248"/>
            <w:bookmarkEnd w:id="52"/>
            <w:r w:rsidR="00CB300D" w:rsidRPr="00EB561B">
              <w:t>uration of therapy should be individualised after careful assessment of the treatment benefit against the risk for bleeding</w:t>
            </w:r>
            <w:bookmarkEnd w:id="55"/>
            <w:r w:rsidR="00CB300D" w:rsidRPr="00EB561B">
              <w:t>.</w:t>
            </w:r>
            <w:r w:rsidR="00D42831" w:rsidRPr="00EB561B">
              <w:t xml:space="preserve"> Do not stop anticoagulation solely because AF is no longer detectable. Base decisions to stop anticoagulation on a reassessment of stroke and bleeding risk using CHA</w:t>
            </w:r>
            <w:r w:rsidR="00D42831" w:rsidRPr="00EB561B">
              <w:rPr>
                <w:vertAlign w:val="subscript"/>
              </w:rPr>
              <w:t>2</w:t>
            </w:r>
            <w:r w:rsidR="00D42831" w:rsidRPr="00EB561B">
              <w:t>DS</w:t>
            </w:r>
            <w:r w:rsidR="00D42831" w:rsidRPr="00EB561B">
              <w:rPr>
                <w:vertAlign w:val="subscript"/>
              </w:rPr>
              <w:t>2</w:t>
            </w:r>
            <w:r w:rsidR="00D42831" w:rsidRPr="00EB561B">
              <w:t>VAS</w:t>
            </w:r>
            <w:r w:rsidR="00636C92" w:rsidRPr="00EB561B">
              <w:t>c</w:t>
            </w:r>
            <w:r w:rsidR="00D42831" w:rsidRPr="00EB561B">
              <w:t xml:space="preserve"> and ORBIT and a discussion of the patients preferences</w:t>
            </w:r>
            <w:bookmarkEnd w:id="56"/>
            <w:r w:rsidR="00131223" w:rsidRPr="00EB561B">
              <w:t>.</w:t>
            </w:r>
            <w:bookmarkEnd w:id="53"/>
            <w:r w:rsidR="00434CA9" w:rsidRPr="00EB561B">
              <w:rPr>
                <w:vertAlign w:val="superscript"/>
              </w:rPr>
              <w:t>2</w:t>
            </w:r>
            <w:bookmarkEnd w:id="54"/>
            <w:r w:rsidR="00295A52">
              <w:rPr>
                <w:vertAlign w:val="superscript"/>
              </w:rPr>
              <w:t>4</w:t>
            </w:r>
          </w:p>
          <w:p w14:paraId="2786F46A" w14:textId="4683AF79" w:rsidR="003331CC" w:rsidRPr="00EB561B" w:rsidRDefault="003331CC" w:rsidP="00544874">
            <w:pPr>
              <w:rPr>
                <w:b/>
              </w:rPr>
            </w:pPr>
            <w:r w:rsidRPr="00EB561B">
              <w:rPr>
                <w:b/>
              </w:rPr>
              <w:t>Warfarin treatment is usually long term.</w:t>
            </w:r>
          </w:p>
        </w:tc>
      </w:tr>
      <w:tr w:rsidR="00A85A68" w:rsidRPr="00EB561B" w14:paraId="1B3F12FF" w14:textId="77777777" w:rsidTr="00A85A68">
        <w:trPr>
          <w:tblHeader/>
          <w:jc w:val="center"/>
        </w:trPr>
        <w:tc>
          <w:tcPr>
            <w:tcW w:w="2689" w:type="dxa"/>
            <w:shd w:val="clear" w:color="auto" w:fill="DBE5F1" w:themeFill="accent1" w:themeFillTint="33"/>
            <w:vAlign w:val="center"/>
          </w:tcPr>
          <w:p w14:paraId="1D8D2F96" w14:textId="4AA288B7" w:rsidR="00A85A68" w:rsidRPr="00A85A68" w:rsidRDefault="00A85A68" w:rsidP="00A85A68">
            <w:pPr>
              <w:rPr>
                <w:b/>
                <w:bCs/>
              </w:rPr>
            </w:pPr>
            <w:bookmarkStart w:id="57" w:name="_Hlk106093546"/>
            <w:r w:rsidRPr="00A85A68">
              <w:rPr>
                <w:b/>
                <w:bCs/>
              </w:rPr>
              <w:t xml:space="preserve">Dabigatran </w:t>
            </w:r>
            <w:r w:rsidR="007D1B0D">
              <w:rPr>
                <w:b/>
                <w:bCs/>
              </w:rPr>
              <w:t xml:space="preserve">  </w:t>
            </w:r>
            <w:r w:rsidRPr="00A85A68">
              <w:rPr>
                <w:b/>
                <w:bCs/>
              </w:rPr>
              <w:t>(Pradaxa</w:t>
            </w:r>
            <w:r w:rsidRPr="00A85A68">
              <w:rPr>
                <w:b/>
                <w:bCs/>
              </w:rPr>
              <w:sym w:font="Symbol" w:char="F0D2"/>
            </w:r>
            <w:r w:rsidRPr="00A85A68">
              <w:rPr>
                <w:b/>
                <w:bCs/>
              </w:rPr>
              <w:t>)</w:t>
            </w:r>
            <w:r w:rsidRPr="00A85A68">
              <w:rPr>
                <w:b/>
                <w:bCs/>
                <w:vertAlign w:val="superscript"/>
              </w:rPr>
              <w:t>1</w:t>
            </w:r>
          </w:p>
        </w:tc>
        <w:tc>
          <w:tcPr>
            <w:tcW w:w="7046" w:type="dxa"/>
            <w:shd w:val="clear" w:color="auto" w:fill="auto"/>
            <w:vAlign w:val="center"/>
          </w:tcPr>
          <w:p w14:paraId="6FA34BAD" w14:textId="4C606142" w:rsidR="00A85A68" w:rsidRPr="00EB561B" w:rsidRDefault="00A85A68" w:rsidP="00852362">
            <w:r w:rsidRPr="00EB561B">
              <w:t>&lt; 80</w:t>
            </w:r>
            <w:r w:rsidR="000724A8">
              <w:t xml:space="preserve"> </w:t>
            </w:r>
            <w:r w:rsidRPr="00EB561B">
              <w:t>y</w:t>
            </w:r>
            <w:r w:rsidR="000724A8">
              <w:t>ea</w:t>
            </w:r>
            <w:r w:rsidRPr="00EB561B">
              <w:t>rs: 150mg twice daily</w:t>
            </w:r>
          </w:p>
          <w:p w14:paraId="669B26BA" w14:textId="287FF4F9" w:rsidR="00A85A68" w:rsidRPr="00EB561B" w:rsidRDefault="00A85A68" w:rsidP="00852362">
            <w:r w:rsidRPr="00EB561B">
              <w:sym w:font="Symbol" w:char="F0B3"/>
            </w:r>
            <w:r w:rsidRPr="00EB561B">
              <w:t>80</w:t>
            </w:r>
            <w:r w:rsidR="000724A8">
              <w:t xml:space="preserve"> </w:t>
            </w:r>
            <w:r w:rsidRPr="00EB561B">
              <w:t>y</w:t>
            </w:r>
            <w:r w:rsidR="000724A8">
              <w:t>ea</w:t>
            </w:r>
            <w:r w:rsidRPr="00EB561B">
              <w:t xml:space="preserve">rs or also on verapamil: 110mg twice daily after individual assessment of thromboembolic and bleeding risk </w:t>
            </w:r>
          </w:p>
          <w:p w14:paraId="6929A993" w14:textId="77777777" w:rsidR="00A85A68" w:rsidRPr="00EB561B" w:rsidRDefault="00A85A68" w:rsidP="00852362">
            <w:r w:rsidRPr="00EB561B">
              <w:t>150mg twice daily or 110mg twice daily should be selected based on an individual assessment of the thromboembolic risk and the risk of bleeding for following:</w:t>
            </w:r>
          </w:p>
          <w:p w14:paraId="7E5B5DD7" w14:textId="4FE5BFAF" w:rsidR="00A85A68" w:rsidRPr="00EB561B" w:rsidRDefault="00A85A68" w:rsidP="00852362">
            <w:pPr>
              <w:pStyle w:val="ListParagraph"/>
              <w:numPr>
                <w:ilvl w:val="0"/>
                <w:numId w:val="20"/>
              </w:numPr>
            </w:pPr>
            <w:r w:rsidRPr="00EB561B">
              <w:t>Age 75-80</w:t>
            </w:r>
            <w:r w:rsidR="000724A8">
              <w:t xml:space="preserve"> </w:t>
            </w:r>
            <w:r w:rsidRPr="00EB561B">
              <w:t>y</w:t>
            </w:r>
            <w:r w:rsidR="006B32CB">
              <w:t>ea</w:t>
            </w:r>
            <w:r w:rsidRPr="00EB561B">
              <w:t>rs</w:t>
            </w:r>
          </w:p>
          <w:p w14:paraId="122C0176" w14:textId="77777777" w:rsidR="00A85A68" w:rsidRPr="00EB561B" w:rsidRDefault="00A85A68" w:rsidP="00852362">
            <w:pPr>
              <w:pStyle w:val="ListParagraph"/>
              <w:numPr>
                <w:ilvl w:val="0"/>
                <w:numId w:val="20"/>
              </w:numPr>
            </w:pPr>
            <w:r w:rsidRPr="00EB561B">
              <w:t>CrCl 30-50ml/min</w:t>
            </w:r>
          </w:p>
          <w:p w14:paraId="3D40C530" w14:textId="77777777" w:rsidR="00A85A68" w:rsidRPr="00EB561B" w:rsidRDefault="00A85A68" w:rsidP="00852362">
            <w:pPr>
              <w:pStyle w:val="ListParagraph"/>
              <w:numPr>
                <w:ilvl w:val="0"/>
                <w:numId w:val="20"/>
              </w:numPr>
            </w:pPr>
            <w:r w:rsidRPr="00EB561B">
              <w:t>Patients with gastritis, esophagitis or gastroesophageal reflux</w:t>
            </w:r>
          </w:p>
          <w:p w14:paraId="034578FC" w14:textId="78D99A8D" w:rsidR="00A85A68" w:rsidRPr="00EB561B" w:rsidRDefault="00A85A68" w:rsidP="00852362">
            <w:r w:rsidRPr="00EB561B">
              <w:t>Other patients at increased risk of bleeding</w:t>
            </w:r>
          </w:p>
        </w:tc>
      </w:tr>
      <w:tr w:rsidR="00A85A68" w:rsidRPr="00EB561B" w14:paraId="0C88E8A5" w14:textId="77777777" w:rsidTr="00A85A68">
        <w:trPr>
          <w:tblHeader/>
          <w:jc w:val="center"/>
        </w:trPr>
        <w:tc>
          <w:tcPr>
            <w:tcW w:w="2689" w:type="dxa"/>
            <w:shd w:val="clear" w:color="auto" w:fill="F2DBDB" w:themeFill="accent2" w:themeFillTint="33"/>
            <w:vAlign w:val="center"/>
          </w:tcPr>
          <w:p w14:paraId="3BBFF444" w14:textId="0038E1A6" w:rsidR="00A85A68" w:rsidRPr="00A85A68" w:rsidRDefault="00A85A68" w:rsidP="00A85A68">
            <w:pPr>
              <w:rPr>
                <w:b/>
                <w:bCs/>
              </w:rPr>
            </w:pPr>
            <w:r w:rsidRPr="00A85A68">
              <w:rPr>
                <w:b/>
                <w:bCs/>
                <w:szCs w:val="22"/>
              </w:rPr>
              <w:t>Rivaroxaban (Xarelto</w:t>
            </w:r>
            <w:r w:rsidRPr="00A85A68">
              <w:rPr>
                <w:b/>
                <w:bCs/>
                <w:szCs w:val="22"/>
              </w:rPr>
              <w:sym w:font="Symbol" w:char="F0D2"/>
            </w:r>
            <w:r w:rsidRPr="00A85A68">
              <w:rPr>
                <w:rFonts w:cs="Arial"/>
                <w:b/>
                <w:bCs/>
                <w:szCs w:val="22"/>
              </w:rPr>
              <w:t>▼</w:t>
            </w:r>
            <w:r w:rsidRPr="00A85A68">
              <w:rPr>
                <w:b/>
                <w:bCs/>
                <w:szCs w:val="22"/>
              </w:rPr>
              <w:t>)</w:t>
            </w:r>
            <w:r w:rsidRPr="00A85A68">
              <w:rPr>
                <w:b/>
                <w:bCs/>
                <w:szCs w:val="22"/>
                <w:vertAlign w:val="superscript"/>
              </w:rPr>
              <w:t>2</w:t>
            </w:r>
          </w:p>
        </w:tc>
        <w:tc>
          <w:tcPr>
            <w:tcW w:w="7046" w:type="dxa"/>
            <w:shd w:val="clear" w:color="auto" w:fill="auto"/>
            <w:vAlign w:val="center"/>
          </w:tcPr>
          <w:p w14:paraId="3B745B34" w14:textId="77777777" w:rsidR="00A85A68" w:rsidRPr="00EB561B" w:rsidRDefault="00A85A68" w:rsidP="00852362">
            <w:r w:rsidRPr="00EB561B">
              <w:t>20mg daily</w:t>
            </w:r>
          </w:p>
          <w:p w14:paraId="4E0AB9DB" w14:textId="55DFEDBB" w:rsidR="00A85A68" w:rsidRPr="00EB561B" w:rsidRDefault="00A85A68" w:rsidP="00852362">
            <w:r w:rsidRPr="00EB561B">
              <w:t xml:space="preserve">In patients with CrCl 30–49ml/min or CrCl 15–29ml/min, reduce dose to 15mg daily </w:t>
            </w:r>
          </w:p>
        </w:tc>
      </w:tr>
      <w:tr w:rsidR="00A85A68" w:rsidRPr="002315F1" w14:paraId="7269C508" w14:textId="77777777" w:rsidTr="00A85A68">
        <w:trPr>
          <w:tblHeader/>
          <w:jc w:val="center"/>
        </w:trPr>
        <w:tc>
          <w:tcPr>
            <w:tcW w:w="2689" w:type="dxa"/>
            <w:shd w:val="clear" w:color="auto" w:fill="E5DFEC" w:themeFill="accent4" w:themeFillTint="33"/>
            <w:vAlign w:val="center"/>
          </w:tcPr>
          <w:p w14:paraId="2B05C3F9" w14:textId="150BF06F" w:rsidR="00A85A68" w:rsidRPr="00A85A68" w:rsidRDefault="00A85A68" w:rsidP="00A85A68">
            <w:pPr>
              <w:rPr>
                <w:b/>
                <w:bCs/>
              </w:rPr>
            </w:pPr>
            <w:r w:rsidRPr="00A85A68">
              <w:rPr>
                <w:b/>
                <w:bCs/>
                <w:szCs w:val="22"/>
              </w:rPr>
              <w:t xml:space="preserve">Apixaban </w:t>
            </w:r>
            <w:r w:rsidR="007D1B0D">
              <w:rPr>
                <w:b/>
                <w:bCs/>
                <w:szCs w:val="22"/>
              </w:rPr>
              <w:t xml:space="preserve">     </w:t>
            </w:r>
            <w:r w:rsidRPr="00A85A68">
              <w:rPr>
                <w:b/>
                <w:bCs/>
                <w:szCs w:val="22"/>
              </w:rPr>
              <w:t>(Eliquis</w:t>
            </w:r>
            <w:r w:rsidRPr="00A85A68">
              <w:rPr>
                <w:b/>
                <w:bCs/>
                <w:szCs w:val="22"/>
              </w:rPr>
              <w:sym w:font="Symbol" w:char="F0D2"/>
            </w:r>
            <w:r w:rsidRPr="00A85A68">
              <w:rPr>
                <w:b/>
                <w:bCs/>
                <w:szCs w:val="22"/>
              </w:rPr>
              <w:t>)</w:t>
            </w:r>
            <w:r w:rsidRPr="00A85A68">
              <w:rPr>
                <w:b/>
                <w:bCs/>
                <w:szCs w:val="22"/>
                <w:vertAlign w:val="superscript"/>
              </w:rPr>
              <w:t>3</w:t>
            </w:r>
          </w:p>
        </w:tc>
        <w:tc>
          <w:tcPr>
            <w:tcW w:w="7046" w:type="dxa"/>
            <w:shd w:val="clear" w:color="auto" w:fill="auto"/>
            <w:vAlign w:val="center"/>
          </w:tcPr>
          <w:p w14:paraId="3E79C884" w14:textId="77777777" w:rsidR="00A85A68" w:rsidRPr="00EB561B" w:rsidRDefault="00A85A68" w:rsidP="00852362">
            <w:r w:rsidRPr="00EB561B">
              <w:t xml:space="preserve">5mg twice daily </w:t>
            </w:r>
          </w:p>
          <w:p w14:paraId="610E4705" w14:textId="77777777" w:rsidR="00A85A68" w:rsidRPr="00EB561B" w:rsidRDefault="00A85A68" w:rsidP="00852362">
            <w:r w:rsidRPr="00EB561B">
              <w:t xml:space="preserve">Reduce to 2.5 mg twice daily in patients with two or more of the following characteristics: </w:t>
            </w:r>
          </w:p>
          <w:p w14:paraId="7BC76733" w14:textId="77777777" w:rsidR="00A85A68" w:rsidRPr="00EB561B" w:rsidRDefault="00A85A68" w:rsidP="00852362">
            <w:r w:rsidRPr="00EB561B">
              <w:t>Age ≥80 years</w:t>
            </w:r>
            <w:r>
              <w:t xml:space="preserve"> </w:t>
            </w:r>
            <w:r w:rsidRPr="00EB561B">
              <w:t xml:space="preserve"> </w:t>
            </w:r>
          </w:p>
          <w:p w14:paraId="2BCF0E4F" w14:textId="77777777" w:rsidR="00A85A68" w:rsidRPr="00EB561B" w:rsidRDefault="00A85A68" w:rsidP="00852362">
            <w:r w:rsidRPr="00EB561B">
              <w:t xml:space="preserve">Body weight ≤ 60kg </w:t>
            </w:r>
          </w:p>
          <w:p w14:paraId="173BF66F" w14:textId="1B689F1C" w:rsidR="00A85A68" w:rsidRPr="00141400" w:rsidRDefault="00A85A68" w:rsidP="00852362">
            <w:r w:rsidRPr="00141400">
              <w:t>Serum creatinine ≥1.5mg/dL (133 micromole/L)</w:t>
            </w:r>
          </w:p>
        </w:tc>
      </w:tr>
      <w:tr w:rsidR="00A85A68" w:rsidRPr="00EB561B" w14:paraId="377DD217" w14:textId="77777777" w:rsidTr="00A85A68">
        <w:trPr>
          <w:tblHeader/>
          <w:jc w:val="center"/>
        </w:trPr>
        <w:tc>
          <w:tcPr>
            <w:tcW w:w="2689" w:type="dxa"/>
            <w:shd w:val="clear" w:color="auto" w:fill="FDE9D9" w:themeFill="accent6" w:themeFillTint="33"/>
            <w:vAlign w:val="center"/>
          </w:tcPr>
          <w:p w14:paraId="6B3CF53D" w14:textId="7B8C4AF2" w:rsidR="00A85A68" w:rsidRPr="00A85A68" w:rsidRDefault="00A85A68" w:rsidP="00A85A68">
            <w:pPr>
              <w:rPr>
                <w:b/>
                <w:bCs/>
              </w:rPr>
            </w:pPr>
            <w:r w:rsidRPr="00A85A68">
              <w:rPr>
                <w:b/>
                <w:bCs/>
                <w:szCs w:val="22"/>
              </w:rPr>
              <w:t xml:space="preserve">Edoxaban </w:t>
            </w:r>
            <w:r w:rsidR="007D1B0D">
              <w:rPr>
                <w:b/>
                <w:bCs/>
                <w:szCs w:val="22"/>
              </w:rPr>
              <w:t xml:space="preserve">    </w:t>
            </w:r>
            <w:r w:rsidRPr="00A85A68">
              <w:rPr>
                <w:b/>
                <w:bCs/>
                <w:szCs w:val="22"/>
              </w:rPr>
              <w:t>(Lixiana</w:t>
            </w:r>
            <w:r w:rsidRPr="00A85A68">
              <w:rPr>
                <w:b/>
                <w:bCs/>
                <w:szCs w:val="22"/>
              </w:rPr>
              <w:sym w:font="Symbol" w:char="F0D2"/>
            </w:r>
            <w:r w:rsidRPr="00A85A68">
              <w:rPr>
                <w:b/>
                <w:bCs/>
                <w:szCs w:val="22"/>
              </w:rPr>
              <w:t>)</w:t>
            </w:r>
            <w:r w:rsidRPr="00A85A68">
              <w:rPr>
                <w:b/>
                <w:bCs/>
                <w:szCs w:val="22"/>
                <w:vertAlign w:val="superscript"/>
              </w:rPr>
              <w:t>4</w:t>
            </w:r>
          </w:p>
        </w:tc>
        <w:tc>
          <w:tcPr>
            <w:tcW w:w="7046" w:type="dxa"/>
            <w:shd w:val="clear" w:color="auto" w:fill="auto"/>
            <w:vAlign w:val="center"/>
          </w:tcPr>
          <w:p w14:paraId="034ECB6A" w14:textId="77777777" w:rsidR="00A85A68" w:rsidRPr="00EB561B" w:rsidRDefault="00A85A68" w:rsidP="00852362">
            <w:r w:rsidRPr="00EB561B">
              <w:t>60mg daily</w:t>
            </w:r>
          </w:p>
          <w:p w14:paraId="00DE542A" w14:textId="77777777" w:rsidR="00A85A68" w:rsidRPr="00EB561B" w:rsidRDefault="00A85A68" w:rsidP="00852362">
            <w:r w:rsidRPr="00EB561B">
              <w:t>Reduce dose to 30mg with one or more of following risk factors:</w:t>
            </w:r>
          </w:p>
          <w:p w14:paraId="6C4F7AA4" w14:textId="77777777" w:rsidR="00A85A68" w:rsidRPr="00EB561B" w:rsidRDefault="00A85A68" w:rsidP="00852362">
            <w:r w:rsidRPr="00EB561B">
              <w:t>Moderate to severe renal impairment (CrCl 15-50ml/min)</w:t>
            </w:r>
          </w:p>
          <w:p w14:paraId="4020DCEF" w14:textId="77777777" w:rsidR="00A85A68" w:rsidRPr="00EB561B" w:rsidRDefault="00A85A68" w:rsidP="00852362">
            <w:r w:rsidRPr="00EB561B">
              <w:t>Body weight ≤60kg</w:t>
            </w:r>
          </w:p>
          <w:p w14:paraId="1C991315" w14:textId="747412FF" w:rsidR="00A85A68" w:rsidRPr="00EB561B" w:rsidRDefault="00A85A68" w:rsidP="00852362">
            <w:r w:rsidRPr="00EB561B">
              <w:t>Concomitant use of P-glycoprotein inhibitors (ciclosporin, dronedarone, erythromycin, or ketoconazole)</w:t>
            </w:r>
          </w:p>
        </w:tc>
      </w:tr>
      <w:tr w:rsidR="00A85A68" w:rsidRPr="00EB561B" w14:paraId="515CA54F" w14:textId="77777777" w:rsidTr="00A85A68">
        <w:trPr>
          <w:tblHeader/>
          <w:jc w:val="center"/>
        </w:trPr>
        <w:tc>
          <w:tcPr>
            <w:tcW w:w="2689" w:type="dxa"/>
            <w:shd w:val="clear" w:color="auto" w:fill="EAF1DD" w:themeFill="accent3" w:themeFillTint="33"/>
            <w:vAlign w:val="center"/>
          </w:tcPr>
          <w:p w14:paraId="7CBA0672" w14:textId="77777777" w:rsidR="00A85A68" w:rsidRPr="00544874" w:rsidRDefault="00A85A68" w:rsidP="00A85A68">
            <w:pPr>
              <w:rPr>
                <w:b/>
                <w:szCs w:val="22"/>
              </w:rPr>
            </w:pPr>
            <w:r w:rsidRPr="00544874">
              <w:rPr>
                <w:b/>
                <w:szCs w:val="22"/>
              </w:rPr>
              <w:t>Warfarin</w:t>
            </w:r>
            <w:r w:rsidRPr="00544874">
              <w:rPr>
                <w:b/>
                <w:szCs w:val="22"/>
                <w:vertAlign w:val="superscript"/>
              </w:rPr>
              <w:t>5,6</w:t>
            </w:r>
            <w:r w:rsidRPr="00544874">
              <w:rPr>
                <w:b/>
                <w:szCs w:val="22"/>
              </w:rPr>
              <w:t xml:space="preserve"> </w:t>
            </w:r>
          </w:p>
          <w:p w14:paraId="5B8344DD" w14:textId="079633F6" w:rsidR="00A85A68" w:rsidRPr="00A85A68" w:rsidRDefault="00A85A68" w:rsidP="00A85A68">
            <w:pPr>
              <w:rPr>
                <w:bCs/>
              </w:rPr>
            </w:pPr>
            <w:r w:rsidRPr="00A85A68">
              <w:rPr>
                <w:bCs/>
                <w:szCs w:val="22"/>
              </w:rPr>
              <w:t>Dose is tailored to the individual, dependent on the prothrombin time (PT)</w:t>
            </w:r>
          </w:p>
        </w:tc>
        <w:tc>
          <w:tcPr>
            <w:tcW w:w="7046" w:type="dxa"/>
            <w:shd w:val="clear" w:color="auto" w:fill="auto"/>
          </w:tcPr>
          <w:p w14:paraId="7FC77B61" w14:textId="77777777" w:rsidR="00A85A68" w:rsidRPr="00EB561B" w:rsidRDefault="00A85A68" w:rsidP="00852362">
            <w:r w:rsidRPr="00EB561B">
              <w:t xml:space="preserve">Target INR 2.5 </w:t>
            </w:r>
          </w:p>
          <w:p w14:paraId="22D53D03" w14:textId="2262BE6D" w:rsidR="00A85A68" w:rsidRPr="00EB561B" w:rsidRDefault="00A85A68" w:rsidP="00852362">
            <w:r w:rsidRPr="00EB561B">
              <w:t>Typical induction dose of warfarin is 10mg daily for 2 days</w:t>
            </w:r>
          </w:p>
          <w:p w14:paraId="699270D5" w14:textId="77777777" w:rsidR="00A85A68" w:rsidRPr="00EB561B" w:rsidRDefault="00A85A68" w:rsidP="00852362">
            <w:r w:rsidRPr="00EB561B">
              <w:t>Baseline PT should be taken at outset</w:t>
            </w:r>
          </w:p>
          <w:p w14:paraId="55F5CA3F" w14:textId="31FF85EE" w:rsidR="00A85A68" w:rsidRPr="00EB561B" w:rsidRDefault="00A85A68" w:rsidP="00852362">
            <w:r w:rsidRPr="00EB561B">
              <w:t>Daily</w:t>
            </w:r>
            <w:r>
              <w:t xml:space="preserve"> </w:t>
            </w:r>
            <w:r w:rsidRPr="00EB561B">
              <w:t>maintenance dose of warfarin is usually 3mg to 9mg dependent on PT or other anticoagulation tests</w:t>
            </w:r>
            <w:r w:rsidRPr="00EB561B">
              <w:rPr>
                <w:vertAlign w:val="superscript"/>
              </w:rPr>
              <w:t>5</w:t>
            </w:r>
          </w:p>
        </w:tc>
      </w:tr>
      <w:bookmarkEnd w:id="57"/>
    </w:tbl>
    <w:p w14:paraId="64DA6A85" w14:textId="77777777" w:rsidR="00A85A68" w:rsidRDefault="00A85A68"/>
    <w:p w14:paraId="289828CA" w14:textId="7903EAE8" w:rsidR="00CB0FEA" w:rsidRDefault="00CB0FEA"/>
    <w:p w14:paraId="2657C4E9" w14:textId="1029F796" w:rsidR="00625207" w:rsidRDefault="00625207"/>
    <w:p w14:paraId="350C0046" w14:textId="5387F781" w:rsidR="00625207" w:rsidRDefault="00625207"/>
    <w:tbl>
      <w:tblPr>
        <w:tblStyle w:val="TableGrid"/>
        <w:tblW w:w="5000" w:type="pct"/>
        <w:jc w:val="center"/>
        <w:tblLook w:val="04A0" w:firstRow="1" w:lastRow="0" w:firstColumn="1" w:lastColumn="0" w:noHBand="0" w:noVBand="1"/>
      </w:tblPr>
      <w:tblGrid>
        <w:gridCol w:w="1838"/>
        <w:gridCol w:w="851"/>
        <w:gridCol w:w="7046"/>
      </w:tblGrid>
      <w:tr w:rsidR="00CB0FEA" w:rsidRPr="00EB561B" w14:paraId="4821DEE1" w14:textId="77777777" w:rsidTr="00CB0FEA">
        <w:trPr>
          <w:jc w:val="center"/>
        </w:trPr>
        <w:tc>
          <w:tcPr>
            <w:tcW w:w="5000" w:type="pct"/>
            <w:gridSpan w:val="3"/>
            <w:shd w:val="clear" w:color="auto" w:fill="F2F2F2" w:themeFill="background1" w:themeFillShade="F2"/>
            <w:vAlign w:val="center"/>
          </w:tcPr>
          <w:p w14:paraId="0300935C" w14:textId="4B2FEAC9" w:rsidR="00CB0FEA" w:rsidRPr="00CB0FEA" w:rsidRDefault="00CB0FEA" w:rsidP="00852362">
            <w:pPr>
              <w:pStyle w:val="Heading2"/>
              <w:rPr>
                <w:sz w:val="24"/>
              </w:rPr>
            </w:pPr>
            <w:bookmarkStart w:id="58" w:name="_Toc104910448"/>
            <w:bookmarkStart w:id="59" w:name="_Toc106708896"/>
            <w:r w:rsidRPr="00CB0FEA">
              <w:lastRenderedPageBreak/>
              <w:t>Dose in treatment and prevention of DVT and PE</w:t>
            </w:r>
            <w:bookmarkEnd w:id="58"/>
            <w:bookmarkEnd w:id="59"/>
          </w:p>
        </w:tc>
      </w:tr>
      <w:tr w:rsidR="00852362" w:rsidRPr="00EB561B" w14:paraId="3B2E8A7E" w14:textId="77777777" w:rsidTr="00852362">
        <w:trPr>
          <w:jc w:val="center"/>
        </w:trPr>
        <w:tc>
          <w:tcPr>
            <w:tcW w:w="5000" w:type="pct"/>
            <w:gridSpan w:val="3"/>
            <w:shd w:val="clear" w:color="auto" w:fill="auto"/>
            <w:vAlign w:val="center"/>
          </w:tcPr>
          <w:p w14:paraId="5039529A" w14:textId="7CCB4230" w:rsidR="00852362" w:rsidRPr="00EB561B" w:rsidRDefault="00852362" w:rsidP="007A31AF">
            <w:pPr>
              <w:spacing w:before="60" w:after="60"/>
              <w:rPr>
                <w:b/>
                <w:szCs w:val="22"/>
              </w:rPr>
            </w:pPr>
            <w:bookmarkStart w:id="60" w:name="_Toc96966694"/>
            <w:bookmarkStart w:id="61" w:name="_Toc96966795"/>
            <w:bookmarkStart w:id="62" w:name="_Toc96967122"/>
            <w:bookmarkStart w:id="63" w:name="_Toc99387344"/>
            <w:bookmarkStart w:id="64" w:name="_Toc102142797"/>
            <w:bookmarkStart w:id="65" w:name="_Toc102563010"/>
            <w:bookmarkStart w:id="66" w:name="_Toc104910449"/>
            <w:r w:rsidRPr="00EB561B">
              <w:rPr>
                <w:szCs w:val="22"/>
              </w:rPr>
              <w:t xml:space="preserve">Short duration of therapy (at least </w:t>
            </w:r>
            <w:r>
              <w:rPr>
                <w:szCs w:val="22"/>
              </w:rPr>
              <w:t>three</w:t>
            </w:r>
            <w:r w:rsidRPr="00EB561B">
              <w:rPr>
                <w:szCs w:val="22"/>
              </w:rPr>
              <w:t xml:space="preserve"> months) should be based on transient risk factors (e.g. recent surgery, trauma, immobilisation) and longer durations should be based on permanent risk factors or idiopathic DVT or PE</w:t>
            </w:r>
            <w:bookmarkEnd w:id="60"/>
            <w:bookmarkEnd w:id="61"/>
            <w:bookmarkEnd w:id="62"/>
            <w:bookmarkEnd w:id="63"/>
            <w:bookmarkEnd w:id="64"/>
            <w:bookmarkEnd w:id="65"/>
            <w:r w:rsidRPr="00EB561B">
              <w:rPr>
                <w:szCs w:val="22"/>
              </w:rPr>
              <w:t>.</w:t>
            </w:r>
            <w:r w:rsidRPr="00EB561B">
              <w:rPr>
                <w:szCs w:val="22"/>
                <w:vertAlign w:val="superscript"/>
              </w:rPr>
              <w:t>4</w:t>
            </w:r>
            <w:bookmarkEnd w:id="66"/>
            <w:r w:rsidRPr="00EB561B">
              <w:rPr>
                <w:szCs w:val="22"/>
              </w:rPr>
              <w:t xml:space="preserve"> </w:t>
            </w:r>
          </w:p>
          <w:p w14:paraId="4222B516" w14:textId="611140AE" w:rsidR="00852362" w:rsidRPr="00EB561B" w:rsidRDefault="00852362" w:rsidP="007A31AF">
            <w:pPr>
              <w:spacing w:before="60" w:after="60"/>
              <w:rPr>
                <w:szCs w:val="22"/>
              </w:rPr>
            </w:pPr>
            <w:r w:rsidRPr="00EB561B">
              <w:rPr>
                <w:szCs w:val="22"/>
              </w:rPr>
              <w:t>Assess anticoagulation after three months after a proximal DVT or PE (three to six months with active cancer). Consider stopping after a provoked DVT if provoking factor is no longer present.</w:t>
            </w:r>
            <w:r w:rsidRPr="00EB561B">
              <w:rPr>
                <w:szCs w:val="22"/>
                <w:vertAlign w:val="superscript"/>
              </w:rPr>
              <w:t>2</w:t>
            </w:r>
            <w:r w:rsidR="00C37788">
              <w:rPr>
                <w:szCs w:val="22"/>
                <w:vertAlign w:val="superscript"/>
              </w:rPr>
              <w:t>5</w:t>
            </w:r>
          </w:p>
          <w:p w14:paraId="72DA48FA" w14:textId="742326C2" w:rsidR="00852362" w:rsidRPr="00EB561B" w:rsidRDefault="00852362" w:rsidP="007A31AF">
            <w:pPr>
              <w:spacing w:before="60" w:after="60"/>
              <w:rPr>
                <w:szCs w:val="22"/>
              </w:rPr>
            </w:pPr>
            <w:r w:rsidRPr="00EB561B">
              <w:rPr>
                <w:szCs w:val="22"/>
              </w:rPr>
              <w:t>Consider continuing anticoagulation beyond three months (six months for people with active cancer) after an unprovoked DVT or PE. Discuss the risks and benefits of long-term anticoagulation with the person and take their preferences into account.</w:t>
            </w:r>
            <w:r w:rsidRPr="00EB561B">
              <w:rPr>
                <w:szCs w:val="22"/>
                <w:vertAlign w:val="superscript"/>
              </w:rPr>
              <w:t>2</w:t>
            </w:r>
            <w:r w:rsidR="00C37788">
              <w:rPr>
                <w:szCs w:val="22"/>
                <w:vertAlign w:val="superscript"/>
              </w:rPr>
              <w:t>5</w:t>
            </w:r>
          </w:p>
        </w:tc>
      </w:tr>
      <w:tr w:rsidR="00852362" w:rsidRPr="00EB561B" w14:paraId="6AFDC7E6" w14:textId="77777777" w:rsidTr="00852362">
        <w:trPr>
          <w:jc w:val="center"/>
        </w:trPr>
        <w:tc>
          <w:tcPr>
            <w:tcW w:w="5000" w:type="pct"/>
            <w:gridSpan w:val="3"/>
            <w:shd w:val="clear" w:color="auto" w:fill="auto"/>
            <w:vAlign w:val="center"/>
          </w:tcPr>
          <w:p w14:paraId="2F0C4551" w14:textId="77777777" w:rsidR="00852362" w:rsidRPr="00EB561B" w:rsidRDefault="00852362" w:rsidP="007A31AF">
            <w:pPr>
              <w:spacing w:before="60" w:after="60"/>
              <w:rPr>
                <w:b/>
                <w:szCs w:val="22"/>
              </w:rPr>
            </w:pPr>
            <w:r w:rsidRPr="00EB561B">
              <w:rPr>
                <w:b/>
                <w:szCs w:val="22"/>
              </w:rPr>
              <w:t xml:space="preserve">Warfarin duration </w:t>
            </w:r>
          </w:p>
          <w:p w14:paraId="04CBF6AB" w14:textId="77777777" w:rsidR="00852362" w:rsidRPr="00EB561B" w:rsidRDefault="00852362" w:rsidP="007A31AF">
            <w:pPr>
              <w:spacing w:before="60" w:after="60"/>
              <w:rPr>
                <w:szCs w:val="22"/>
              </w:rPr>
            </w:pPr>
            <w:r w:rsidRPr="00EB561B">
              <w:rPr>
                <w:szCs w:val="22"/>
              </w:rPr>
              <w:t>Six weeks in people with distal DVT (calf vein thrombosis).</w:t>
            </w:r>
          </w:p>
          <w:p w14:paraId="1FC2A11D" w14:textId="77777777" w:rsidR="00852362" w:rsidRPr="00EB561B" w:rsidRDefault="00852362" w:rsidP="007A31AF">
            <w:pPr>
              <w:spacing w:before="60" w:after="60"/>
              <w:rPr>
                <w:szCs w:val="22"/>
              </w:rPr>
            </w:pPr>
            <w:r w:rsidRPr="00EB561B">
              <w:rPr>
                <w:szCs w:val="22"/>
              </w:rPr>
              <w:t>Three months in people with proximal DVT or PE where there are known temporary risk factors </w:t>
            </w:r>
            <w:r w:rsidRPr="00852362">
              <w:rPr>
                <w:b/>
                <w:bCs/>
                <w:i/>
                <w:iCs/>
                <w:szCs w:val="22"/>
              </w:rPr>
              <w:t>and</w:t>
            </w:r>
            <w:r w:rsidRPr="00EB561B">
              <w:rPr>
                <w:i/>
                <w:iCs/>
                <w:szCs w:val="22"/>
              </w:rPr>
              <w:t> </w:t>
            </w:r>
            <w:r w:rsidRPr="00EB561B">
              <w:rPr>
                <w:szCs w:val="22"/>
              </w:rPr>
              <w:t>there is considered to be a low risk of recurrence.</w:t>
            </w:r>
          </w:p>
          <w:p w14:paraId="08ABA8B6" w14:textId="77777777" w:rsidR="00852362" w:rsidRPr="00EB561B" w:rsidRDefault="00852362" w:rsidP="007A31AF">
            <w:pPr>
              <w:spacing w:before="60" w:after="60"/>
              <w:rPr>
                <w:szCs w:val="22"/>
              </w:rPr>
            </w:pPr>
            <w:r w:rsidRPr="00EB561B">
              <w:rPr>
                <w:szCs w:val="22"/>
              </w:rPr>
              <w:t>Six months in people with proximal DVT due to an unknown cause (idiopathic).</w:t>
            </w:r>
          </w:p>
          <w:p w14:paraId="3C73F30F" w14:textId="77777777" w:rsidR="00852362" w:rsidRPr="00EB561B" w:rsidRDefault="00852362" w:rsidP="007A31AF">
            <w:pPr>
              <w:spacing w:before="60" w:after="60"/>
              <w:rPr>
                <w:szCs w:val="22"/>
              </w:rPr>
            </w:pPr>
            <w:r w:rsidRPr="00EB561B">
              <w:rPr>
                <w:szCs w:val="22"/>
              </w:rPr>
              <w:t>Long term if there have been recurrent DVTs or PEs.</w:t>
            </w:r>
          </w:p>
          <w:p w14:paraId="0BCA4D22" w14:textId="35DBF849" w:rsidR="00852362" w:rsidRPr="00EB561B" w:rsidRDefault="00852362" w:rsidP="007A31AF">
            <w:pPr>
              <w:spacing w:before="60" w:after="60"/>
              <w:rPr>
                <w:b/>
                <w:szCs w:val="22"/>
              </w:rPr>
            </w:pPr>
            <w:r w:rsidRPr="00EB561B">
              <w:rPr>
                <w:szCs w:val="22"/>
              </w:rPr>
              <w:t>Warfarin can be stopped abruptly without harm when the duration of treatment is completed.</w:t>
            </w:r>
            <w:r w:rsidRPr="00EB561B">
              <w:rPr>
                <w:szCs w:val="22"/>
                <w:vertAlign w:val="superscript"/>
              </w:rPr>
              <w:t>2</w:t>
            </w:r>
            <w:r w:rsidR="00C37788">
              <w:rPr>
                <w:szCs w:val="22"/>
                <w:vertAlign w:val="superscript"/>
              </w:rPr>
              <w:t>2</w:t>
            </w:r>
          </w:p>
        </w:tc>
      </w:tr>
      <w:tr w:rsidR="00852362" w:rsidRPr="00EB561B" w14:paraId="66C7277F" w14:textId="77777777" w:rsidTr="007A31AF">
        <w:trPr>
          <w:jc w:val="center"/>
        </w:trPr>
        <w:tc>
          <w:tcPr>
            <w:tcW w:w="944" w:type="pct"/>
            <w:shd w:val="clear" w:color="auto" w:fill="DBE5F1" w:themeFill="accent1" w:themeFillTint="33"/>
            <w:vAlign w:val="center"/>
          </w:tcPr>
          <w:p w14:paraId="604C917A" w14:textId="3DFED63B" w:rsidR="00852362" w:rsidRPr="00EB561B" w:rsidRDefault="00852362" w:rsidP="00852362">
            <w:pPr>
              <w:rPr>
                <w:b/>
                <w:szCs w:val="22"/>
              </w:rPr>
            </w:pPr>
            <w:r w:rsidRPr="00A85A68">
              <w:rPr>
                <w:b/>
                <w:bCs/>
              </w:rPr>
              <w:t>Dabigatran (Pradaxa</w:t>
            </w:r>
            <w:r w:rsidRPr="00A85A68">
              <w:rPr>
                <w:b/>
                <w:bCs/>
              </w:rPr>
              <w:sym w:font="Symbol" w:char="F0D2"/>
            </w:r>
            <w:r w:rsidRPr="00A85A68">
              <w:rPr>
                <w:b/>
                <w:bCs/>
              </w:rPr>
              <w:t>)</w:t>
            </w:r>
            <w:r w:rsidRPr="00A85A68">
              <w:rPr>
                <w:b/>
                <w:bCs/>
                <w:vertAlign w:val="superscript"/>
              </w:rPr>
              <w:t>1</w:t>
            </w:r>
          </w:p>
        </w:tc>
        <w:tc>
          <w:tcPr>
            <w:tcW w:w="4056" w:type="pct"/>
            <w:gridSpan w:val="2"/>
            <w:shd w:val="clear" w:color="auto" w:fill="auto"/>
            <w:vAlign w:val="center"/>
          </w:tcPr>
          <w:p w14:paraId="720E74DF" w14:textId="2B7AEC3E" w:rsidR="00852362" w:rsidRPr="00EB561B" w:rsidRDefault="00852362" w:rsidP="007A31AF">
            <w:pPr>
              <w:spacing w:before="60" w:after="60"/>
              <w:rPr>
                <w:szCs w:val="22"/>
              </w:rPr>
            </w:pPr>
            <w:r w:rsidRPr="00EB561B">
              <w:rPr>
                <w:szCs w:val="22"/>
              </w:rPr>
              <w:t>150mg twice daily following treatment with a parenteral anticoagulant for at least five days</w:t>
            </w:r>
          </w:p>
          <w:p w14:paraId="2FA687CC" w14:textId="141D7C31" w:rsidR="00852362" w:rsidRPr="00EB561B" w:rsidRDefault="00852362" w:rsidP="007A31AF">
            <w:pPr>
              <w:spacing w:before="60" w:after="60"/>
              <w:rPr>
                <w:szCs w:val="22"/>
              </w:rPr>
            </w:pPr>
            <w:r w:rsidRPr="00EB561B">
              <w:t xml:space="preserve">If </w:t>
            </w:r>
            <w:r w:rsidRPr="00EB561B">
              <w:sym w:font="Symbol" w:char="F0B3"/>
            </w:r>
            <w:r w:rsidRPr="00EB561B">
              <w:rPr>
                <w:szCs w:val="22"/>
              </w:rPr>
              <w:t>80</w:t>
            </w:r>
            <w:r w:rsidR="004E5ECD">
              <w:rPr>
                <w:szCs w:val="22"/>
              </w:rPr>
              <w:t xml:space="preserve"> </w:t>
            </w:r>
            <w:r w:rsidRPr="00EB561B">
              <w:rPr>
                <w:szCs w:val="22"/>
              </w:rPr>
              <w:t>y</w:t>
            </w:r>
            <w:r w:rsidR="004E5ECD">
              <w:rPr>
                <w:szCs w:val="22"/>
              </w:rPr>
              <w:t>ea</w:t>
            </w:r>
            <w:r w:rsidRPr="00EB561B">
              <w:rPr>
                <w:szCs w:val="22"/>
              </w:rPr>
              <w:t xml:space="preserve">rs or also on verapamil: 110mg twice daily after individual assessment of thromboembolic and bleeding risk </w:t>
            </w:r>
          </w:p>
          <w:p w14:paraId="22B46F75" w14:textId="77777777" w:rsidR="00852362" w:rsidRPr="00EB561B" w:rsidRDefault="00852362" w:rsidP="007A31AF">
            <w:pPr>
              <w:spacing w:before="60" w:after="60"/>
              <w:rPr>
                <w:szCs w:val="22"/>
              </w:rPr>
            </w:pPr>
            <w:r w:rsidRPr="00EB561B">
              <w:rPr>
                <w:szCs w:val="22"/>
              </w:rPr>
              <w:t>150mg twice daily or 110mg twice daily should be selected based on an individual assessment of the thromboembolic risk and the risk of bleeding for following:</w:t>
            </w:r>
          </w:p>
          <w:p w14:paraId="7F24A6E1" w14:textId="41D5E2B9" w:rsidR="00852362" w:rsidRPr="00625207" w:rsidRDefault="00852362" w:rsidP="00852362">
            <w:pPr>
              <w:pStyle w:val="ListParagraph"/>
              <w:numPr>
                <w:ilvl w:val="0"/>
                <w:numId w:val="21"/>
              </w:numPr>
              <w:rPr>
                <w:szCs w:val="22"/>
              </w:rPr>
            </w:pPr>
            <w:r w:rsidRPr="00625207">
              <w:rPr>
                <w:szCs w:val="22"/>
              </w:rPr>
              <w:t>Age 75-80</w:t>
            </w:r>
            <w:r w:rsidR="004E5ECD">
              <w:rPr>
                <w:szCs w:val="22"/>
              </w:rPr>
              <w:t xml:space="preserve"> </w:t>
            </w:r>
            <w:r w:rsidRPr="00625207">
              <w:rPr>
                <w:szCs w:val="22"/>
              </w:rPr>
              <w:t>y</w:t>
            </w:r>
            <w:r w:rsidR="004E5ECD">
              <w:rPr>
                <w:szCs w:val="22"/>
              </w:rPr>
              <w:t>ea</w:t>
            </w:r>
            <w:r w:rsidRPr="00625207">
              <w:rPr>
                <w:szCs w:val="22"/>
              </w:rPr>
              <w:t>rs</w:t>
            </w:r>
          </w:p>
          <w:p w14:paraId="3C22FB9A" w14:textId="77777777" w:rsidR="00852362" w:rsidRPr="00625207" w:rsidRDefault="00852362" w:rsidP="00852362">
            <w:pPr>
              <w:pStyle w:val="ListParagraph"/>
              <w:numPr>
                <w:ilvl w:val="0"/>
                <w:numId w:val="21"/>
              </w:numPr>
              <w:rPr>
                <w:szCs w:val="22"/>
              </w:rPr>
            </w:pPr>
            <w:r w:rsidRPr="00625207">
              <w:rPr>
                <w:szCs w:val="22"/>
              </w:rPr>
              <w:t>CrCl 30-50ml/min</w:t>
            </w:r>
          </w:p>
          <w:p w14:paraId="251B1226" w14:textId="77777777" w:rsidR="00852362" w:rsidRPr="00625207" w:rsidRDefault="00852362" w:rsidP="00852362">
            <w:pPr>
              <w:pStyle w:val="ListParagraph"/>
              <w:numPr>
                <w:ilvl w:val="0"/>
                <w:numId w:val="21"/>
              </w:numPr>
              <w:rPr>
                <w:szCs w:val="22"/>
              </w:rPr>
            </w:pPr>
            <w:r w:rsidRPr="00625207">
              <w:rPr>
                <w:szCs w:val="22"/>
              </w:rPr>
              <w:t>Patients with gastritis, esophagitis or gastroesophageal reflux</w:t>
            </w:r>
          </w:p>
          <w:p w14:paraId="7475D05B" w14:textId="1A93EF0F" w:rsidR="00852362" w:rsidRPr="00D62044" w:rsidRDefault="00852362" w:rsidP="00D62044">
            <w:pPr>
              <w:pStyle w:val="ListParagraph"/>
              <w:numPr>
                <w:ilvl w:val="0"/>
                <w:numId w:val="21"/>
              </w:numPr>
              <w:rPr>
                <w:b/>
                <w:szCs w:val="22"/>
              </w:rPr>
            </w:pPr>
            <w:r w:rsidRPr="00D62044">
              <w:rPr>
                <w:szCs w:val="22"/>
              </w:rPr>
              <w:t>Other patients at increased risk of bleeding</w:t>
            </w:r>
          </w:p>
        </w:tc>
      </w:tr>
      <w:tr w:rsidR="00852362" w:rsidRPr="00EB561B" w14:paraId="3531D9CE" w14:textId="77777777" w:rsidTr="007A31AF">
        <w:trPr>
          <w:jc w:val="center"/>
        </w:trPr>
        <w:tc>
          <w:tcPr>
            <w:tcW w:w="944" w:type="pct"/>
            <w:shd w:val="clear" w:color="auto" w:fill="F2DBDB" w:themeFill="accent2" w:themeFillTint="33"/>
            <w:vAlign w:val="center"/>
          </w:tcPr>
          <w:p w14:paraId="55863E52" w14:textId="746D57E4" w:rsidR="00852362" w:rsidRPr="00EB561B" w:rsidRDefault="00852362" w:rsidP="00852362">
            <w:pPr>
              <w:rPr>
                <w:b/>
                <w:szCs w:val="22"/>
              </w:rPr>
            </w:pPr>
            <w:r w:rsidRPr="00A85A68">
              <w:rPr>
                <w:b/>
                <w:bCs/>
                <w:szCs w:val="22"/>
              </w:rPr>
              <w:t>Rivaroxaban (Xarelto</w:t>
            </w:r>
            <w:r w:rsidRPr="00A85A68">
              <w:rPr>
                <w:b/>
                <w:bCs/>
                <w:szCs w:val="22"/>
              </w:rPr>
              <w:sym w:font="Symbol" w:char="F0D2"/>
            </w:r>
            <w:r w:rsidRPr="00A85A68">
              <w:rPr>
                <w:rFonts w:cs="Arial"/>
                <w:b/>
                <w:bCs/>
                <w:szCs w:val="22"/>
              </w:rPr>
              <w:t>▼</w:t>
            </w:r>
            <w:r w:rsidRPr="00A85A68">
              <w:rPr>
                <w:b/>
                <w:bCs/>
                <w:szCs w:val="22"/>
              </w:rPr>
              <w:t>)</w:t>
            </w:r>
            <w:r w:rsidRPr="00A85A68">
              <w:rPr>
                <w:b/>
                <w:bCs/>
                <w:szCs w:val="22"/>
                <w:vertAlign w:val="superscript"/>
              </w:rPr>
              <w:t>2</w:t>
            </w:r>
          </w:p>
        </w:tc>
        <w:tc>
          <w:tcPr>
            <w:tcW w:w="4056" w:type="pct"/>
            <w:gridSpan w:val="2"/>
            <w:shd w:val="clear" w:color="auto" w:fill="auto"/>
            <w:vAlign w:val="center"/>
          </w:tcPr>
          <w:p w14:paraId="1A11BAA4" w14:textId="300B7239" w:rsidR="00852362" w:rsidRPr="00EB561B" w:rsidRDefault="00852362" w:rsidP="00852362">
            <w:pPr>
              <w:rPr>
                <w:b/>
                <w:szCs w:val="22"/>
              </w:rPr>
            </w:pPr>
            <w:r w:rsidRPr="00EB561B">
              <w:rPr>
                <w:szCs w:val="22"/>
              </w:rPr>
              <w:t>15mg twice daily for days 1 to 21</w:t>
            </w:r>
            <w:r w:rsidR="00D77DC0">
              <w:rPr>
                <w:szCs w:val="22"/>
              </w:rPr>
              <w:t>,</w:t>
            </w:r>
            <w:r w:rsidRPr="00EB561B">
              <w:rPr>
                <w:szCs w:val="22"/>
              </w:rPr>
              <w:t xml:space="preserve"> then 20mg daily</w:t>
            </w:r>
          </w:p>
        </w:tc>
      </w:tr>
      <w:tr w:rsidR="00852362" w:rsidRPr="00EB561B" w14:paraId="21708BC6" w14:textId="77777777" w:rsidTr="007A31AF">
        <w:trPr>
          <w:jc w:val="center"/>
        </w:trPr>
        <w:tc>
          <w:tcPr>
            <w:tcW w:w="944" w:type="pct"/>
            <w:shd w:val="clear" w:color="auto" w:fill="E5DFEC" w:themeFill="accent4" w:themeFillTint="33"/>
            <w:vAlign w:val="center"/>
          </w:tcPr>
          <w:p w14:paraId="013E8AE8" w14:textId="21D1CA74" w:rsidR="00852362" w:rsidRPr="00EB561B" w:rsidRDefault="00852362" w:rsidP="00852362">
            <w:pPr>
              <w:rPr>
                <w:b/>
                <w:szCs w:val="22"/>
              </w:rPr>
            </w:pPr>
            <w:r w:rsidRPr="00A85A68">
              <w:rPr>
                <w:b/>
                <w:bCs/>
                <w:szCs w:val="22"/>
              </w:rPr>
              <w:t>Apixaban (Eliquis</w:t>
            </w:r>
            <w:r w:rsidRPr="00A85A68">
              <w:rPr>
                <w:b/>
                <w:bCs/>
                <w:szCs w:val="22"/>
              </w:rPr>
              <w:sym w:font="Symbol" w:char="F0D2"/>
            </w:r>
            <w:r w:rsidRPr="00A85A68">
              <w:rPr>
                <w:b/>
                <w:bCs/>
                <w:szCs w:val="22"/>
              </w:rPr>
              <w:t>)</w:t>
            </w:r>
            <w:r w:rsidRPr="00A85A68">
              <w:rPr>
                <w:b/>
                <w:bCs/>
                <w:szCs w:val="22"/>
                <w:vertAlign w:val="superscript"/>
              </w:rPr>
              <w:t>3</w:t>
            </w:r>
          </w:p>
        </w:tc>
        <w:tc>
          <w:tcPr>
            <w:tcW w:w="4056" w:type="pct"/>
            <w:gridSpan w:val="2"/>
            <w:shd w:val="clear" w:color="auto" w:fill="auto"/>
            <w:vAlign w:val="center"/>
          </w:tcPr>
          <w:p w14:paraId="3EE60BA3" w14:textId="0AEBE5E0" w:rsidR="00852362" w:rsidRPr="00EB561B" w:rsidRDefault="00852362" w:rsidP="00852362">
            <w:pPr>
              <w:rPr>
                <w:szCs w:val="22"/>
              </w:rPr>
            </w:pPr>
            <w:r w:rsidRPr="00EB561B">
              <w:rPr>
                <w:szCs w:val="22"/>
              </w:rPr>
              <w:t>Treatment: 10mg twice daily for the first seven days</w:t>
            </w:r>
            <w:r w:rsidR="00D77DC0">
              <w:rPr>
                <w:szCs w:val="22"/>
              </w:rPr>
              <w:t>,</w:t>
            </w:r>
            <w:r w:rsidRPr="00EB561B">
              <w:rPr>
                <w:szCs w:val="22"/>
              </w:rPr>
              <w:t xml:space="preserve"> followed by 5mg twice daily</w:t>
            </w:r>
          </w:p>
          <w:p w14:paraId="57638EF7" w14:textId="1A593174" w:rsidR="00852362" w:rsidRPr="00EB561B" w:rsidRDefault="00852362" w:rsidP="00852362">
            <w:pPr>
              <w:rPr>
                <w:b/>
                <w:szCs w:val="22"/>
              </w:rPr>
            </w:pPr>
            <w:r w:rsidRPr="00EB561B">
              <w:rPr>
                <w:szCs w:val="22"/>
              </w:rPr>
              <w:t xml:space="preserve">Prevention of recurrent DVT and/or PE following completion of 6 months of treatment for DVT or PE: 2.5mg twice daily </w:t>
            </w:r>
          </w:p>
        </w:tc>
      </w:tr>
      <w:tr w:rsidR="00852362" w:rsidRPr="00EB561B" w14:paraId="43FFB74C" w14:textId="77777777" w:rsidTr="007A31AF">
        <w:trPr>
          <w:jc w:val="center"/>
        </w:trPr>
        <w:tc>
          <w:tcPr>
            <w:tcW w:w="944" w:type="pct"/>
            <w:shd w:val="clear" w:color="auto" w:fill="FDE9D9" w:themeFill="accent6" w:themeFillTint="33"/>
            <w:vAlign w:val="center"/>
          </w:tcPr>
          <w:p w14:paraId="025E084C" w14:textId="08508B1A" w:rsidR="00852362" w:rsidRPr="00EB561B" w:rsidRDefault="00852362" w:rsidP="00852362">
            <w:pPr>
              <w:rPr>
                <w:b/>
                <w:szCs w:val="22"/>
              </w:rPr>
            </w:pPr>
            <w:r w:rsidRPr="00A85A68">
              <w:rPr>
                <w:b/>
                <w:bCs/>
                <w:szCs w:val="22"/>
              </w:rPr>
              <w:t>Edoxaban (Lixiana</w:t>
            </w:r>
            <w:r w:rsidRPr="00A85A68">
              <w:rPr>
                <w:b/>
                <w:bCs/>
                <w:szCs w:val="22"/>
              </w:rPr>
              <w:sym w:font="Symbol" w:char="F0D2"/>
            </w:r>
            <w:r w:rsidRPr="00A85A68">
              <w:rPr>
                <w:b/>
                <w:bCs/>
                <w:szCs w:val="22"/>
              </w:rPr>
              <w:t>)</w:t>
            </w:r>
            <w:r w:rsidRPr="00A85A68">
              <w:rPr>
                <w:b/>
                <w:bCs/>
                <w:szCs w:val="22"/>
                <w:vertAlign w:val="superscript"/>
              </w:rPr>
              <w:t>4</w:t>
            </w:r>
          </w:p>
        </w:tc>
        <w:tc>
          <w:tcPr>
            <w:tcW w:w="4056" w:type="pct"/>
            <w:gridSpan w:val="2"/>
            <w:shd w:val="clear" w:color="auto" w:fill="auto"/>
            <w:vAlign w:val="center"/>
          </w:tcPr>
          <w:p w14:paraId="37B18BF0" w14:textId="77777777" w:rsidR="00852362" w:rsidRPr="00EB561B" w:rsidRDefault="00852362" w:rsidP="00852362">
            <w:pPr>
              <w:rPr>
                <w:szCs w:val="22"/>
              </w:rPr>
            </w:pPr>
            <w:r w:rsidRPr="00EB561B">
              <w:rPr>
                <w:szCs w:val="22"/>
              </w:rPr>
              <w:t>60mg daily following parenteral anticoagulant for at least five days</w:t>
            </w:r>
          </w:p>
          <w:p w14:paraId="31524C22" w14:textId="77777777" w:rsidR="00852362" w:rsidRPr="00EB561B" w:rsidRDefault="00852362" w:rsidP="00852362">
            <w:pPr>
              <w:rPr>
                <w:szCs w:val="22"/>
              </w:rPr>
            </w:pPr>
            <w:r w:rsidRPr="00EB561B">
              <w:rPr>
                <w:szCs w:val="22"/>
              </w:rPr>
              <w:t>Reduce dose to 30mg with one or more of following risk factors:</w:t>
            </w:r>
          </w:p>
          <w:p w14:paraId="3D3F74F1" w14:textId="77777777" w:rsidR="00852362" w:rsidRPr="00CB0FEA" w:rsidRDefault="00852362" w:rsidP="00852362">
            <w:pPr>
              <w:pStyle w:val="ListParagraph"/>
              <w:numPr>
                <w:ilvl w:val="0"/>
                <w:numId w:val="17"/>
              </w:numPr>
              <w:rPr>
                <w:szCs w:val="22"/>
              </w:rPr>
            </w:pPr>
            <w:r w:rsidRPr="00CB0FEA">
              <w:rPr>
                <w:szCs w:val="22"/>
              </w:rPr>
              <w:t>Moderate to severe renal impairment</w:t>
            </w:r>
          </w:p>
          <w:p w14:paraId="46760B0E" w14:textId="77777777" w:rsidR="00852362" w:rsidRPr="00CB0FEA" w:rsidRDefault="00852362" w:rsidP="00852362">
            <w:pPr>
              <w:pStyle w:val="ListParagraph"/>
              <w:numPr>
                <w:ilvl w:val="0"/>
                <w:numId w:val="17"/>
              </w:numPr>
              <w:rPr>
                <w:szCs w:val="22"/>
              </w:rPr>
            </w:pPr>
            <w:r w:rsidRPr="00CB0FEA">
              <w:rPr>
                <w:szCs w:val="22"/>
              </w:rPr>
              <w:t>Body weight ≤60kg</w:t>
            </w:r>
          </w:p>
          <w:p w14:paraId="6C70F1F8" w14:textId="45ECE21B" w:rsidR="00852362" w:rsidRPr="00852362" w:rsidRDefault="00852362" w:rsidP="00852362">
            <w:pPr>
              <w:pStyle w:val="ListParagraph"/>
              <w:numPr>
                <w:ilvl w:val="0"/>
                <w:numId w:val="17"/>
              </w:numPr>
              <w:rPr>
                <w:szCs w:val="22"/>
              </w:rPr>
            </w:pPr>
            <w:r w:rsidRPr="00CB0FEA">
              <w:rPr>
                <w:szCs w:val="22"/>
              </w:rPr>
              <w:t>Concomitant use of P-glycoprotein inhibitors (ciclosporin, dronedarone, erythromycin, or ketoconazole)</w:t>
            </w:r>
          </w:p>
        </w:tc>
      </w:tr>
      <w:tr w:rsidR="00852362" w:rsidRPr="00EB561B" w14:paraId="703EBCA5" w14:textId="77777777" w:rsidTr="007A31AF">
        <w:trPr>
          <w:trHeight w:val="70"/>
          <w:jc w:val="center"/>
        </w:trPr>
        <w:tc>
          <w:tcPr>
            <w:tcW w:w="944" w:type="pct"/>
            <w:shd w:val="clear" w:color="auto" w:fill="EAF1DD" w:themeFill="accent3" w:themeFillTint="33"/>
            <w:vAlign w:val="center"/>
          </w:tcPr>
          <w:p w14:paraId="14F51873" w14:textId="77777777" w:rsidR="00852362" w:rsidRPr="00544874" w:rsidRDefault="00852362" w:rsidP="00852362">
            <w:pPr>
              <w:rPr>
                <w:b/>
                <w:szCs w:val="22"/>
              </w:rPr>
            </w:pPr>
            <w:r w:rsidRPr="00544874">
              <w:rPr>
                <w:b/>
                <w:szCs w:val="22"/>
              </w:rPr>
              <w:t>Warfarin</w:t>
            </w:r>
            <w:r w:rsidRPr="00544874">
              <w:rPr>
                <w:b/>
                <w:szCs w:val="22"/>
                <w:vertAlign w:val="superscript"/>
              </w:rPr>
              <w:t>5,6</w:t>
            </w:r>
            <w:r w:rsidRPr="00544874">
              <w:rPr>
                <w:b/>
                <w:szCs w:val="22"/>
              </w:rPr>
              <w:t xml:space="preserve"> </w:t>
            </w:r>
          </w:p>
          <w:p w14:paraId="53742C84" w14:textId="19B7A981" w:rsidR="00852362" w:rsidRPr="00EB561B" w:rsidRDefault="00852362" w:rsidP="00852362">
            <w:pPr>
              <w:rPr>
                <w:b/>
                <w:szCs w:val="22"/>
              </w:rPr>
            </w:pPr>
            <w:r w:rsidRPr="00A85A68">
              <w:rPr>
                <w:bCs/>
                <w:szCs w:val="22"/>
              </w:rPr>
              <w:t>Dose is tailored to the individual, dependent on the prothrombin time (PT)</w:t>
            </w:r>
          </w:p>
        </w:tc>
        <w:tc>
          <w:tcPr>
            <w:tcW w:w="4056" w:type="pct"/>
            <w:gridSpan w:val="2"/>
            <w:shd w:val="clear" w:color="auto" w:fill="auto"/>
            <w:vAlign w:val="center"/>
          </w:tcPr>
          <w:p w14:paraId="59CE76F2" w14:textId="42C94FEA" w:rsidR="00852362" w:rsidRDefault="00852362" w:rsidP="007A31AF">
            <w:pPr>
              <w:spacing w:before="60" w:after="60"/>
              <w:rPr>
                <w:szCs w:val="22"/>
              </w:rPr>
            </w:pPr>
            <w:r w:rsidRPr="00EB561B">
              <w:rPr>
                <w:szCs w:val="22"/>
              </w:rPr>
              <w:t>Target INR 2.5 for treatment of deep-vein thrombosis or pulmonary embolism</w:t>
            </w:r>
          </w:p>
          <w:p w14:paraId="400BA7BD" w14:textId="77777777" w:rsidR="00B12566" w:rsidRPr="00EB561B" w:rsidRDefault="00B12566" w:rsidP="007A31AF">
            <w:pPr>
              <w:spacing w:before="60" w:after="60"/>
              <w:rPr>
                <w:szCs w:val="22"/>
              </w:rPr>
            </w:pPr>
          </w:p>
          <w:p w14:paraId="2ADCB5FF" w14:textId="101609E5" w:rsidR="00852362" w:rsidRPr="007A31AF" w:rsidRDefault="00B12566" w:rsidP="007A31AF">
            <w:pPr>
              <w:spacing w:before="60" w:after="60"/>
              <w:rPr>
                <w:szCs w:val="22"/>
              </w:rPr>
            </w:pPr>
            <w:r>
              <w:rPr>
                <w:szCs w:val="22"/>
              </w:rPr>
              <w:t xml:space="preserve">Target </w:t>
            </w:r>
            <w:r w:rsidR="00852362" w:rsidRPr="00EB561B">
              <w:rPr>
                <w:szCs w:val="22"/>
              </w:rPr>
              <w:t>INR 3.5 for recurrent deep-vein thrombosis or pulmonary embolism in patients currently receiving anticoagulation and with an INR above 2</w:t>
            </w:r>
          </w:p>
        </w:tc>
      </w:tr>
      <w:tr w:rsidR="009425B7" w:rsidRPr="00EB561B" w14:paraId="254B4A48" w14:textId="77777777" w:rsidTr="00B62BFD">
        <w:trPr>
          <w:cantSplit/>
          <w:trHeight w:val="680"/>
          <w:jc w:val="center"/>
        </w:trPr>
        <w:tc>
          <w:tcPr>
            <w:tcW w:w="5000" w:type="pct"/>
            <w:gridSpan w:val="3"/>
            <w:shd w:val="clear" w:color="auto" w:fill="F2F2F2" w:themeFill="background1" w:themeFillShade="F2"/>
            <w:vAlign w:val="center"/>
          </w:tcPr>
          <w:p w14:paraId="4318B101" w14:textId="33DA2B51" w:rsidR="009425B7" w:rsidRPr="00B62BFD" w:rsidRDefault="009425B7" w:rsidP="00B62BFD">
            <w:pPr>
              <w:pStyle w:val="Heading2"/>
            </w:pPr>
            <w:bookmarkStart w:id="67" w:name="_Toc104910450"/>
            <w:bookmarkStart w:id="68" w:name="_Toc106708897"/>
            <w:r w:rsidRPr="00367CC8">
              <w:lastRenderedPageBreak/>
              <w:t>VTE prevention post-surgery</w:t>
            </w:r>
            <w:bookmarkEnd w:id="67"/>
            <w:bookmarkEnd w:id="68"/>
          </w:p>
        </w:tc>
      </w:tr>
      <w:tr w:rsidR="00B62BFD" w:rsidRPr="00EB561B" w14:paraId="033D1EEE" w14:textId="77777777" w:rsidTr="00B62BFD">
        <w:trPr>
          <w:cantSplit/>
          <w:trHeight w:val="986"/>
          <w:jc w:val="center"/>
        </w:trPr>
        <w:tc>
          <w:tcPr>
            <w:tcW w:w="5000" w:type="pct"/>
            <w:gridSpan w:val="3"/>
            <w:shd w:val="clear" w:color="auto" w:fill="auto"/>
            <w:vAlign w:val="center"/>
          </w:tcPr>
          <w:p w14:paraId="3507B1CF" w14:textId="410146F3" w:rsidR="00B62BFD" w:rsidRPr="00367CC8" w:rsidRDefault="00B62BFD" w:rsidP="00B62BFD">
            <w:r w:rsidRPr="00B62BFD">
              <w:t>For prevention of VTE after major elective orthopaedic surgery (i.e. knee or hip replacement) ensure DOACs are stopped in accordance with instructions in the discharge letter or when the licensed duration of treatment period is reached.</w:t>
            </w:r>
            <w:r w:rsidRPr="00B62BFD">
              <w:rPr>
                <w:vertAlign w:val="superscript"/>
              </w:rPr>
              <w:t>1-3,6</w:t>
            </w:r>
          </w:p>
        </w:tc>
      </w:tr>
      <w:tr w:rsidR="00B62BFD" w:rsidRPr="00EB561B" w14:paraId="24F4CCB5" w14:textId="77777777" w:rsidTr="00B62BFD">
        <w:trPr>
          <w:cantSplit/>
          <w:trHeight w:val="6222"/>
          <w:jc w:val="center"/>
        </w:trPr>
        <w:tc>
          <w:tcPr>
            <w:tcW w:w="1381" w:type="pct"/>
            <w:gridSpan w:val="2"/>
            <w:shd w:val="clear" w:color="auto" w:fill="DBE5F1" w:themeFill="accent1" w:themeFillTint="33"/>
            <w:vAlign w:val="center"/>
          </w:tcPr>
          <w:p w14:paraId="6CFF9227" w14:textId="0DFDC71A" w:rsidR="00B62BFD" w:rsidRPr="00B62BFD" w:rsidRDefault="00B62BFD" w:rsidP="00B62BFD">
            <w:r w:rsidRPr="00A85A68">
              <w:rPr>
                <w:b/>
                <w:bCs/>
              </w:rPr>
              <w:t>Dabigatran</w:t>
            </w:r>
            <w:r w:rsidR="007D1B0D">
              <w:rPr>
                <w:b/>
                <w:bCs/>
              </w:rPr>
              <w:t xml:space="preserve"> </w:t>
            </w:r>
            <w:r w:rsidRPr="00A85A68">
              <w:rPr>
                <w:b/>
                <w:bCs/>
              </w:rPr>
              <w:t xml:space="preserve"> (Pradaxa</w:t>
            </w:r>
            <w:r w:rsidRPr="00A85A68">
              <w:rPr>
                <w:b/>
                <w:bCs/>
              </w:rPr>
              <w:sym w:font="Symbol" w:char="F0D2"/>
            </w:r>
            <w:r w:rsidRPr="00A85A68">
              <w:rPr>
                <w:b/>
                <w:bCs/>
              </w:rPr>
              <w:t>)</w:t>
            </w:r>
            <w:r w:rsidRPr="00A85A68">
              <w:rPr>
                <w:b/>
                <w:bCs/>
                <w:vertAlign w:val="superscript"/>
              </w:rPr>
              <w:t>1</w:t>
            </w:r>
          </w:p>
        </w:tc>
        <w:tc>
          <w:tcPr>
            <w:tcW w:w="3619" w:type="pct"/>
            <w:shd w:val="clear" w:color="auto" w:fill="auto"/>
            <w:vAlign w:val="center"/>
          </w:tcPr>
          <w:p w14:paraId="70C7BAC9" w14:textId="77777777" w:rsidR="00B62BFD" w:rsidRPr="00EB561B" w:rsidRDefault="00B62BFD" w:rsidP="00B62BFD">
            <w:pPr>
              <w:rPr>
                <w:szCs w:val="22"/>
              </w:rPr>
            </w:pPr>
            <w:r w:rsidRPr="00EB561B">
              <w:rPr>
                <w:color w:val="000000" w:themeColor="text1"/>
                <w:szCs w:val="22"/>
              </w:rPr>
              <w:t xml:space="preserve">Single dose of 110mg 1-4 hrs after surgery, </w:t>
            </w:r>
            <w:r w:rsidRPr="00EB561B">
              <w:rPr>
                <w:szCs w:val="22"/>
              </w:rPr>
              <w:t>then 220mg once daily for:</w:t>
            </w:r>
          </w:p>
          <w:p w14:paraId="3955B605" w14:textId="77777777" w:rsidR="00B62BFD" w:rsidRPr="00EB561B" w:rsidRDefault="00B62BFD" w:rsidP="00B62BFD">
            <w:pPr>
              <w:rPr>
                <w:szCs w:val="22"/>
              </w:rPr>
            </w:pPr>
            <w:r w:rsidRPr="00EB561B">
              <w:rPr>
                <w:szCs w:val="22"/>
              </w:rPr>
              <w:t>10 days post knee surgery</w:t>
            </w:r>
          </w:p>
          <w:p w14:paraId="2834A12E" w14:textId="77777777" w:rsidR="00B62BFD" w:rsidRPr="00EB561B" w:rsidRDefault="00B62BFD" w:rsidP="00B62BFD">
            <w:pPr>
              <w:rPr>
                <w:szCs w:val="22"/>
              </w:rPr>
            </w:pPr>
            <w:r w:rsidRPr="00EB561B">
              <w:rPr>
                <w:szCs w:val="22"/>
              </w:rPr>
              <w:t>4 to 5 weeks post hip surgery</w:t>
            </w:r>
          </w:p>
          <w:p w14:paraId="06182081" w14:textId="77777777" w:rsidR="00B62BFD" w:rsidRPr="00EB561B" w:rsidRDefault="00B62BFD" w:rsidP="00B62BFD">
            <w:pPr>
              <w:rPr>
                <w:szCs w:val="22"/>
              </w:rPr>
            </w:pPr>
            <w:r w:rsidRPr="00EB561B">
              <w:rPr>
                <w:szCs w:val="22"/>
              </w:rPr>
              <w:t xml:space="preserve">Reduce dose for patients with: </w:t>
            </w:r>
          </w:p>
          <w:p w14:paraId="66A3B094" w14:textId="77777777" w:rsidR="00B62BFD" w:rsidRPr="00CB0FEA" w:rsidRDefault="00B62BFD" w:rsidP="00B62BFD">
            <w:pPr>
              <w:pStyle w:val="ListParagraph"/>
              <w:numPr>
                <w:ilvl w:val="0"/>
                <w:numId w:val="19"/>
              </w:numPr>
              <w:rPr>
                <w:szCs w:val="22"/>
              </w:rPr>
            </w:pPr>
            <w:r w:rsidRPr="00CB0FEA">
              <w:rPr>
                <w:szCs w:val="22"/>
              </w:rPr>
              <w:t xml:space="preserve">CrCl 30-50ml/min </w:t>
            </w:r>
          </w:p>
          <w:p w14:paraId="30BA150D" w14:textId="77777777" w:rsidR="00B62BFD" w:rsidRPr="00CB0FEA" w:rsidRDefault="00B62BFD" w:rsidP="00B62BFD">
            <w:pPr>
              <w:pStyle w:val="ListParagraph"/>
              <w:numPr>
                <w:ilvl w:val="0"/>
                <w:numId w:val="19"/>
              </w:numPr>
              <w:rPr>
                <w:szCs w:val="22"/>
              </w:rPr>
            </w:pPr>
            <w:r w:rsidRPr="00CB0FEA">
              <w:rPr>
                <w:szCs w:val="22"/>
              </w:rPr>
              <w:t>Patients who receive concomitant verapamil, amiodarone, quinidine</w:t>
            </w:r>
          </w:p>
          <w:p w14:paraId="6DC67427" w14:textId="77777777" w:rsidR="00B62BFD" w:rsidRPr="00CB0FEA" w:rsidRDefault="00B62BFD" w:rsidP="00B62BFD">
            <w:pPr>
              <w:pStyle w:val="ListParagraph"/>
              <w:numPr>
                <w:ilvl w:val="0"/>
                <w:numId w:val="19"/>
              </w:numPr>
              <w:rPr>
                <w:szCs w:val="22"/>
              </w:rPr>
            </w:pPr>
            <w:r w:rsidRPr="00CB0FEA">
              <w:rPr>
                <w:szCs w:val="22"/>
              </w:rPr>
              <w:t xml:space="preserve">Patients aged 75 years and above </w:t>
            </w:r>
          </w:p>
          <w:p w14:paraId="7162F39A" w14:textId="77777777" w:rsidR="00B62BFD" w:rsidRPr="00EB561B" w:rsidRDefault="00B62BFD" w:rsidP="00B62BFD">
            <w:pPr>
              <w:rPr>
                <w:szCs w:val="22"/>
              </w:rPr>
            </w:pPr>
            <w:r w:rsidRPr="00EB561B">
              <w:rPr>
                <w:szCs w:val="22"/>
              </w:rPr>
              <w:t>Give a single dose of 75mg 1-4 hrs after surgery, then 150mg daily for:</w:t>
            </w:r>
          </w:p>
          <w:p w14:paraId="7C284976" w14:textId="77777777" w:rsidR="00B62BFD" w:rsidRPr="00CB0FEA" w:rsidRDefault="00B62BFD" w:rsidP="00B62BFD">
            <w:pPr>
              <w:pStyle w:val="ListParagraph"/>
              <w:numPr>
                <w:ilvl w:val="0"/>
                <w:numId w:val="18"/>
              </w:numPr>
              <w:rPr>
                <w:szCs w:val="22"/>
              </w:rPr>
            </w:pPr>
            <w:r w:rsidRPr="00CB0FEA">
              <w:rPr>
                <w:szCs w:val="22"/>
              </w:rPr>
              <w:t>10 days post knee surgery</w:t>
            </w:r>
          </w:p>
          <w:p w14:paraId="30973113" w14:textId="77777777" w:rsidR="00B62BFD" w:rsidRPr="00CB0FEA" w:rsidRDefault="00B62BFD" w:rsidP="00B62BFD">
            <w:pPr>
              <w:pStyle w:val="ListParagraph"/>
              <w:numPr>
                <w:ilvl w:val="0"/>
                <w:numId w:val="18"/>
              </w:numPr>
              <w:rPr>
                <w:szCs w:val="22"/>
              </w:rPr>
            </w:pPr>
            <w:r w:rsidRPr="00CB0FEA">
              <w:rPr>
                <w:szCs w:val="22"/>
              </w:rPr>
              <w:t xml:space="preserve">4 to 5 weeks post hip surgery </w:t>
            </w:r>
          </w:p>
          <w:p w14:paraId="33426D76" w14:textId="494FCA8E" w:rsidR="00B62BFD" w:rsidRDefault="00B62BFD" w:rsidP="00B62BFD">
            <w:pPr>
              <w:rPr>
                <w:szCs w:val="22"/>
              </w:rPr>
            </w:pPr>
            <w:r w:rsidRPr="00EB561B">
              <w:rPr>
                <w:szCs w:val="22"/>
              </w:rPr>
              <w:t xml:space="preserve">For both surgeries, if haemostasis is not secured, initiation of treatment should be delayed </w:t>
            </w:r>
          </w:p>
          <w:p w14:paraId="29906EBB" w14:textId="166E0D41" w:rsidR="00B62BFD" w:rsidRPr="00B62BFD" w:rsidRDefault="00B62BFD" w:rsidP="00B62BFD">
            <w:r w:rsidRPr="00EB561B">
              <w:rPr>
                <w:szCs w:val="22"/>
              </w:rPr>
              <w:t>If treatment is not started on the day of surgery then treatment should be initiated with 2 capsules once daily</w:t>
            </w:r>
          </w:p>
        </w:tc>
      </w:tr>
      <w:tr w:rsidR="00B62BFD" w:rsidRPr="00EB561B" w14:paraId="25E17786" w14:textId="77777777" w:rsidTr="00B62BFD">
        <w:trPr>
          <w:cantSplit/>
          <w:trHeight w:val="1548"/>
          <w:jc w:val="center"/>
        </w:trPr>
        <w:tc>
          <w:tcPr>
            <w:tcW w:w="1381" w:type="pct"/>
            <w:gridSpan w:val="2"/>
            <w:shd w:val="clear" w:color="auto" w:fill="F2DBDB" w:themeFill="accent2" w:themeFillTint="33"/>
            <w:vAlign w:val="center"/>
          </w:tcPr>
          <w:p w14:paraId="22ABC25B" w14:textId="41E3BF21" w:rsidR="00B62BFD" w:rsidRPr="00B62BFD" w:rsidRDefault="00B62BFD" w:rsidP="00B62BFD">
            <w:r w:rsidRPr="00A85A68">
              <w:rPr>
                <w:b/>
                <w:bCs/>
                <w:szCs w:val="22"/>
              </w:rPr>
              <w:t>Rivaroxaban (Xarelto</w:t>
            </w:r>
            <w:r w:rsidRPr="00A85A68">
              <w:rPr>
                <w:b/>
                <w:bCs/>
                <w:szCs w:val="22"/>
              </w:rPr>
              <w:sym w:font="Symbol" w:char="F0D2"/>
            </w:r>
            <w:r w:rsidRPr="00A85A68">
              <w:rPr>
                <w:rFonts w:cs="Arial"/>
                <w:b/>
                <w:bCs/>
                <w:szCs w:val="22"/>
              </w:rPr>
              <w:t>▼</w:t>
            </w:r>
            <w:r w:rsidRPr="00A85A68">
              <w:rPr>
                <w:b/>
                <w:bCs/>
                <w:szCs w:val="22"/>
              </w:rPr>
              <w:t>)</w:t>
            </w:r>
            <w:r w:rsidRPr="00A85A68">
              <w:rPr>
                <w:b/>
                <w:bCs/>
                <w:szCs w:val="22"/>
                <w:vertAlign w:val="superscript"/>
              </w:rPr>
              <w:t>2</w:t>
            </w:r>
          </w:p>
        </w:tc>
        <w:tc>
          <w:tcPr>
            <w:tcW w:w="3619" w:type="pct"/>
            <w:shd w:val="clear" w:color="auto" w:fill="auto"/>
            <w:vAlign w:val="center"/>
          </w:tcPr>
          <w:p w14:paraId="79DB064F" w14:textId="77777777" w:rsidR="00B62BFD" w:rsidRPr="00EB561B" w:rsidRDefault="00B62BFD" w:rsidP="00B62BFD">
            <w:pPr>
              <w:rPr>
                <w:szCs w:val="22"/>
              </w:rPr>
            </w:pPr>
            <w:r w:rsidRPr="00EB561B">
              <w:rPr>
                <w:szCs w:val="22"/>
              </w:rPr>
              <w:t>10mg once daily for:</w:t>
            </w:r>
          </w:p>
          <w:p w14:paraId="628DF5EA" w14:textId="77777777" w:rsidR="00B62BFD" w:rsidRPr="00B62BFD" w:rsidRDefault="00B62BFD" w:rsidP="00B62BFD">
            <w:pPr>
              <w:pStyle w:val="ListParagraph"/>
              <w:numPr>
                <w:ilvl w:val="0"/>
                <w:numId w:val="22"/>
              </w:numPr>
              <w:rPr>
                <w:szCs w:val="22"/>
              </w:rPr>
            </w:pPr>
            <w:r w:rsidRPr="00B62BFD">
              <w:rPr>
                <w:szCs w:val="22"/>
              </w:rPr>
              <w:t>2 weeks post knee surgery</w:t>
            </w:r>
          </w:p>
          <w:p w14:paraId="324BED75" w14:textId="7B1FFD87" w:rsidR="00B62BFD" w:rsidRPr="00B62BFD" w:rsidRDefault="00B62BFD" w:rsidP="00B62BFD">
            <w:pPr>
              <w:pStyle w:val="ListParagraph"/>
              <w:numPr>
                <w:ilvl w:val="0"/>
                <w:numId w:val="22"/>
              </w:numPr>
            </w:pPr>
            <w:r w:rsidRPr="00B62BFD">
              <w:rPr>
                <w:szCs w:val="22"/>
              </w:rPr>
              <w:t>5 weeks post hip surgery</w:t>
            </w:r>
          </w:p>
        </w:tc>
      </w:tr>
      <w:tr w:rsidR="00B62BFD" w:rsidRPr="00EB561B" w14:paraId="4720713F" w14:textId="77777777" w:rsidTr="00B62BFD">
        <w:trPr>
          <w:cantSplit/>
          <w:trHeight w:val="1683"/>
          <w:jc w:val="center"/>
        </w:trPr>
        <w:tc>
          <w:tcPr>
            <w:tcW w:w="1381" w:type="pct"/>
            <w:gridSpan w:val="2"/>
            <w:shd w:val="clear" w:color="auto" w:fill="E5DFEC" w:themeFill="accent4" w:themeFillTint="33"/>
            <w:vAlign w:val="center"/>
          </w:tcPr>
          <w:p w14:paraId="5D4569FA" w14:textId="0BFC254C" w:rsidR="00B62BFD" w:rsidRPr="00B62BFD" w:rsidRDefault="00B62BFD" w:rsidP="00B62BFD">
            <w:r w:rsidRPr="00A85A68">
              <w:rPr>
                <w:b/>
                <w:bCs/>
                <w:szCs w:val="22"/>
              </w:rPr>
              <w:t xml:space="preserve">Apixaban </w:t>
            </w:r>
            <w:r w:rsidR="007D1B0D">
              <w:rPr>
                <w:b/>
                <w:bCs/>
                <w:szCs w:val="22"/>
              </w:rPr>
              <w:t xml:space="preserve">     </w:t>
            </w:r>
            <w:r w:rsidRPr="00A85A68">
              <w:rPr>
                <w:b/>
                <w:bCs/>
                <w:szCs w:val="22"/>
              </w:rPr>
              <w:t>(Eliquis</w:t>
            </w:r>
            <w:r w:rsidRPr="00A85A68">
              <w:rPr>
                <w:b/>
                <w:bCs/>
                <w:szCs w:val="22"/>
              </w:rPr>
              <w:sym w:font="Symbol" w:char="F0D2"/>
            </w:r>
            <w:r w:rsidRPr="00A85A68">
              <w:rPr>
                <w:b/>
                <w:bCs/>
                <w:szCs w:val="22"/>
              </w:rPr>
              <w:t>)</w:t>
            </w:r>
            <w:r w:rsidRPr="00A85A68">
              <w:rPr>
                <w:b/>
                <w:bCs/>
                <w:szCs w:val="22"/>
                <w:vertAlign w:val="superscript"/>
              </w:rPr>
              <w:t>3</w:t>
            </w:r>
          </w:p>
        </w:tc>
        <w:tc>
          <w:tcPr>
            <w:tcW w:w="3619" w:type="pct"/>
            <w:shd w:val="clear" w:color="auto" w:fill="auto"/>
            <w:vAlign w:val="center"/>
          </w:tcPr>
          <w:p w14:paraId="0D3E154B" w14:textId="77777777" w:rsidR="00B62BFD" w:rsidRPr="00EB561B" w:rsidRDefault="00B62BFD" w:rsidP="00B62BFD">
            <w:pPr>
              <w:rPr>
                <w:szCs w:val="22"/>
              </w:rPr>
            </w:pPr>
            <w:r w:rsidRPr="00EB561B">
              <w:rPr>
                <w:szCs w:val="22"/>
              </w:rPr>
              <w:t>2.5mg twice daily for:</w:t>
            </w:r>
          </w:p>
          <w:p w14:paraId="21C385F6" w14:textId="77777777" w:rsidR="00B62BFD" w:rsidRPr="00B62BFD" w:rsidRDefault="00B62BFD" w:rsidP="00B62BFD">
            <w:pPr>
              <w:pStyle w:val="ListParagraph"/>
              <w:numPr>
                <w:ilvl w:val="0"/>
                <w:numId w:val="23"/>
              </w:numPr>
              <w:rPr>
                <w:szCs w:val="22"/>
              </w:rPr>
            </w:pPr>
            <w:r w:rsidRPr="00B62BFD">
              <w:rPr>
                <w:szCs w:val="22"/>
              </w:rPr>
              <w:t>10 to 14 days post knee surgery</w:t>
            </w:r>
          </w:p>
          <w:p w14:paraId="4AFF81B9" w14:textId="64F6EC2E" w:rsidR="00B62BFD" w:rsidRPr="00B62BFD" w:rsidRDefault="00B62BFD" w:rsidP="00B62BFD">
            <w:pPr>
              <w:pStyle w:val="ListParagraph"/>
              <w:numPr>
                <w:ilvl w:val="0"/>
                <w:numId w:val="23"/>
              </w:numPr>
            </w:pPr>
            <w:r w:rsidRPr="00B62BFD">
              <w:rPr>
                <w:szCs w:val="22"/>
              </w:rPr>
              <w:t>32 to 38 days post hip surgery</w:t>
            </w:r>
          </w:p>
        </w:tc>
      </w:tr>
      <w:tr w:rsidR="00B62BFD" w:rsidRPr="00EB561B" w14:paraId="4338AE9E" w14:textId="77777777" w:rsidTr="004548C7">
        <w:trPr>
          <w:cantSplit/>
          <w:trHeight w:val="986"/>
          <w:jc w:val="center"/>
        </w:trPr>
        <w:tc>
          <w:tcPr>
            <w:tcW w:w="1381" w:type="pct"/>
            <w:gridSpan w:val="2"/>
            <w:shd w:val="clear" w:color="auto" w:fill="FDE9D9" w:themeFill="accent6" w:themeFillTint="33"/>
            <w:vAlign w:val="center"/>
          </w:tcPr>
          <w:p w14:paraId="3001CF14" w14:textId="77733C34" w:rsidR="00B62BFD" w:rsidRPr="00B62BFD" w:rsidRDefault="00B62BFD" w:rsidP="00B62BFD">
            <w:r w:rsidRPr="00A85A68">
              <w:rPr>
                <w:b/>
                <w:bCs/>
                <w:szCs w:val="22"/>
              </w:rPr>
              <w:t xml:space="preserve">Edoxaban </w:t>
            </w:r>
            <w:r w:rsidR="007D1B0D">
              <w:rPr>
                <w:b/>
                <w:bCs/>
                <w:szCs w:val="22"/>
              </w:rPr>
              <w:t xml:space="preserve">    </w:t>
            </w:r>
            <w:r w:rsidRPr="00A85A68">
              <w:rPr>
                <w:b/>
                <w:bCs/>
                <w:szCs w:val="22"/>
              </w:rPr>
              <w:t>(Lixiana</w:t>
            </w:r>
            <w:r w:rsidRPr="00A85A68">
              <w:rPr>
                <w:b/>
                <w:bCs/>
                <w:szCs w:val="22"/>
              </w:rPr>
              <w:sym w:font="Symbol" w:char="F0D2"/>
            </w:r>
            <w:r w:rsidRPr="00A85A68">
              <w:rPr>
                <w:b/>
                <w:bCs/>
                <w:szCs w:val="22"/>
              </w:rPr>
              <w:t>)</w:t>
            </w:r>
            <w:r w:rsidRPr="00A85A68">
              <w:rPr>
                <w:b/>
                <w:bCs/>
                <w:szCs w:val="22"/>
                <w:vertAlign w:val="superscript"/>
              </w:rPr>
              <w:t>4</w:t>
            </w:r>
          </w:p>
        </w:tc>
        <w:tc>
          <w:tcPr>
            <w:tcW w:w="3619" w:type="pct"/>
            <w:shd w:val="clear" w:color="auto" w:fill="auto"/>
            <w:vAlign w:val="center"/>
          </w:tcPr>
          <w:p w14:paraId="50721266" w14:textId="526F3059" w:rsidR="00B62BFD" w:rsidRPr="00B62BFD" w:rsidRDefault="00B62BFD" w:rsidP="00B62BFD">
            <w:r w:rsidRPr="00EB561B">
              <w:rPr>
                <w:szCs w:val="22"/>
              </w:rPr>
              <w:t>Not licensed</w:t>
            </w:r>
          </w:p>
        </w:tc>
      </w:tr>
      <w:tr w:rsidR="00B62BFD" w:rsidRPr="00EB561B" w14:paraId="61A23401" w14:textId="77777777" w:rsidTr="004548C7">
        <w:trPr>
          <w:cantSplit/>
          <w:trHeight w:val="986"/>
          <w:jc w:val="center"/>
        </w:trPr>
        <w:tc>
          <w:tcPr>
            <w:tcW w:w="1381" w:type="pct"/>
            <w:gridSpan w:val="2"/>
            <w:shd w:val="clear" w:color="auto" w:fill="EAF1DD" w:themeFill="accent3" w:themeFillTint="33"/>
            <w:vAlign w:val="center"/>
          </w:tcPr>
          <w:p w14:paraId="75F5B8BC" w14:textId="4437A6DE" w:rsidR="00B62BFD" w:rsidRPr="00B62BFD" w:rsidRDefault="00B62BFD" w:rsidP="00B62BFD">
            <w:pPr>
              <w:rPr>
                <w:b/>
                <w:szCs w:val="22"/>
              </w:rPr>
            </w:pPr>
            <w:r w:rsidRPr="00544874">
              <w:rPr>
                <w:b/>
                <w:szCs w:val="22"/>
              </w:rPr>
              <w:t>Warfarin</w:t>
            </w:r>
            <w:r w:rsidRPr="00544874">
              <w:rPr>
                <w:b/>
                <w:szCs w:val="22"/>
                <w:vertAlign w:val="superscript"/>
              </w:rPr>
              <w:t>5,6</w:t>
            </w:r>
          </w:p>
        </w:tc>
        <w:tc>
          <w:tcPr>
            <w:tcW w:w="3619" w:type="pct"/>
            <w:shd w:val="clear" w:color="auto" w:fill="auto"/>
            <w:vAlign w:val="center"/>
          </w:tcPr>
          <w:p w14:paraId="6EBCF224" w14:textId="3C8E2118" w:rsidR="00B62BFD" w:rsidRPr="00B62BFD" w:rsidRDefault="00B62BFD" w:rsidP="00B62BFD">
            <w:pPr>
              <w:rPr>
                <w:b/>
                <w:bCs/>
              </w:rPr>
            </w:pPr>
            <w:r w:rsidRPr="00EB561B">
              <w:rPr>
                <w:szCs w:val="22"/>
              </w:rPr>
              <w:t>Not licensed</w:t>
            </w:r>
          </w:p>
        </w:tc>
      </w:tr>
    </w:tbl>
    <w:p w14:paraId="46B7BBBA" w14:textId="77777777" w:rsidR="00B62BFD" w:rsidRDefault="00B62BFD"/>
    <w:p w14:paraId="53F00ABF" w14:textId="7C542CDA" w:rsidR="00215B05" w:rsidRPr="00EB561B" w:rsidRDefault="00215B05">
      <w:pPr>
        <w:rPr>
          <w:rFonts w:asciiTheme="majorHAnsi" w:hAnsiTheme="majorHAnsi" w:cstheme="majorHAnsi"/>
          <w:szCs w:val="22"/>
        </w:rPr>
      </w:pPr>
    </w:p>
    <w:p w14:paraId="44499C9C" w14:textId="77777777" w:rsidR="00215B05" w:rsidRPr="00EB561B" w:rsidRDefault="00215B05">
      <w:pPr>
        <w:rPr>
          <w:rFonts w:asciiTheme="majorHAnsi" w:hAnsiTheme="majorHAnsi" w:cstheme="majorHAnsi"/>
          <w:szCs w:val="22"/>
        </w:rPr>
      </w:pPr>
      <w:r w:rsidRPr="00EB561B">
        <w:rPr>
          <w:rFonts w:asciiTheme="majorHAnsi" w:hAnsiTheme="majorHAnsi" w:cstheme="majorHAnsi"/>
          <w:szCs w:val="22"/>
        </w:rPr>
        <w:br w:type="page"/>
      </w:r>
    </w:p>
    <w:p w14:paraId="1FB4F628" w14:textId="77777777" w:rsidR="0087568F" w:rsidRPr="00EB561B" w:rsidRDefault="0087568F">
      <w:pPr>
        <w:rPr>
          <w:rFonts w:asciiTheme="majorHAnsi" w:hAnsiTheme="majorHAnsi" w:cstheme="majorHAnsi"/>
          <w:szCs w:val="22"/>
        </w:rPr>
      </w:pPr>
    </w:p>
    <w:tbl>
      <w:tblPr>
        <w:tblStyle w:val="TableGrid"/>
        <w:tblW w:w="5000" w:type="pct"/>
        <w:jc w:val="center"/>
        <w:tblLook w:val="04A0" w:firstRow="1" w:lastRow="0" w:firstColumn="1" w:lastColumn="0" w:noHBand="0" w:noVBand="1"/>
      </w:tblPr>
      <w:tblGrid>
        <w:gridCol w:w="2263"/>
        <w:gridCol w:w="3031"/>
        <w:gridCol w:w="1449"/>
        <w:gridCol w:w="1497"/>
        <w:gridCol w:w="1495"/>
      </w:tblGrid>
      <w:tr w:rsidR="000145DE" w:rsidRPr="00EB561B" w14:paraId="7D5D7DFE" w14:textId="77777777" w:rsidTr="00B62BFD">
        <w:trPr>
          <w:cantSplit/>
          <w:jc w:val="center"/>
        </w:trPr>
        <w:tc>
          <w:tcPr>
            <w:tcW w:w="5000" w:type="pct"/>
            <w:gridSpan w:val="5"/>
            <w:shd w:val="clear" w:color="auto" w:fill="F2F2F2" w:themeFill="background1" w:themeFillShade="F2"/>
            <w:vAlign w:val="center"/>
          </w:tcPr>
          <w:p w14:paraId="2520FB82" w14:textId="77777777" w:rsidR="000145DE" w:rsidRPr="00367CC8" w:rsidRDefault="000145DE" w:rsidP="00B62BFD">
            <w:pPr>
              <w:pStyle w:val="Heading2"/>
            </w:pPr>
            <w:bookmarkStart w:id="69" w:name="_Toc104910451"/>
            <w:bookmarkStart w:id="70" w:name="_Toc106708898"/>
            <w:r w:rsidRPr="00367CC8">
              <w:t>Acute coronary syndrome</w:t>
            </w:r>
            <w:bookmarkEnd w:id="69"/>
            <w:bookmarkEnd w:id="70"/>
            <w:r w:rsidRPr="00367CC8">
              <w:t xml:space="preserve"> </w:t>
            </w:r>
          </w:p>
        </w:tc>
      </w:tr>
      <w:tr w:rsidR="000145DE" w:rsidRPr="00EB561B" w14:paraId="369437D4" w14:textId="77777777" w:rsidTr="00B62BFD">
        <w:trPr>
          <w:cantSplit/>
          <w:jc w:val="center"/>
        </w:trPr>
        <w:tc>
          <w:tcPr>
            <w:tcW w:w="1162" w:type="pct"/>
            <w:shd w:val="clear" w:color="auto" w:fill="DBE5F1" w:themeFill="accent1" w:themeFillTint="33"/>
            <w:vAlign w:val="center"/>
          </w:tcPr>
          <w:p w14:paraId="06B77C54" w14:textId="77777777" w:rsidR="000145DE" w:rsidRPr="00EB561B" w:rsidRDefault="000145DE" w:rsidP="00B62BFD">
            <w:pPr>
              <w:rPr>
                <w:szCs w:val="22"/>
              </w:rPr>
            </w:pPr>
            <w:r w:rsidRPr="00EB561B">
              <w:rPr>
                <w:b/>
                <w:szCs w:val="22"/>
              </w:rPr>
              <w:t>Dabigatran (Pradaxa</w:t>
            </w:r>
            <w:r w:rsidRPr="00EB561B">
              <w:rPr>
                <w:b/>
                <w:szCs w:val="22"/>
              </w:rPr>
              <w:sym w:font="Symbol" w:char="F0D2"/>
            </w:r>
            <w:r w:rsidRPr="00EB561B">
              <w:rPr>
                <w:b/>
                <w:szCs w:val="22"/>
              </w:rPr>
              <w:t>)</w:t>
            </w:r>
            <w:r w:rsidRPr="00EB561B">
              <w:rPr>
                <w:b/>
                <w:szCs w:val="22"/>
                <w:vertAlign w:val="superscript"/>
              </w:rPr>
              <w:t>1</w:t>
            </w:r>
          </w:p>
        </w:tc>
        <w:tc>
          <w:tcPr>
            <w:tcW w:w="1557" w:type="pct"/>
            <w:shd w:val="clear" w:color="auto" w:fill="F2DBDB" w:themeFill="accent2" w:themeFillTint="33"/>
            <w:vAlign w:val="center"/>
          </w:tcPr>
          <w:p w14:paraId="48294A27" w14:textId="5472CEB1" w:rsidR="000145DE" w:rsidRPr="00EB561B" w:rsidRDefault="000145DE" w:rsidP="00B62BFD">
            <w:pPr>
              <w:rPr>
                <w:bCs/>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r w:rsidR="00E72676" w:rsidRPr="00EB561B">
              <w:rPr>
                <w:b/>
                <w:szCs w:val="22"/>
                <w:vertAlign w:val="superscript"/>
              </w:rPr>
              <w:t>,6</w:t>
            </w:r>
          </w:p>
        </w:tc>
        <w:tc>
          <w:tcPr>
            <w:tcW w:w="744" w:type="pct"/>
            <w:shd w:val="clear" w:color="auto" w:fill="E5DFEC" w:themeFill="accent4" w:themeFillTint="33"/>
            <w:vAlign w:val="center"/>
          </w:tcPr>
          <w:p w14:paraId="730E9760" w14:textId="77777777" w:rsidR="000145DE" w:rsidRPr="00EB561B" w:rsidRDefault="000145DE" w:rsidP="00B62BFD">
            <w:pPr>
              <w:rPr>
                <w:szCs w:val="22"/>
              </w:rPr>
            </w:pPr>
            <w:r w:rsidRPr="00EB561B">
              <w:rPr>
                <w:b/>
                <w:szCs w:val="22"/>
              </w:rPr>
              <w:t>Apixaban (Eliquis</w:t>
            </w:r>
            <w:r w:rsidRPr="00EB561B">
              <w:rPr>
                <w:b/>
                <w:szCs w:val="22"/>
              </w:rPr>
              <w:sym w:font="Symbol" w:char="F0D2"/>
            </w:r>
            <w:r w:rsidRPr="00EB561B">
              <w:rPr>
                <w:b/>
                <w:szCs w:val="22"/>
              </w:rPr>
              <w:t>)</w:t>
            </w:r>
            <w:r w:rsidRPr="00EB561B">
              <w:rPr>
                <w:b/>
                <w:szCs w:val="22"/>
                <w:vertAlign w:val="superscript"/>
              </w:rPr>
              <w:t>3</w:t>
            </w:r>
          </w:p>
        </w:tc>
        <w:tc>
          <w:tcPr>
            <w:tcW w:w="769" w:type="pct"/>
            <w:shd w:val="clear" w:color="auto" w:fill="FDE9D9" w:themeFill="accent6" w:themeFillTint="33"/>
            <w:vAlign w:val="center"/>
          </w:tcPr>
          <w:p w14:paraId="11D23C95" w14:textId="2DB0A383" w:rsidR="000145DE" w:rsidRPr="00EB561B" w:rsidRDefault="000145DE" w:rsidP="00B62BFD">
            <w:pPr>
              <w:rPr>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768" w:type="pct"/>
            <w:shd w:val="clear" w:color="auto" w:fill="DAEEF3" w:themeFill="accent5" w:themeFillTint="33"/>
            <w:vAlign w:val="center"/>
          </w:tcPr>
          <w:p w14:paraId="232AA8A3" w14:textId="4F1E13D8" w:rsidR="000145DE" w:rsidRPr="00EB561B" w:rsidRDefault="000145DE" w:rsidP="00B62BFD">
            <w:pPr>
              <w:rPr>
                <w:b/>
                <w:szCs w:val="22"/>
              </w:rPr>
            </w:pPr>
            <w:r w:rsidRPr="00EB561B">
              <w:rPr>
                <w:b/>
                <w:szCs w:val="22"/>
              </w:rPr>
              <w:t>Warfarin</w:t>
            </w:r>
            <w:r w:rsidR="005924AC" w:rsidRPr="00EB561B">
              <w:rPr>
                <w:b/>
                <w:szCs w:val="22"/>
                <w:vertAlign w:val="superscript"/>
              </w:rPr>
              <w:t>5</w:t>
            </w:r>
            <w:r w:rsidR="009B1367" w:rsidRPr="00EB561B">
              <w:rPr>
                <w:b/>
                <w:szCs w:val="22"/>
                <w:vertAlign w:val="superscript"/>
              </w:rPr>
              <w:t>,6</w:t>
            </w:r>
          </w:p>
        </w:tc>
      </w:tr>
      <w:tr w:rsidR="000145DE" w:rsidRPr="00EB561B" w14:paraId="2C2F2B9A" w14:textId="77777777" w:rsidTr="00B62BFD">
        <w:trPr>
          <w:cantSplit/>
          <w:trHeight w:val="1873"/>
          <w:jc w:val="center"/>
        </w:trPr>
        <w:tc>
          <w:tcPr>
            <w:tcW w:w="1162" w:type="pct"/>
            <w:shd w:val="clear" w:color="auto" w:fill="auto"/>
            <w:vAlign w:val="center"/>
          </w:tcPr>
          <w:p w14:paraId="6F2E85D9" w14:textId="77777777" w:rsidR="000145DE" w:rsidRPr="00625207" w:rsidRDefault="000145DE" w:rsidP="00B62BFD">
            <w:pPr>
              <w:rPr>
                <w:szCs w:val="22"/>
              </w:rPr>
            </w:pPr>
            <w:r w:rsidRPr="00625207">
              <w:rPr>
                <w:szCs w:val="22"/>
              </w:rPr>
              <w:t>Not licensed</w:t>
            </w:r>
          </w:p>
        </w:tc>
        <w:tc>
          <w:tcPr>
            <w:tcW w:w="1557" w:type="pct"/>
            <w:shd w:val="clear" w:color="auto" w:fill="auto"/>
            <w:vAlign w:val="center"/>
          </w:tcPr>
          <w:p w14:paraId="66D1BAC2" w14:textId="3D00BF75" w:rsidR="000145DE" w:rsidRPr="00625207" w:rsidRDefault="000145DE" w:rsidP="00B62BFD">
            <w:pPr>
              <w:rPr>
                <w:szCs w:val="22"/>
              </w:rPr>
            </w:pPr>
            <w:r w:rsidRPr="00625207">
              <w:rPr>
                <w:szCs w:val="22"/>
              </w:rPr>
              <w:t>2.5mg twice daily with aspirin alone or aspirin + clopidogrel</w:t>
            </w:r>
            <w:r w:rsidR="003944F2" w:rsidRPr="00625207">
              <w:rPr>
                <w:szCs w:val="22"/>
              </w:rPr>
              <w:t xml:space="preserve"> or </w:t>
            </w:r>
            <w:r w:rsidRPr="00625207">
              <w:rPr>
                <w:szCs w:val="22"/>
              </w:rPr>
              <w:t>ticlopidine</w:t>
            </w:r>
          </w:p>
          <w:p w14:paraId="16F69818" w14:textId="00197E77" w:rsidR="000145DE" w:rsidRPr="00625207" w:rsidRDefault="000145DE" w:rsidP="00B62BFD">
            <w:pPr>
              <w:rPr>
                <w:szCs w:val="22"/>
              </w:rPr>
            </w:pPr>
            <w:r w:rsidRPr="00625207">
              <w:rPr>
                <w:szCs w:val="22"/>
              </w:rPr>
              <w:t>Review regularly</w:t>
            </w:r>
          </w:p>
          <w:p w14:paraId="0D358E9D" w14:textId="7400CF97" w:rsidR="000145DE" w:rsidRPr="00625207" w:rsidRDefault="000145DE" w:rsidP="00B62BFD">
            <w:pPr>
              <w:rPr>
                <w:szCs w:val="22"/>
              </w:rPr>
            </w:pPr>
            <w:r w:rsidRPr="00625207">
              <w:rPr>
                <w:szCs w:val="22"/>
              </w:rPr>
              <w:t>Extension of treatment beyond 12 months should be done on an individual patient basis as experience up to 24 months is limited</w:t>
            </w:r>
          </w:p>
        </w:tc>
        <w:tc>
          <w:tcPr>
            <w:tcW w:w="744" w:type="pct"/>
            <w:shd w:val="clear" w:color="auto" w:fill="auto"/>
            <w:vAlign w:val="center"/>
          </w:tcPr>
          <w:p w14:paraId="5AACD1DC" w14:textId="77777777" w:rsidR="000145DE" w:rsidRPr="00625207" w:rsidRDefault="000145DE" w:rsidP="00B62BFD">
            <w:pPr>
              <w:rPr>
                <w:szCs w:val="22"/>
              </w:rPr>
            </w:pPr>
            <w:r w:rsidRPr="00625207">
              <w:rPr>
                <w:szCs w:val="22"/>
              </w:rPr>
              <w:t>Not licensed</w:t>
            </w:r>
          </w:p>
        </w:tc>
        <w:tc>
          <w:tcPr>
            <w:tcW w:w="769" w:type="pct"/>
            <w:shd w:val="clear" w:color="auto" w:fill="auto"/>
            <w:vAlign w:val="center"/>
          </w:tcPr>
          <w:p w14:paraId="32FBC0EF" w14:textId="77777777" w:rsidR="000145DE" w:rsidRPr="00625207" w:rsidRDefault="000145DE" w:rsidP="00B62BFD">
            <w:pPr>
              <w:rPr>
                <w:szCs w:val="22"/>
              </w:rPr>
            </w:pPr>
            <w:r w:rsidRPr="00625207">
              <w:rPr>
                <w:szCs w:val="22"/>
              </w:rPr>
              <w:t>Not licensed</w:t>
            </w:r>
          </w:p>
        </w:tc>
        <w:tc>
          <w:tcPr>
            <w:tcW w:w="768" w:type="pct"/>
            <w:vAlign w:val="center"/>
          </w:tcPr>
          <w:p w14:paraId="4BB9A657" w14:textId="26D84F36" w:rsidR="000145DE" w:rsidRPr="00625207" w:rsidRDefault="000145DE" w:rsidP="00B62BFD">
            <w:pPr>
              <w:rPr>
                <w:szCs w:val="22"/>
              </w:rPr>
            </w:pPr>
            <w:r w:rsidRPr="00625207">
              <w:rPr>
                <w:szCs w:val="22"/>
              </w:rPr>
              <w:t>Not licensed</w:t>
            </w:r>
          </w:p>
        </w:tc>
      </w:tr>
    </w:tbl>
    <w:p w14:paraId="2E562D24" w14:textId="77777777" w:rsidR="003C638F" w:rsidRPr="00EB561B" w:rsidRDefault="003C638F" w:rsidP="002E47F4">
      <w:pPr>
        <w:rPr>
          <w:rFonts w:asciiTheme="majorHAnsi" w:hAnsiTheme="majorHAnsi" w:cstheme="majorHAnsi"/>
          <w:szCs w:val="22"/>
        </w:rPr>
      </w:pPr>
    </w:p>
    <w:tbl>
      <w:tblPr>
        <w:tblStyle w:val="TableGrid"/>
        <w:tblW w:w="0" w:type="auto"/>
        <w:jc w:val="center"/>
        <w:tblLook w:val="04A0" w:firstRow="1" w:lastRow="0" w:firstColumn="1" w:lastColumn="0" w:noHBand="0" w:noVBand="1"/>
      </w:tblPr>
      <w:tblGrid>
        <w:gridCol w:w="981"/>
        <w:gridCol w:w="1951"/>
        <w:gridCol w:w="1773"/>
        <w:gridCol w:w="1873"/>
        <w:gridCol w:w="1639"/>
        <w:gridCol w:w="1518"/>
      </w:tblGrid>
      <w:tr w:rsidR="00FA794C" w:rsidRPr="00EB561B" w14:paraId="525EF822" w14:textId="77777777" w:rsidTr="00625207">
        <w:trPr>
          <w:trHeight w:val="340"/>
          <w:jc w:val="center"/>
        </w:trPr>
        <w:tc>
          <w:tcPr>
            <w:tcW w:w="0" w:type="auto"/>
            <w:gridSpan w:val="6"/>
            <w:shd w:val="clear" w:color="auto" w:fill="F2F2F2" w:themeFill="background1" w:themeFillShade="F2"/>
            <w:vAlign w:val="center"/>
          </w:tcPr>
          <w:p w14:paraId="2A1713CA" w14:textId="786322CA" w:rsidR="00FA794C" w:rsidRPr="00EB561B" w:rsidRDefault="00E16E54" w:rsidP="00625207">
            <w:pPr>
              <w:pStyle w:val="Heading2"/>
              <w:rPr>
                <w:color w:val="FF0000"/>
                <w:sz w:val="22"/>
                <w:szCs w:val="22"/>
              </w:rPr>
            </w:pPr>
            <w:bookmarkStart w:id="71" w:name="_Toc104910452"/>
            <w:bookmarkStart w:id="72" w:name="_Toc106708899"/>
            <w:r w:rsidRPr="00EB561B">
              <w:t>Dosage in extremes of body weight</w:t>
            </w:r>
            <w:bookmarkEnd w:id="71"/>
            <w:bookmarkEnd w:id="72"/>
          </w:p>
        </w:tc>
      </w:tr>
      <w:tr w:rsidR="00FE7473" w:rsidRPr="00EB561B" w14:paraId="767992E7" w14:textId="77777777" w:rsidTr="00B62BFD">
        <w:trPr>
          <w:trHeight w:val="605"/>
          <w:jc w:val="center"/>
        </w:trPr>
        <w:tc>
          <w:tcPr>
            <w:tcW w:w="981" w:type="dxa"/>
            <w:shd w:val="clear" w:color="auto" w:fill="F2F2F2" w:themeFill="background1" w:themeFillShade="F2"/>
            <w:vAlign w:val="center"/>
          </w:tcPr>
          <w:p w14:paraId="206222B2" w14:textId="77777777" w:rsidR="00FA794C" w:rsidRPr="00EB561B" w:rsidRDefault="00FA794C" w:rsidP="00625207">
            <w:pPr>
              <w:rPr>
                <w:b/>
                <w:szCs w:val="22"/>
              </w:rPr>
            </w:pPr>
          </w:p>
        </w:tc>
        <w:tc>
          <w:tcPr>
            <w:tcW w:w="1951" w:type="dxa"/>
            <w:shd w:val="clear" w:color="auto" w:fill="DBE5F1" w:themeFill="accent1" w:themeFillTint="33"/>
            <w:vAlign w:val="center"/>
          </w:tcPr>
          <w:p w14:paraId="6FD9C12E" w14:textId="065EA189" w:rsidR="00FA794C" w:rsidRPr="00EB561B" w:rsidRDefault="00FA794C" w:rsidP="00625207">
            <w:pPr>
              <w:rPr>
                <w:b/>
                <w:szCs w:val="22"/>
                <w:lang w:val="it-IT"/>
              </w:rPr>
            </w:pPr>
            <w:r w:rsidRPr="00EB561B">
              <w:rPr>
                <w:b/>
                <w:szCs w:val="22"/>
                <w:lang w:val="it-IT"/>
              </w:rPr>
              <w:t>Dabigatran (Pradaxa)</w:t>
            </w:r>
            <w:r w:rsidRPr="00EB561B">
              <w:rPr>
                <w:b/>
                <w:szCs w:val="22"/>
                <w:vertAlign w:val="superscript"/>
                <w:lang w:val="it-IT"/>
              </w:rPr>
              <w:t>1</w:t>
            </w:r>
          </w:p>
        </w:tc>
        <w:tc>
          <w:tcPr>
            <w:tcW w:w="0" w:type="auto"/>
            <w:shd w:val="clear" w:color="auto" w:fill="F2DBDB" w:themeFill="accent2" w:themeFillTint="33"/>
            <w:vAlign w:val="center"/>
          </w:tcPr>
          <w:p w14:paraId="0FD4FC99" w14:textId="2A0BDC3F" w:rsidR="00FA794C" w:rsidRPr="00EB561B" w:rsidRDefault="00FA794C" w:rsidP="00625207">
            <w:pPr>
              <w:rPr>
                <w:b/>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p>
        </w:tc>
        <w:tc>
          <w:tcPr>
            <w:tcW w:w="1873" w:type="dxa"/>
            <w:shd w:val="clear" w:color="auto" w:fill="E5DFEC" w:themeFill="accent4" w:themeFillTint="33"/>
            <w:vAlign w:val="center"/>
          </w:tcPr>
          <w:p w14:paraId="78EB28DC" w14:textId="5631B7F1" w:rsidR="00FA794C" w:rsidRPr="00EB561B" w:rsidRDefault="00FA794C" w:rsidP="00625207">
            <w:pPr>
              <w:rPr>
                <w:b/>
                <w:szCs w:val="22"/>
              </w:rPr>
            </w:pPr>
            <w:r w:rsidRPr="00EB561B">
              <w:rPr>
                <w:b/>
                <w:szCs w:val="22"/>
              </w:rPr>
              <w:t>Apixaban (Eliquis)</w:t>
            </w:r>
            <w:r w:rsidRPr="00EB561B">
              <w:rPr>
                <w:b/>
                <w:szCs w:val="22"/>
                <w:vertAlign w:val="superscript"/>
              </w:rPr>
              <w:t>3</w:t>
            </w:r>
          </w:p>
        </w:tc>
        <w:tc>
          <w:tcPr>
            <w:tcW w:w="1639" w:type="dxa"/>
            <w:shd w:val="clear" w:color="auto" w:fill="FDE9D9" w:themeFill="accent6" w:themeFillTint="33"/>
            <w:vAlign w:val="center"/>
          </w:tcPr>
          <w:p w14:paraId="708B715C" w14:textId="369C10AB" w:rsidR="00FA794C" w:rsidRPr="00EB561B" w:rsidRDefault="00FA794C" w:rsidP="00625207">
            <w:pPr>
              <w:rPr>
                <w:b/>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1518" w:type="dxa"/>
            <w:shd w:val="clear" w:color="auto" w:fill="EAF1DD" w:themeFill="accent3" w:themeFillTint="33"/>
            <w:vAlign w:val="center"/>
          </w:tcPr>
          <w:p w14:paraId="3088D6ED" w14:textId="345C2005" w:rsidR="00FA794C" w:rsidRPr="00EB561B" w:rsidRDefault="00FA794C" w:rsidP="00B62BFD">
            <w:pPr>
              <w:rPr>
                <w:b/>
                <w:szCs w:val="22"/>
                <w:vertAlign w:val="superscript"/>
              </w:rPr>
            </w:pPr>
            <w:r w:rsidRPr="00EB561B">
              <w:rPr>
                <w:b/>
                <w:szCs w:val="22"/>
              </w:rPr>
              <w:t>Warfarin</w:t>
            </w:r>
            <w:r w:rsidRPr="00EB561B">
              <w:rPr>
                <w:b/>
                <w:szCs w:val="22"/>
                <w:vertAlign w:val="superscript"/>
              </w:rPr>
              <w:t>5</w:t>
            </w:r>
            <w:r w:rsidR="009B1367" w:rsidRPr="00EB561B">
              <w:rPr>
                <w:b/>
                <w:szCs w:val="22"/>
                <w:vertAlign w:val="superscript"/>
              </w:rPr>
              <w:t>,6</w:t>
            </w:r>
          </w:p>
        </w:tc>
      </w:tr>
      <w:tr w:rsidR="00FE7473" w:rsidRPr="00EB561B" w14:paraId="74FEF920" w14:textId="77777777" w:rsidTr="00625207">
        <w:trPr>
          <w:trHeight w:val="729"/>
          <w:jc w:val="center"/>
        </w:trPr>
        <w:tc>
          <w:tcPr>
            <w:tcW w:w="981" w:type="dxa"/>
            <w:shd w:val="clear" w:color="auto" w:fill="F2F2F2" w:themeFill="background1" w:themeFillShade="F2"/>
            <w:vAlign w:val="center"/>
          </w:tcPr>
          <w:p w14:paraId="7235B7EE" w14:textId="302754DF" w:rsidR="00FA794C" w:rsidRPr="00625207" w:rsidRDefault="00876D00" w:rsidP="00625207">
            <w:pPr>
              <w:rPr>
                <w:szCs w:val="22"/>
              </w:rPr>
            </w:pPr>
            <w:r w:rsidRPr="00625207">
              <w:rPr>
                <w:szCs w:val="22"/>
              </w:rPr>
              <w:t>Low body weight</w:t>
            </w:r>
          </w:p>
        </w:tc>
        <w:tc>
          <w:tcPr>
            <w:tcW w:w="1951" w:type="dxa"/>
            <w:shd w:val="clear" w:color="auto" w:fill="auto"/>
            <w:vAlign w:val="center"/>
          </w:tcPr>
          <w:p w14:paraId="11DE176E" w14:textId="760CEC08" w:rsidR="00FA794C" w:rsidRPr="00625207" w:rsidRDefault="00FA794C" w:rsidP="00625207">
            <w:pPr>
              <w:rPr>
                <w:szCs w:val="22"/>
              </w:rPr>
            </w:pPr>
            <w:r w:rsidRPr="00625207">
              <w:rPr>
                <w:szCs w:val="22"/>
              </w:rPr>
              <w:t>No dosage adjustment</w:t>
            </w:r>
            <w:r w:rsidR="00411546" w:rsidRPr="00625207">
              <w:rPr>
                <w:szCs w:val="22"/>
              </w:rPr>
              <w:t>, but close clinical surveillance</w:t>
            </w:r>
            <w:r w:rsidR="00FB4374" w:rsidRPr="00625207">
              <w:rPr>
                <w:szCs w:val="22"/>
              </w:rPr>
              <w:t xml:space="preserve"> if</w:t>
            </w:r>
            <w:r w:rsidR="00411546" w:rsidRPr="00625207">
              <w:rPr>
                <w:szCs w:val="22"/>
              </w:rPr>
              <w:t xml:space="preserve"> </w:t>
            </w:r>
            <w:r w:rsidR="00FB4374" w:rsidRPr="00625207">
              <w:rPr>
                <w:szCs w:val="22"/>
              </w:rPr>
              <w:t>&lt;50Kg</w:t>
            </w:r>
          </w:p>
        </w:tc>
        <w:tc>
          <w:tcPr>
            <w:tcW w:w="0" w:type="auto"/>
            <w:shd w:val="clear" w:color="auto" w:fill="auto"/>
            <w:vAlign w:val="center"/>
          </w:tcPr>
          <w:p w14:paraId="10359514" w14:textId="240D2EDC" w:rsidR="00FA794C" w:rsidRPr="00625207" w:rsidRDefault="00FA794C" w:rsidP="00625207">
            <w:pPr>
              <w:rPr>
                <w:szCs w:val="22"/>
              </w:rPr>
            </w:pPr>
            <w:r w:rsidRPr="00625207">
              <w:rPr>
                <w:szCs w:val="22"/>
              </w:rPr>
              <w:t>No dosage adjustment</w:t>
            </w:r>
          </w:p>
        </w:tc>
        <w:tc>
          <w:tcPr>
            <w:tcW w:w="1873" w:type="dxa"/>
            <w:shd w:val="clear" w:color="auto" w:fill="auto"/>
            <w:vAlign w:val="center"/>
          </w:tcPr>
          <w:p w14:paraId="72A4E9FE" w14:textId="69E61F8B" w:rsidR="00FA794C" w:rsidRPr="00625207" w:rsidRDefault="00AC6602" w:rsidP="00625207">
            <w:pPr>
              <w:rPr>
                <w:szCs w:val="22"/>
              </w:rPr>
            </w:pPr>
            <w:r w:rsidRPr="00625207">
              <w:rPr>
                <w:szCs w:val="22"/>
              </w:rPr>
              <w:t>NVAF -</w:t>
            </w:r>
            <w:r w:rsidR="00732C02">
              <w:rPr>
                <w:szCs w:val="22"/>
              </w:rPr>
              <w:t xml:space="preserve"> </w:t>
            </w:r>
            <w:r w:rsidR="008774E6" w:rsidRPr="00625207">
              <w:rPr>
                <w:szCs w:val="22"/>
              </w:rPr>
              <w:t>2.5mg</w:t>
            </w:r>
            <w:r w:rsidR="006865DC" w:rsidRPr="00625207">
              <w:rPr>
                <w:szCs w:val="22"/>
              </w:rPr>
              <w:t xml:space="preserve"> </w:t>
            </w:r>
            <w:r w:rsidR="00EF47B1">
              <w:rPr>
                <w:szCs w:val="22"/>
              </w:rPr>
              <w:t>twice daily</w:t>
            </w:r>
            <w:r w:rsidR="006865DC" w:rsidRPr="00625207">
              <w:rPr>
                <w:szCs w:val="22"/>
              </w:rPr>
              <w:t xml:space="preserve"> if ≤60Kg</w:t>
            </w:r>
            <w:r w:rsidRPr="00625207">
              <w:rPr>
                <w:szCs w:val="22"/>
              </w:rPr>
              <w:t>; VTE – no dosage adjustment</w:t>
            </w:r>
          </w:p>
        </w:tc>
        <w:tc>
          <w:tcPr>
            <w:tcW w:w="1639" w:type="dxa"/>
            <w:shd w:val="clear" w:color="auto" w:fill="auto"/>
            <w:vAlign w:val="center"/>
          </w:tcPr>
          <w:p w14:paraId="3BB1AB49" w14:textId="43F7407C" w:rsidR="00FA794C" w:rsidRPr="00625207" w:rsidRDefault="0048742D" w:rsidP="00625207">
            <w:pPr>
              <w:rPr>
                <w:szCs w:val="22"/>
              </w:rPr>
            </w:pPr>
            <w:r w:rsidRPr="00625207">
              <w:rPr>
                <w:color w:val="0B0C0C"/>
                <w:szCs w:val="22"/>
                <w:lang w:eastAsia="en-GB"/>
              </w:rPr>
              <w:t xml:space="preserve">≤60Kg - </w:t>
            </w:r>
            <w:r w:rsidR="00307029" w:rsidRPr="00625207">
              <w:rPr>
                <w:color w:val="0B0C0C"/>
                <w:szCs w:val="22"/>
                <w:lang w:eastAsia="en-GB"/>
              </w:rPr>
              <w:t xml:space="preserve">NVAF and VTE </w:t>
            </w:r>
            <w:r w:rsidRPr="00625207">
              <w:rPr>
                <w:color w:val="0B0C0C"/>
                <w:szCs w:val="22"/>
                <w:lang w:eastAsia="en-GB"/>
              </w:rPr>
              <w:t>30mg daily</w:t>
            </w:r>
          </w:p>
        </w:tc>
        <w:tc>
          <w:tcPr>
            <w:tcW w:w="1518" w:type="dxa"/>
            <w:vAlign w:val="center"/>
          </w:tcPr>
          <w:p w14:paraId="2A04ECA8" w14:textId="0C515943" w:rsidR="00FA794C" w:rsidRPr="00625207" w:rsidRDefault="008606A3" w:rsidP="00625207">
            <w:pPr>
              <w:rPr>
                <w:szCs w:val="22"/>
              </w:rPr>
            </w:pPr>
            <w:r w:rsidRPr="00625207">
              <w:rPr>
                <w:szCs w:val="22"/>
              </w:rPr>
              <w:t>Loss of weight may require a d</w:t>
            </w:r>
            <w:r w:rsidR="00BF36BB" w:rsidRPr="00625207">
              <w:rPr>
                <w:szCs w:val="22"/>
              </w:rPr>
              <w:t xml:space="preserve">ose </w:t>
            </w:r>
            <w:r w:rsidR="00204BEB" w:rsidRPr="00625207">
              <w:rPr>
                <w:szCs w:val="22"/>
              </w:rPr>
              <w:t>reduction</w:t>
            </w:r>
          </w:p>
        </w:tc>
      </w:tr>
      <w:tr w:rsidR="00FE7473" w:rsidRPr="00EB561B" w14:paraId="2B2077AD" w14:textId="77777777" w:rsidTr="00625207">
        <w:trPr>
          <w:trHeight w:val="1492"/>
          <w:jc w:val="center"/>
        </w:trPr>
        <w:tc>
          <w:tcPr>
            <w:tcW w:w="981" w:type="dxa"/>
            <w:shd w:val="clear" w:color="auto" w:fill="F2F2F2" w:themeFill="background1" w:themeFillShade="F2"/>
            <w:vAlign w:val="center"/>
          </w:tcPr>
          <w:p w14:paraId="36877352" w14:textId="6817F8EC" w:rsidR="00FA794C" w:rsidRPr="00625207" w:rsidRDefault="00244FE6" w:rsidP="00625207">
            <w:pPr>
              <w:rPr>
                <w:szCs w:val="22"/>
                <w:highlight w:val="yellow"/>
              </w:rPr>
            </w:pPr>
            <w:r w:rsidRPr="00625207">
              <w:rPr>
                <w:szCs w:val="22"/>
              </w:rPr>
              <w:t>&gt;120Kg</w:t>
            </w:r>
          </w:p>
        </w:tc>
        <w:tc>
          <w:tcPr>
            <w:tcW w:w="1951" w:type="dxa"/>
            <w:shd w:val="clear" w:color="auto" w:fill="auto"/>
            <w:vAlign w:val="center"/>
          </w:tcPr>
          <w:p w14:paraId="055FDB0C" w14:textId="77777777" w:rsidR="00FA794C" w:rsidRPr="00625207" w:rsidRDefault="00FA794C" w:rsidP="00625207">
            <w:pPr>
              <w:rPr>
                <w:szCs w:val="22"/>
              </w:rPr>
            </w:pPr>
            <w:r w:rsidRPr="00625207">
              <w:rPr>
                <w:szCs w:val="22"/>
              </w:rPr>
              <w:t>No dosage adjustment</w:t>
            </w:r>
          </w:p>
        </w:tc>
        <w:tc>
          <w:tcPr>
            <w:tcW w:w="0" w:type="auto"/>
            <w:shd w:val="clear" w:color="auto" w:fill="auto"/>
            <w:vAlign w:val="center"/>
          </w:tcPr>
          <w:p w14:paraId="49630F0F" w14:textId="56217AC4" w:rsidR="00FA794C" w:rsidRPr="00625207" w:rsidRDefault="00FA794C" w:rsidP="00625207">
            <w:pPr>
              <w:rPr>
                <w:szCs w:val="22"/>
              </w:rPr>
            </w:pPr>
            <w:r w:rsidRPr="00625207">
              <w:rPr>
                <w:szCs w:val="22"/>
              </w:rPr>
              <w:t>No dosage adjustment</w:t>
            </w:r>
          </w:p>
        </w:tc>
        <w:tc>
          <w:tcPr>
            <w:tcW w:w="1873" w:type="dxa"/>
            <w:shd w:val="clear" w:color="auto" w:fill="auto"/>
            <w:vAlign w:val="center"/>
          </w:tcPr>
          <w:p w14:paraId="78459906" w14:textId="3E152B33" w:rsidR="00FA794C" w:rsidRPr="00625207" w:rsidRDefault="00177E47" w:rsidP="00625207">
            <w:pPr>
              <w:rPr>
                <w:szCs w:val="22"/>
              </w:rPr>
            </w:pPr>
            <w:r w:rsidRPr="00625207">
              <w:rPr>
                <w:szCs w:val="22"/>
              </w:rPr>
              <w:t>No dosage adjustment</w:t>
            </w:r>
          </w:p>
        </w:tc>
        <w:tc>
          <w:tcPr>
            <w:tcW w:w="1639" w:type="dxa"/>
            <w:shd w:val="clear" w:color="auto" w:fill="auto"/>
            <w:vAlign w:val="center"/>
          </w:tcPr>
          <w:p w14:paraId="210C6E92" w14:textId="77777777" w:rsidR="00FA794C" w:rsidRPr="00625207" w:rsidRDefault="00FA794C" w:rsidP="00625207">
            <w:pPr>
              <w:rPr>
                <w:szCs w:val="22"/>
              </w:rPr>
            </w:pPr>
            <w:r w:rsidRPr="00625207">
              <w:rPr>
                <w:szCs w:val="22"/>
              </w:rPr>
              <w:t>No dosage adjustment</w:t>
            </w:r>
          </w:p>
        </w:tc>
        <w:tc>
          <w:tcPr>
            <w:tcW w:w="1518" w:type="dxa"/>
            <w:vAlign w:val="center"/>
          </w:tcPr>
          <w:p w14:paraId="74FAA663" w14:textId="009A1057" w:rsidR="00FA794C" w:rsidRPr="00625207" w:rsidRDefault="008606A3" w:rsidP="00625207">
            <w:pPr>
              <w:rPr>
                <w:szCs w:val="22"/>
              </w:rPr>
            </w:pPr>
            <w:r w:rsidRPr="00625207">
              <w:rPr>
                <w:szCs w:val="22"/>
              </w:rPr>
              <w:t xml:space="preserve">Weight gain may </w:t>
            </w:r>
            <w:r w:rsidR="00204BEB" w:rsidRPr="00625207">
              <w:rPr>
                <w:szCs w:val="22"/>
              </w:rPr>
              <w:t>require dosage increase</w:t>
            </w:r>
          </w:p>
        </w:tc>
      </w:tr>
    </w:tbl>
    <w:p w14:paraId="227915DB" w14:textId="5D901677" w:rsidR="003C638F" w:rsidRPr="00EB561B" w:rsidRDefault="003C638F" w:rsidP="004E1F83">
      <w:pPr>
        <w:pStyle w:val="Heading2"/>
        <w:rPr>
          <w:rFonts w:asciiTheme="majorHAnsi" w:hAnsiTheme="majorHAnsi" w:cstheme="majorHAnsi"/>
        </w:rPr>
      </w:pPr>
    </w:p>
    <w:tbl>
      <w:tblPr>
        <w:tblStyle w:val="TableGrid"/>
        <w:tblW w:w="0" w:type="auto"/>
        <w:jc w:val="center"/>
        <w:tblLook w:val="04A0" w:firstRow="1" w:lastRow="0" w:firstColumn="1" w:lastColumn="0" w:noHBand="0" w:noVBand="1"/>
      </w:tblPr>
      <w:tblGrid>
        <w:gridCol w:w="2047"/>
        <w:gridCol w:w="2236"/>
        <w:gridCol w:w="1837"/>
        <w:gridCol w:w="1903"/>
        <w:gridCol w:w="1712"/>
      </w:tblGrid>
      <w:tr w:rsidR="003C638F" w:rsidRPr="00EB561B" w14:paraId="0B2A71C5" w14:textId="77777777" w:rsidTr="00625207">
        <w:trPr>
          <w:cantSplit/>
          <w:jc w:val="center"/>
        </w:trPr>
        <w:tc>
          <w:tcPr>
            <w:tcW w:w="0" w:type="auto"/>
            <w:gridSpan w:val="5"/>
            <w:shd w:val="clear" w:color="auto" w:fill="F2F2F2" w:themeFill="background1" w:themeFillShade="F2"/>
            <w:vAlign w:val="center"/>
          </w:tcPr>
          <w:p w14:paraId="693757A6" w14:textId="77777777" w:rsidR="003C638F" w:rsidRPr="00367CC8" w:rsidRDefault="003C638F" w:rsidP="00625207">
            <w:pPr>
              <w:pStyle w:val="Heading2"/>
            </w:pPr>
            <w:bookmarkStart w:id="73" w:name="_Toc104910453"/>
            <w:bookmarkStart w:id="74" w:name="_Toc106708900"/>
            <w:r w:rsidRPr="00367CC8">
              <w:t>Method of administration</w:t>
            </w:r>
            <w:bookmarkEnd w:id="73"/>
            <w:bookmarkEnd w:id="74"/>
          </w:p>
        </w:tc>
      </w:tr>
      <w:tr w:rsidR="003C638F" w:rsidRPr="00EB561B" w14:paraId="38C14838" w14:textId="77777777" w:rsidTr="00B62BFD">
        <w:trPr>
          <w:cantSplit/>
          <w:jc w:val="center"/>
        </w:trPr>
        <w:tc>
          <w:tcPr>
            <w:tcW w:w="0" w:type="auto"/>
            <w:shd w:val="clear" w:color="auto" w:fill="DBE5F1" w:themeFill="accent1" w:themeFillTint="33"/>
            <w:vAlign w:val="center"/>
          </w:tcPr>
          <w:p w14:paraId="765B4CB5" w14:textId="77777777" w:rsidR="003C638F" w:rsidRPr="00EB561B" w:rsidRDefault="003C638F" w:rsidP="00625207">
            <w:pPr>
              <w:rPr>
                <w:szCs w:val="22"/>
              </w:rPr>
            </w:pPr>
            <w:r w:rsidRPr="00EB561B">
              <w:rPr>
                <w:b/>
                <w:szCs w:val="22"/>
              </w:rPr>
              <w:t>Dabigatran (Pradaxa</w:t>
            </w:r>
            <w:r w:rsidRPr="00EB561B">
              <w:rPr>
                <w:b/>
                <w:szCs w:val="22"/>
              </w:rPr>
              <w:sym w:font="Symbol" w:char="F0D2"/>
            </w:r>
            <w:r w:rsidRPr="00EB561B">
              <w:rPr>
                <w:b/>
                <w:szCs w:val="22"/>
              </w:rPr>
              <w:t>)</w:t>
            </w:r>
            <w:r w:rsidRPr="00EB561B">
              <w:rPr>
                <w:b/>
                <w:szCs w:val="22"/>
                <w:vertAlign w:val="superscript"/>
              </w:rPr>
              <w:t>1</w:t>
            </w:r>
          </w:p>
        </w:tc>
        <w:tc>
          <w:tcPr>
            <w:tcW w:w="0" w:type="auto"/>
            <w:shd w:val="clear" w:color="auto" w:fill="F2DBDB" w:themeFill="accent2" w:themeFillTint="33"/>
            <w:vAlign w:val="center"/>
          </w:tcPr>
          <w:p w14:paraId="279ABA29" w14:textId="77777777" w:rsidR="003C638F" w:rsidRPr="00EB561B" w:rsidRDefault="003C638F" w:rsidP="00625207">
            <w:pPr>
              <w:rPr>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p>
        </w:tc>
        <w:tc>
          <w:tcPr>
            <w:tcW w:w="0" w:type="auto"/>
            <w:shd w:val="clear" w:color="auto" w:fill="E5DFEC" w:themeFill="accent4" w:themeFillTint="33"/>
            <w:vAlign w:val="center"/>
          </w:tcPr>
          <w:p w14:paraId="75E47ADA" w14:textId="77777777" w:rsidR="003C638F" w:rsidRPr="00EB561B" w:rsidRDefault="003C638F" w:rsidP="00625207">
            <w:pPr>
              <w:rPr>
                <w:szCs w:val="22"/>
              </w:rPr>
            </w:pPr>
            <w:r w:rsidRPr="00EB561B">
              <w:rPr>
                <w:b/>
                <w:szCs w:val="22"/>
              </w:rPr>
              <w:t>Apixaban (Eliquis</w:t>
            </w:r>
            <w:r w:rsidRPr="00EB561B">
              <w:rPr>
                <w:b/>
                <w:szCs w:val="22"/>
              </w:rPr>
              <w:sym w:font="Symbol" w:char="F0D2"/>
            </w:r>
            <w:r w:rsidRPr="00EB561B">
              <w:rPr>
                <w:b/>
                <w:szCs w:val="22"/>
              </w:rPr>
              <w:t>)</w:t>
            </w:r>
            <w:r w:rsidRPr="00EB561B">
              <w:rPr>
                <w:b/>
                <w:szCs w:val="22"/>
                <w:vertAlign w:val="superscript"/>
              </w:rPr>
              <w:t>3</w:t>
            </w:r>
          </w:p>
        </w:tc>
        <w:tc>
          <w:tcPr>
            <w:tcW w:w="0" w:type="auto"/>
            <w:shd w:val="clear" w:color="auto" w:fill="FDE9D9" w:themeFill="accent6" w:themeFillTint="33"/>
            <w:vAlign w:val="center"/>
          </w:tcPr>
          <w:p w14:paraId="5949F3BB" w14:textId="36F83F55" w:rsidR="003C638F" w:rsidRPr="00EB561B" w:rsidRDefault="003C638F" w:rsidP="00625207">
            <w:pPr>
              <w:rPr>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0" w:type="auto"/>
            <w:shd w:val="clear" w:color="auto" w:fill="EAF1DD" w:themeFill="accent3" w:themeFillTint="33"/>
            <w:vAlign w:val="center"/>
          </w:tcPr>
          <w:p w14:paraId="0CA533CF" w14:textId="5335349A" w:rsidR="003C638F" w:rsidRPr="00EB561B" w:rsidRDefault="003C638F" w:rsidP="00B62BFD">
            <w:pPr>
              <w:rPr>
                <w:b/>
                <w:szCs w:val="22"/>
              </w:rPr>
            </w:pPr>
            <w:r w:rsidRPr="00EB561B">
              <w:rPr>
                <w:b/>
                <w:szCs w:val="22"/>
              </w:rPr>
              <w:t>Warfarin</w:t>
            </w:r>
            <w:r w:rsidRPr="00EB561B">
              <w:rPr>
                <w:b/>
                <w:szCs w:val="22"/>
                <w:vertAlign w:val="superscript"/>
              </w:rPr>
              <w:t>5</w:t>
            </w:r>
            <w:r w:rsidR="009B1367" w:rsidRPr="00EB561B">
              <w:rPr>
                <w:b/>
                <w:szCs w:val="22"/>
                <w:vertAlign w:val="superscript"/>
              </w:rPr>
              <w:t>,6</w:t>
            </w:r>
          </w:p>
        </w:tc>
      </w:tr>
      <w:tr w:rsidR="003C638F" w:rsidRPr="00EB561B" w14:paraId="0B3234BA" w14:textId="77777777" w:rsidTr="00B62BFD">
        <w:trPr>
          <w:cantSplit/>
          <w:trHeight w:val="1000"/>
          <w:jc w:val="center"/>
        </w:trPr>
        <w:tc>
          <w:tcPr>
            <w:tcW w:w="0" w:type="auto"/>
            <w:shd w:val="clear" w:color="auto" w:fill="auto"/>
            <w:vAlign w:val="center"/>
          </w:tcPr>
          <w:p w14:paraId="69FC52C6" w14:textId="77777777" w:rsidR="003C638F" w:rsidRPr="00EB561B" w:rsidRDefault="003C638F" w:rsidP="00625207">
            <w:pPr>
              <w:rPr>
                <w:szCs w:val="22"/>
              </w:rPr>
            </w:pPr>
            <w:r w:rsidRPr="00EB561B">
              <w:rPr>
                <w:szCs w:val="22"/>
              </w:rPr>
              <w:t>With or without food</w:t>
            </w:r>
          </w:p>
        </w:tc>
        <w:tc>
          <w:tcPr>
            <w:tcW w:w="0" w:type="auto"/>
            <w:shd w:val="clear" w:color="auto" w:fill="auto"/>
            <w:vAlign w:val="center"/>
          </w:tcPr>
          <w:p w14:paraId="10006C3F" w14:textId="77777777" w:rsidR="003C638F" w:rsidRPr="00EB561B" w:rsidRDefault="003C638F" w:rsidP="00625207">
            <w:pPr>
              <w:rPr>
                <w:szCs w:val="22"/>
              </w:rPr>
            </w:pPr>
            <w:r w:rsidRPr="00EB561B">
              <w:rPr>
                <w:szCs w:val="22"/>
              </w:rPr>
              <w:t>With food</w:t>
            </w:r>
          </w:p>
        </w:tc>
        <w:tc>
          <w:tcPr>
            <w:tcW w:w="0" w:type="auto"/>
            <w:shd w:val="clear" w:color="auto" w:fill="auto"/>
            <w:vAlign w:val="center"/>
          </w:tcPr>
          <w:p w14:paraId="7B455917" w14:textId="77777777" w:rsidR="003C638F" w:rsidRPr="00EB561B" w:rsidRDefault="003C638F" w:rsidP="00625207">
            <w:pPr>
              <w:rPr>
                <w:szCs w:val="22"/>
              </w:rPr>
            </w:pPr>
            <w:r w:rsidRPr="00EB561B">
              <w:rPr>
                <w:szCs w:val="22"/>
              </w:rPr>
              <w:t>With or without food</w:t>
            </w:r>
          </w:p>
        </w:tc>
        <w:tc>
          <w:tcPr>
            <w:tcW w:w="0" w:type="auto"/>
            <w:shd w:val="clear" w:color="auto" w:fill="auto"/>
            <w:vAlign w:val="center"/>
          </w:tcPr>
          <w:p w14:paraId="2E77CE01" w14:textId="77777777" w:rsidR="003C638F" w:rsidRPr="00EB561B" w:rsidRDefault="003C638F" w:rsidP="00625207">
            <w:pPr>
              <w:rPr>
                <w:szCs w:val="22"/>
              </w:rPr>
            </w:pPr>
            <w:r w:rsidRPr="00EB561B">
              <w:rPr>
                <w:szCs w:val="22"/>
              </w:rPr>
              <w:t>With or without food</w:t>
            </w:r>
          </w:p>
        </w:tc>
        <w:tc>
          <w:tcPr>
            <w:tcW w:w="0" w:type="auto"/>
          </w:tcPr>
          <w:p w14:paraId="7A90419E" w14:textId="77777777" w:rsidR="003C638F" w:rsidRPr="00EB561B" w:rsidRDefault="003C638F" w:rsidP="00625207">
            <w:pPr>
              <w:rPr>
                <w:szCs w:val="22"/>
              </w:rPr>
            </w:pPr>
            <w:r w:rsidRPr="00EB561B">
              <w:rPr>
                <w:szCs w:val="22"/>
              </w:rPr>
              <w:t>With or without food</w:t>
            </w:r>
          </w:p>
        </w:tc>
      </w:tr>
    </w:tbl>
    <w:p w14:paraId="16FE9A9D" w14:textId="5DE1E868" w:rsidR="003C638F" w:rsidRDefault="003C638F" w:rsidP="002E47F4">
      <w:pPr>
        <w:rPr>
          <w:rFonts w:asciiTheme="majorHAnsi" w:hAnsiTheme="majorHAnsi" w:cstheme="majorHAnsi"/>
          <w:szCs w:val="22"/>
        </w:rPr>
      </w:pPr>
    </w:p>
    <w:p w14:paraId="3E9DB48C" w14:textId="432445BC" w:rsidR="00B62BFD" w:rsidRDefault="00B62BFD" w:rsidP="002E47F4">
      <w:pPr>
        <w:rPr>
          <w:rFonts w:asciiTheme="majorHAnsi" w:hAnsiTheme="majorHAnsi" w:cstheme="majorHAnsi"/>
          <w:szCs w:val="22"/>
        </w:rPr>
      </w:pPr>
    </w:p>
    <w:p w14:paraId="61942632" w14:textId="0B8A3165" w:rsidR="00B62BFD" w:rsidRDefault="00B62BFD" w:rsidP="002E47F4">
      <w:pPr>
        <w:rPr>
          <w:rFonts w:asciiTheme="majorHAnsi" w:hAnsiTheme="majorHAnsi" w:cstheme="majorHAnsi"/>
          <w:szCs w:val="22"/>
        </w:rPr>
      </w:pPr>
    </w:p>
    <w:p w14:paraId="4F95B261" w14:textId="77777777" w:rsidR="00B62BFD" w:rsidRPr="00EB561B" w:rsidRDefault="00B62BFD" w:rsidP="002E47F4">
      <w:pPr>
        <w:rPr>
          <w:rFonts w:asciiTheme="majorHAnsi" w:hAnsiTheme="majorHAnsi" w:cstheme="majorHAnsi"/>
          <w:szCs w:val="22"/>
        </w:rPr>
      </w:pPr>
    </w:p>
    <w:tbl>
      <w:tblPr>
        <w:tblStyle w:val="TableGrid"/>
        <w:tblpPr w:leftFromText="180" w:rightFromText="180" w:vertAnchor="text" w:horzAnchor="margin" w:tblpY="-292"/>
        <w:tblW w:w="5000" w:type="pct"/>
        <w:tblLayout w:type="fixed"/>
        <w:tblLook w:val="04A0" w:firstRow="1" w:lastRow="0" w:firstColumn="1" w:lastColumn="0" w:noHBand="0" w:noVBand="1"/>
      </w:tblPr>
      <w:tblGrid>
        <w:gridCol w:w="2547"/>
        <w:gridCol w:w="7188"/>
      </w:tblGrid>
      <w:tr w:rsidR="002E47F4" w:rsidRPr="00EB561B" w14:paraId="207CC8C1" w14:textId="77777777" w:rsidTr="00052451">
        <w:trPr>
          <w:cantSplit/>
        </w:trPr>
        <w:tc>
          <w:tcPr>
            <w:tcW w:w="5000" w:type="pct"/>
            <w:gridSpan w:val="2"/>
            <w:shd w:val="clear" w:color="auto" w:fill="F2F2F2" w:themeFill="background1" w:themeFillShade="F2"/>
            <w:vAlign w:val="center"/>
          </w:tcPr>
          <w:p w14:paraId="6A10C5AF" w14:textId="5882A55F" w:rsidR="002E47F4" w:rsidRPr="00EB561B" w:rsidRDefault="00777693" w:rsidP="00625207">
            <w:pPr>
              <w:pStyle w:val="Heading2"/>
            </w:pPr>
            <w:hyperlink w:anchor="Reversal" w:history="1">
              <w:bookmarkStart w:id="75" w:name="_Toc104910454"/>
              <w:bookmarkStart w:id="76" w:name="_Toc106708901"/>
              <w:r w:rsidR="002E47F4" w:rsidRPr="00367CC8">
                <w:t>Reversibility</w:t>
              </w:r>
            </w:hyperlink>
            <w:r w:rsidR="005924AC" w:rsidRPr="002E0A78">
              <w:rPr>
                <w:rStyle w:val="Hyperlink"/>
                <w:rFonts w:cs="Arial"/>
                <w:color w:val="auto"/>
                <w:sz w:val="22"/>
                <w:szCs w:val="22"/>
                <w:u w:val="none"/>
                <w:vertAlign w:val="superscript"/>
              </w:rPr>
              <w:t>1-</w:t>
            </w:r>
            <w:r w:rsidR="00700586" w:rsidRPr="002E0A78">
              <w:rPr>
                <w:rStyle w:val="Hyperlink"/>
                <w:rFonts w:cs="Arial"/>
                <w:color w:val="auto"/>
                <w:sz w:val="22"/>
                <w:szCs w:val="22"/>
                <w:u w:val="none"/>
                <w:vertAlign w:val="superscript"/>
              </w:rPr>
              <w:t>6</w:t>
            </w:r>
            <w:r w:rsidR="002E47F4" w:rsidRPr="00EB561B">
              <w:t xml:space="preserve"> </w:t>
            </w:r>
            <w:r w:rsidR="004B2933">
              <w:t>(</w:t>
            </w:r>
            <w:r w:rsidR="00745971" w:rsidRPr="00EB561B">
              <w:t>Also s</w:t>
            </w:r>
            <w:r w:rsidR="002E47F4" w:rsidRPr="00EB561B">
              <w:t xml:space="preserve">ee </w:t>
            </w:r>
            <w:r w:rsidR="00745971" w:rsidRPr="00EB561B">
              <w:t>reversal of anticoagulation b</w:t>
            </w:r>
            <w:r w:rsidR="002E47F4" w:rsidRPr="00EB561B">
              <w:t>elow</w:t>
            </w:r>
            <w:bookmarkEnd w:id="75"/>
            <w:r w:rsidR="004B2933">
              <w:t>)</w:t>
            </w:r>
            <w:bookmarkEnd w:id="76"/>
            <w:r w:rsidR="002E47F4" w:rsidRPr="00EB561B">
              <w:t xml:space="preserve"> </w:t>
            </w:r>
          </w:p>
        </w:tc>
      </w:tr>
      <w:tr w:rsidR="00625207" w:rsidRPr="00EB561B" w14:paraId="38222F94" w14:textId="77777777" w:rsidTr="00C05B7F">
        <w:trPr>
          <w:cantSplit/>
          <w:trHeight w:val="637"/>
        </w:trPr>
        <w:tc>
          <w:tcPr>
            <w:tcW w:w="1308" w:type="pct"/>
            <w:shd w:val="clear" w:color="auto" w:fill="DBE5F1" w:themeFill="accent1" w:themeFillTint="33"/>
            <w:vAlign w:val="center"/>
          </w:tcPr>
          <w:p w14:paraId="7B94885E" w14:textId="720637B8" w:rsidR="00625207" w:rsidRPr="00C05B7F" w:rsidRDefault="00625207" w:rsidP="00C05B7F">
            <w:pPr>
              <w:rPr>
                <w:b/>
                <w:bCs/>
              </w:rPr>
            </w:pPr>
            <w:r w:rsidRPr="00C05B7F">
              <w:rPr>
                <w:b/>
                <w:bCs/>
              </w:rPr>
              <w:t>Dabigatran (Pradaxa</w:t>
            </w:r>
            <w:r w:rsidRPr="00C05B7F">
              <w:rPr>
                <w:b/>
                <w:bCs/>
              </w:rPr>
              <w:sym w:font="Symbol" w:char="F0D2"/>
            </w:r>
            <w:r w:rsidRPr="00C05B7F">
              <w:rPr>
                <w:b/>
                <w:bCs/>
              </w:rPr>
              <w:t>)</w:t>
            </w:r>
            <w:r w:rsidRPr="00C05B7F">
              <w:rPr>
                <w:b/>
                <w:bCs/>
                <w:vertAlign w:val="superscript"/>
              </w:rPr>
              <w:t>1</w:t>
            </w:r>
          </w:p>
        </w:tc>
        <w:tc>
          <w:tcPr>
            <w:tcW w:w="3692" w:type="pct"/>
            <w:shd w:val="clear" w:color="auto" w:fill="auto"/>
            <w:vAlign w:val="center"/>
          </w:tcPr>
          <w:p w14:paraId="46B7B2F9" w14:textId="77777777" w:rsidR="00625207" w:rsidRDefault="00625207" w:rsidP="00870046">
            <w:pPr>
              <w:spacing w:before="40" w:after="40"/>
            </w:pPr>
            <w:proofErr w:type="spellStart"/>
            <w:r>
              <w:t>Idarucizumab</w:t>
            </w:r>
            <w:proofErr w:type="spellEnd"/>
            <w:r>
              <w:t xml:space="preserve"> (</w:t>
            </w:r>
            <w:proofErr w:type="spellStart"/>
            <w:r>
              <w:t>Praxbind</w:t>
            </w:r>
            <w:proofErr w:type="spellEnd"/>
            <w:r>
              <w:t xml:space="preserve">®) </w:t>
            </w:r>
          </w:p>
          <w:p w14:paraId="7D4E1901" w14:textId="35100456" w:rsidR="00625207" w:rsidRDefault="00625207" w:rsidP="00870046">
            <w:pPr>
              <w:spacing w:before="40" w:after="40"/>
            </w:pPr>
            <w:r>
              <w:t>Priced at £2,400 per dose (2 x 50g vials)</w:t>
            </w:r>
            <w:r w:rsidRPr="00943B56">
              <w:rPr>
                <w:vertAlign w:val="superscript"/>
              </w:rPr>
              <w:t>6,2</w:t>
            </w:r>
            <w:r w:rsidR="00870046">
              <w:rPr>
                <w:vertAlign w:val="superscript"/>
              </w:rPr>
              <w:t>8</w:t>
            </w:r>
          </w:p>
        </w:tc>
      </w:tr>
      <w:tr w:rsidR="00625207" w:rsidRPr="00EB561B" w14:paraId="4EEEB367" w14:textId="77777777" w:rsidTr="00C05B7F">
        <w:trPr>
          <w:cantSplit/>
          <w:trHeight w:val="636"/>
        </w:trPr>
        <w:tc>
          <w:tcPr>
            <w:tcW w:w="1308" w:type="pct"/>
            <w:shd w:val="clear" w:color="auto" w:fill="F2DBDB" w:themeFill="accent2" w:themeFillTint="33"/>
            <w:vAlign w:val="center"/>
          </w:tcPr>
          <w:p w14:paraId="62A4D946" w14:textId="73948C9F" w:rsidR="00625207" w:rsidRPr="00C05B7F" w:rsidRDefault="00625207" w:rsidP="00C05B7F">
            <w:pPr>
              <w:rPr>
                <w:b/>
                <w:bCs/>
              </w:rPr>
            </w:pPr>
            <w:r w:rsidRPr="00C05B7F">
              <w:rPr>
                <w:b/>
                <w:bCs/>
              </w:rPr>
              <w:t>Rivaroxaban (Xarelto</w:t>
            </w:r>
            <w:r w:rsidRPr="00C05B7F">
              <w:rPr>
                <w:b/>
                <w:bCs/>
              </w:rPr>
              <w:sym w:font="Symbol" w:char="F0D2"/>
            </w:r>
            <w:r w:rsidRPr="00C05B7F">
              <w:rPr>
                <w:rFonts w:cs="Arial"/>
                <w:b/>
                <w:bCs/>
              </w:rPr>
              <w:t>▼</w:t>
            </w:r>
            <w:r w:rsidRPr="00C05B7F">
              <w:rPr>
                <w:b/>
                <w:bCs/>
              </w:rPr>
              <w:t>)</w:t>
            </w:r>
            <w:r w:rsidRPr="00C05B7F">
              <w:rPr>
                <w:b/>
                <w:bCs/>
                <w:vertAlign w:val="superscript"/>
              </w:rPr>
              <w:t>2</w:t>
            </w:r>
          </w:p>
        </w:tc>
        <w:tc>
          <w:tcPr>
            <w:tcW w:w="3692" w:type="pct"/>
            <w:shd w:val="clear" w:color="auto" w:fill="auto"/>
            <w:vAlign w:val="center"/>
          </w:tcPr>
          <w:p w14:paraId="31771847" w14:textId="77777777" w:rsidR="00625207" w:rsidRDefault="00625207" w:rsidP="00870046">
            <w:pPr>
              <w:spacing w:before="40" w:after="40"/>
            </w:pPr>
            <w:r>
              <w:t>Andexanet alfa (</w:t>
            </w:r>
            <w:proofErr w:type="spellStart"/>
            <w:r>
              <w:t>Ondexxya</w:t>
            </w:r>
            <w:proofErr w:type="spellEnd"/>
            <w:r>
              <w:t xml:space="preserve">®) </w:t>
            </w:r>
          </w:p>
          <w:p w14:paraId="1B21D1C4" w14:textId="77777777" w:rsidR="00625207" w:rsidRDefault="00625207" w:rsidP="00870046">
            <w:pPr>
              <w:spacing w:before="40" w:after="40"/>
            </w:pPr>
            <w:r>
              <w:t>Priced at £11,100 for 4 vials of 200mg powder for solution for infusion</w:t>
            </w:r>
          </w:p>
          <w:p w14:paraId="7B791481" w14:textId="77777777" w:rsidR="00625207" w:rsidRDefault="00625207" w:rsidP="00870046">
            <w:pPr>
              <w:spacing w:before="40" w:after="40"/>
            </w:pPr>
            <w:r>
              <w:t xml:space="preserve">Low dose – 5 vials = £13,875 </w:t>
            </w:r>
          </w:p>
          <w:p w14:paraId="6F14A3ED" w14:textId="3B4163DB" w:rsidR="00625207" w:rsidRDefault="00625207" w:rsidP="00870046">
            <w:pPr>
              <w:spacing w:before="40" w:after="40"/>
            </w:pPr>
            <w:r>
              <w:t>High dose – 9 vials = £24,975</w:t>
            </w:r>
            <w:r w:rsidRPr="00943B56">
              <w:rPr>
                <w:vertAlign w:val="superscript"/>
              </w:rPr>
              <w:t>6,2</w:t>
            </w:r>
            <w:r w:rsidR="00870046">
              <w:rPr>
                <w:vertAlign w:val="superscript"/>
              </w:rPr>
              <w:t>9</w:t>
            </w:r>
          </w:p>
          <w:p w14:paraId="685639A7" w14:textId="40934271" w:rsidR="00625207" w:rsidRDefault="00625207" w:rsidP="00870046">
            <w:pPr>
              <w:spacing w:before="40" w:after="40"/>
            </w:pPr>
            <w:r>
              <w:t>Activated charcoal may be considered</w:t>
            </w:r>
          </w:p>
        </w:tc>
      </w:tr>
      <w:tr w:rsidR="00625207" w:rsidRPr="00EB561B" w14:paraId="6945F451" w14:textId="77777777" w:rsidTr="00C05B7F">
        <w:trPr>
          <w:cantSplit/>
          <w:trHeight w:val="636"/>
        </w:trPr>
        <w:tc>
          <w:tcPr>
            <w:tcW w:w="1308" w:type="pct"/>
            <w:shd w:val="clear" w:color="auto" w:fill="E5DFEC" w:themeFill="accent4" w:themeFillTint="33"/>
            <w:vAlign w:val="center"/>
          </w:tcPr>
          <w:p w14:paraId="3D4AFD0D" w14:textId="2C616EE1" w:rsidR="00625207" w:rsidRPr="00C05B7F" w:rsidRDefault="00625207" w:rsidP="00C05B7F">
            <w:pPr>
              <w:rPr>
                <w:b/>
                <w:bCs/>
              </w:rPr>
            </w:pPr>
            <w:r w:rsidRPr="00C05B7F">
              <w:rPr>
                <w:b/>
                <w:bCs/>
              </w:rPr>
              <w:t xml:space="preserve">Apixaban </w:t>
            </w:r>
            <w:r w:rsidR="007D1B0D">
              <w:rPr>
                <w:b/>
                <w:bCs/>
              </w:rPr>
              <w:t xml:space="preserve">    </w:t>
            </w:r>
            <w:r w:rsidRPr="00C05B7F">
              <w:rPr>
                <w:b/>
                <w:bCs/>
              </w:rPr>
              <w:t>(Eliquis</w:t>
            </w:r>
            <w:r w:rsidRPr="00C05B7F">
              <w:rPr>
                <w:b/>
                <w:bCs/>
              </w:rPr>
              <w:sym w:font="Symbol" w:char="F0D2"/>
            </w:r>
            <w:r w:rsidRPr="00C05B7F">
              <w:rPr>
                <w:b/>
                <w:bCs/>
              </w:rPr>
              <w:t>)</w:t>
            </w:r>
            <w:r w:rsidRPr="00C05B7F">
              <w:rPr>
                <w:b/>
                <w:bCs/>
                <w:vertAlign w:val="superscript"/>
              </w:rPr>
              <w:t>3</w:t>
            </w:r>
          </w:p>
        </w:tc>
        <w:tc>
          <w:tcPr>
            <w:tcW w:w="3692" w:type="pct"/>
            <w:shd w:val="clear" w:color="auto" w:fill="auto"/>
            <w:vAlign w:val="center"/>
          </w:tcPr>
          <w:p w14:paraId="6F2F526D" w14:textId="77777777" w:rsidR="00625207" w:rsidRDefault="00625207" w:rsidP="00870046">
            <w:pPr>
              <w:spacing w:before="40" w:after="40"/>
            </w:pPr>
            <w:r>
              <w:t>Andexanet alfa (</w:t>
            </w:r>
            <w:proofErr w:type="spellStart"/>
            <w:r>
              <w:t>Ondexxya</w:t>
            </w:r>
            <w:proofErr w:type="spellEnd"/>
            <w:r>
              <w:t>®)</w:t>
            </w:r>
          </w:p>
          <w:p w14:paraId="3936EC64" w14:textId="77777777" w:rsidR="00625207" w:rsidRDefault="00625207" w:rsidP="00870046">
            <w:pPr>
              <w:spacing w:before="40" w:after="40"/>
            </w:pPr>
            <w:r>
              <w:t xml:space="preserve">Priced at £11,100 for 4 vials of 200mg powder for solution for infusion </w:t>
            </w:r>
          </w:p>
          <w:p w14:paraId="0B1782CF" w14:textId="77777777" w:rsidR="00625207" w:rsidRDefault="00625207" w:rsidP="00870046">
            <w:pPr>
              <w:spacing w:before="40" w:after="40"/>
            </w:pPr>
            <w:r>
              <w:t xml:space="preserve">Low dose – 5 vials = £13,875 </w:t>
            </w:r>
          </w:p>
          <w:p w14:paraId="200207CF" w14:textId="6CA82788" w:rsidR="00625207" w:rsidRDefault="00625207" w:rsidP="00870046">
            <w:pPr>
              <w:spacing w:before="40" w:after="40"/>
            </w:pPr>
            <w:r>
              <w:t>High dose – 9 vials = £24,975</w:t>
            </w:r>
            <w:r w:rsidRPr="00943B56">
              <w:rPr>
                <w:vertAlign w:val="superscript"/>
              </w:rPr>
              <w:t>6,2</w:t>
            </w:r>
            <w:r w:rsidR="00870046">
              <w:rPr>
                <w:vertAlign w:val="superscript"/>
              </w:rPr>
              <w:t>9</w:t>
            </w:r>
          </w:p>
          <w:p w14:paraId="36655A4C" w14:textId="0CFE9861" w:rsidR="00625207" w:rsidRDefault="00625207" w:rsidP="00870046">
            <w:pPr>
              <w:spacing w:before="40" w:after="40"/>
            </w:pPr>
            <w:r>
              <w:t xml:space="preserve">Prothrombin complex concentrates (PCC) or recombinant factor </w:t>
            </w:r>
            <w:proofErr w:type="spellStart"/>
            <w:r>
              <w:t>VIIa</w:t>
            </w:r>
            <w:proofErr w:type="spellEnd"/>
            <w:r>
              <w:t xml:space="preserve"> may be considered for life threatening situations</w:t>
            </w:r>
          </w:p>
        </w:tc>
      </w:tr>
      <w:tr w:rsidR="00625207" w:rsidRPr="00EB561B" w14:paraId="05335810" w14:textId="77777777" w:rsidTr="00C05B7F">
        <w:trPr>
          <w:cantSplit/>
          <w:trHeight w:val="636"/>
        </w:trPr>
        <w:tc>
          <w:tcPr>
            <w:tcW w:w="1308" w:type="pct"/>
            <w:shd w:val="clear" w:color="auto" w:fill="FDE9D9" w:themeFill="accent6" w:themeFillTint="33"/>
            <w:vAlign w:val="center"/>
          </w:tcPr>
          <w:p w14:paraId="5375BAD0" w14:textId="2BB2D19F" w:rsidR="00625207" w:rsidRPr="00C05B7F" w:rsidRDefault="00625207" w:rsidP="00C05B7F">
            <w:pPr>
              <w:rPr>
                <w:b/>
                <w:bCs/>
              </w:rPr>
            </w:pPr>
            <w:r w:rsidRPr="00C05B7F">
              <w:rPr>
                <w:b/>
                <w:bCs/>
              </w:rPr>
              <w:t xml:space="preserve">Edoxaban </w:t>
            </w:r>
            <w:r w:rsidR="007D1B0D">
              <w:rPr>
                <w:b/>
                <w:bCs/>
              </w:rPr>
              <w:t xml:space="preserve">  </w:t>
            </w:r>
            <w:r w:rsidRPr="00C05B7F">
              <w:rPr>
                <w:b/>
                <w:bCs/>
              </w:rPr>
              <w:t>(Lixiana</w:t>
            </w:r>
            <w:r w:rsidRPr="00C05B7F">
              <w:rPr>
                <w:b/>
                <w:bCs/>
              </w:rPr>
              <w:sym w:font="Symbol" w:char="F0D2"/>
            </w:r>
            <w:r w:rsidRPr="00C05B7F">
              <w:rPr>
                <w:b/>
                <w:bCs/>
              </w:rPr>
              <w:t>)</w:t>
            </w:r>
            <w:r w:rsidRPr="00C05B7F">
              <w:rPr>
                <w:b/>
                <w:bCs/>
                <w:vertAlign w:val="superscript"/>
              </w:rPr>
              <w:t>4</w:t>
            </w:r>
          </w:p>
        </w:tc>
        <w:tc>
          <w:tcPr>
            <w:tcW w:w="3692" w:type="pct"/>
            <w:shd w:val="clear" w:color="auto" w:fill="auto"/>
            <w:vAlign w:val="center"/>
          </w:tcPr>
          <w:p w14:paraId="2986D8C4" w14:textId="4EFB8B9F" w:rsidR="00C05B7F" w:rsidRDefault="00C05B7F" w:rsidP="00C05B7F">
            <w:r>
              <w:t xml:space="preserve">No antidote </w:t>
            </w:r>
          </w:p>
          <w:p w14:paraId="0D35D00D" w14:textId="46686F22" w:rsidR="00C05B7F" w:rsidRDefault="00C05B7F" w:rsidP="00C05B7F">
            <w:r>
              <w:t>Early administration of activated charcoal may be considered in case of edoxaban overdose to reduce absorption</w:t>
            </w:r>
          </w:p>
          <w:p w14:paraId="3BBAB80B" w14:textId="0A018DD0" w:rsidR="002E0A78" w:rsidRPr="00870046" w:rsidRDefault="002E0A78" w:rsidP="00870046">
            <w:pPr>
              <w:pStyle w:val="pf0"/>
              <w:rPr>
                <w:rFonts w:ascii="Arial" w:hAnsi="Arial"/>
                <w:sz w:val="22"/>
                <w:lang w:eastAsia="en-US"/>
              </w:rPr>
            </w:pPr>
            <w:r w:rsidRPr="002E0A78">
              <w:rPr>
                <w:rFonts w:ascii="Arial" w:hAnsi="Arial"/>
                <w:sz w:val="22"/>
                <w:lang w:eastAsia="en-US"/>
              </w:rPr>
              <w:t xml:space="preserve">For life-threatening bleeding that cannot be controlled with the measures such as transfusion or haemostasis, the administration of a 4-factor prothrombin complex concentrate (PCC) at 50 IU/kg has been shown to reverse the effects of edoxaban 30 minutes after completing the infusion. Recombinant factor </w:t>
            </w:r>
            <w:proofErr w:type="spellStart"/>
            <w:r w:rsidRPr="002E0A78">
              <w:rPr>
                <w:rFonts w:ascii="Arial" w:hAnsi="Arial"/>
                <w:sz w:val="22"/>
                <w:lang w:eastAsia="en-US"/>
              </w:rPr>
              <w:t>VIIa</w:t>
            </w:r>
            <w:proofErr w:type="spellEnd"/>
            <w:r w:rsidRPr="002E0A78">
              <w:rPr>
                <w:rFonts w:ascii="Arial" w:hAnsi="Arial"/>
                <w:sz w:val="22"/>
                <w:lang w:eastAsia="en-US"/>
              </w:rPr>
              <w:t xml:space="preserve"> (r-</w:t>
            </w:r>
            <w:proofErr w:type="spellStart"/>
            <w:r w:rsidRPr="002E0A78">
              <w:rPr>
                <w:rFonts w:ascii="Arial" w:hAnsi="Arial"/>
                <w:sz w:val="22"/>
                <w:lang w:eastAsia="en-US"/>
              </w:rPr>
              <w:t>FVIIa</w:t>
            </w:r>
            <w:proofErr w:type="spellEnd"/>
            <w:r w:rsidRPr="002E0A78">
              <w:rPr>
                <w:rFonts w:ascii="Arial" w:hAnsi="Arial"/>
                <w:sz w:val="22"/>
                <w:lang w:eastAsia="en-US"/>
              </w:rPr>
              <w:t>) can also be considered. However, there is limited clinical experience with the use of this product in individuals receiving edoxaban.</w:t>
            </w:r>
          </w:p>
        </w:tc>
      </w:tr>
      <w:tr w:rsidR="00625207" w:rsidRPr="00EB561B" w14:paraId="547ABF91" w14:textId="77777777" w:rsidTr="00B62BFD">
        <w:trPr>
          <w:cantSplit/>
          <w:trHeight w:val="636"/>
        </w:trPr>
        <w:tc>
          <w:tcPr>
            <w:tcW w:w="1308" w:type="pct"/>
            <w:shd w:val="clear" w:color="auto" w:fill="EAF1DD" w:themeFill="accent3" w:themeFillTint="33"/>
            <w:vAlign w:val="center"/>
          </w:tcPr>
          <w:p w14:paraId="41EE4368" w14:textId="0C4A4DDB" w:rsidR="00625207" w:rsidRPr="00C05B7F" w:rsidRDefault="00625207" w:rsidP="00C05B7F">
            <w:pPr>
              <w:rPr>
                <w:b/>
                <w:bCs/>
              </w:rPr>
            </w:pPr>
            <w:r w:rsidRPr="00C05B7F">
              <w:rPr>
                <w:b/>
                <w:bCs/>
              </w:rPr>
              <w:t>Warfarin</w:t>
            </w:r>
            <w:r w:rsidRPr="00C05B7F">
              <w:rPr>
                <w:b/>
                <w:bCs/>
                <w:vertAlign w:val="superscript"/>
              </w:rPr>
              <w:t>5</w:t>
            </w:r>
          </w:p>
        </w:tc>
        <w:tc>
          <w:tcPr>
            <w:tcW w:w="3692" w:type="pct"/>
            <w:shd w:val="clear" w:color="auto" w:fill="auto"/>
            <w:vAlign w:val="center"/>
          </w:tcPr>
          <w:p w14:paraId="1E1F5337" w14:textId="032D4CC7" w:rsidR="00C05B7F" w:rsidRDefault="00C05B7F" w:rsidP="00C05B7F">
            <w:r>
              <w:t xml:space="preserve">Major bleeding - stop warfarin give </w:t>
            </w:r>
            <w:proofErr w:type="spellStart"/>
            <w:r>
              <w:t>phytomenadione</w:t>
            </w:r>
            <w:proofErr w:type="spellEnd"/>
            <w:r>
              <w:t xml:space="preserve"> (vitamin K1) by slow intravenous injection; give dried prothrombin complex (factors II, VII, IX, and X); if dried prothrombin complex unavailable, fresh frozen plasma can be given but is less effective; recombinant factor </w:t>
            </w:r>
            <w:proofErr w:type="spellStart"/>
            <w:r>
              <w:t>VIIa</w:t>
            </w:r>
            <w:proofErr w:type="spellEnd"/>
            <w:r>
              <w:t xml:space="preserve"> is not recommended for emergency anticoagulation reversal</w:t>
            </w:r>
            <w:r w:rsidR="00EE5E8C">
              <w:rPr>
                <w:vertAlign w:val="superscript"/>
              </w:rPr>
              <w:t>6</w:t>
            </w:r>
          </w:p>
          <w:p w14:paraId="40DDB7FF" w14:textId="3077C208" w:rsidR="00C05B7F" w:rsidRDefault="00C05B7F" w:rsidP="005C38D5">
            <w:pPr>
              <w:spacing w:before="0" w:after="0"/>
            </w:pPr>
            <w:r>
              <w:t>INR &gt;8.0, minor bleeding - stop</w:t>
            </w:r>
            <w:r w:rsidR="00C71032">
              <w:t xml:space="preserve"> </w:t>
            </w:r>
            <w:r>
              <w:t>warfarin sodium; give</w:t>
            </w:r>
            <w:r w:rsidR="00C71032">
              <w:t xml:space="preserve"> </w:t>
            </w:r>
            <w:proofErr w:type="spellStart"/>
            <w:r>
              <w:t>phytomenadione</w:t>
            </w:r>
            <w:proofErr w:type="spellEnd"/>
          </w:p>
          <w:p w14:paraId="14E884A9" w14:textId="2AB51D02" w:rsidR="00C05B7F" w:rsidRDefault="00C05B7F" w:rsidP="005C38D5">
            <w:pPr>
              <w:spacing w:before="0" w:after="0"/>
            </w:pPr>
            <w:r>
              <w:t>(vitamin K1) by slow intravenous injection; repeat dose</w:t>
            </w:r>
            <w:r w:rsidR="00C71032">
              <w:t xml:space="preserve"> </w:t>
            </w:r>
            <w:r>
              <w:t xml:space="preserve">of </w:t>
            </w:r>
            <w:proofErr w:type="spellStart"/>
            <w:r>
              <w:t>phytomenadione</w:t>
            </w:r>
            <w:proofErr w:type="spellEnd"/>
            <w:r>
              <w:t xml:space="preserve"> if INR still too high after 24 hours; restart warfarin sodium when INR &lt;5.0</w:t>
            </w:r>
            <w:r w:rsidR="00EE5E8C">
              <w:rPr>
                <w:vertAlign w:val="superscript"/>
              </w:rPr>
              <w:t>6</w:t>
            </w:r>
          </w:p>
          <w:p w14:paraId="1D1AAFDF" w14:textId="77777777" w:rsidR="004B2933" w:rsidRDefault="004B2933" w:rsidP="005C38D5">
            <w:pPr>
              <w:spacing w:before="0" w:after="0"/>
            </w:pPr>
          </w:p>
          <w:p w14:paraId="2E617D9D" w14:textId="3612E564" w:rsidR="00C05B7F" w:rsidRDefault="00C05B7F" w:rsidP="00416D06">
            <w:pPr>
              <w:spacing w:before="0" w:after="0"/>
            </w:pPr>
            <w:r>
              <w:t xml:space="preserve">INR &gt;8.0, no bleeding - stop warfarin sodium; give </w:t>
            </w:r>
            <w:proofErr w:type="spellStart"/>
            <w:r>
              <w:t>phytomenadione</w:t>
            </w:r>
            <w:proofErr w:type="spellEnd"/>
            <w:r>
              <w:t xml:space="preserve"> </w:t>
            </w:r>
          </w:p>
          <w:p w14:paraId="6D1CC287" w14:textId="01C2A5A1" w:rsidR="00C05B7F" w:rsidRDefault="00C05B7F" w:rsidP="00416D06">
            <w:pPr>
              <w:spacing w:before="0" w:after="0"/>
            </w:pPr>
            <w:r>
              <w:t xml:space="preserve">(vitamin K1) by mouth using the intravenous preparation orally [unlicensed use]; repeat dose of </w:t>
            </w:r>
            <w:proofErr w:type="spellStart"/>
            <w:r>
              <w:t>phytomenadione</w:t>
            </w:r>
            <w:proofErr w:type="spellEnd"/>
            <w:r>
              <w:t xml:space="preserve"> if INR still too high after 24 hours; restart warfarin when INR &lt;5.0</w:t>
            </w:r>
            <w:r w:rsidR="00EE5E8C">
              <w:rPr>
                <w:vertAlign w:val="superscript"/>
              </w:rPr>
              <w:t>6</w:t>
            </w:r>
          </w:p>
          <w:p w14:paraId="09A4E478" w14:textId="02E72623" w:rsidR="00C05B7F" w:rsidRDefault="00C05B7F" w:rsidP="00C05B7F">
            <w:r>
              <w:t xml:space="preserve">INR 5.0–8.0, minor bleeding – stop warfarin sodium; give </w:t>
            </w:r>
            <w:proofErr w:type="spellStart"/>
            <w:r>
              <w:t>phytomenadione</w:t>
            </w:r>
            <w:proofErr w:type="spellEnd"/>
            <w:r>
              <w:t xml:space="preserve"> (vitamin K1) by slow intravenous injection; restart warfarin sodium when INR &lt;5.0</w:t>
            </w:r>
            <w:r w:rsidR="00D932FA">
              <w:rPr>
                <w:vertAlign w:val="superscript"/>
              </w:rPr>
              <w:t>6</w:t>
            </w:r>
          </w:p>
          <w:p w14:paraId="6C7BCC69" w14:textId="296C316A" w:rsidR="00C05B7F" w:rsidRDefault="00C05B7F" w:rsidP="00C05B7F">
            <w:r>
              <w:t>INR 5.0–8.0, no bleeding - withhold 1 or 2 doses of warfarin sodium and reduce subsequent maintenance dose</w:t>
            </w:r>
            <w:r w:rsidR="00D932FA">
              <w:rPr>
                <w:vertAlign w:val="superscript"/>
              </w:rPr>
              <w:t>6</w:t>
            </w:r>
          </w:p>
          <w:p w14:paraId="1DC61E07" w14:textId="72A26F57" w:rsidR="00625207" w:rsidRDefault="00C05B7F" w:rsidP="00C05B7F">
            <w:r>
              <w:t>Unexpected bleeding at therapeutic levels - always investigate possibility of underlying cause e.g. unsuspected renal or gastro-intestinal tract pathology</w:t>
            </w:r>
            <w:r w:rsidR="00D932FA">
              <w:rPr>
                <w:vertAlign w:val="superscript"/>
              </w:rPr>
              <w:t>6</w:t>
            </w:r>
          </w:p>
        </w:tc>
      </w:tr>
    </w:tbl>
    <w:p w14:paraId="1EE3803E" w14:textId="77777777" w:rsidR="00773024" w:rsidRDefault="00773024" w:rsidP="00C05B7F">
      <w:pPr>
        <w:pStyle w:val="Heading2"/>
      </w:pPr>
      <w:bookmarkStart w:id="77" w:name="_Toc104910455"/>
    </w:p>
    <w:p w14:paraId="1BC33DFD" w14:textId="74669809" w:rsidR="0010338F" w:rsidRPr="00367CC8" w:rsidRDefault="0010338F" w:rsidP="00C05B7F">
      <w:pPr>
        <w:pStyle w:val="Heading2"/>
      </w:pPr>
      <w:bookmarkStart w:id="78" w:name="_Toc106708902"/>
      <w:r w:rsidRPr="00367CC8">
        <w:lastRenderedPageBreak/>
        <w:t>Reversal of anticoagulation</w:t>
      </w:r>
      <w:bookmarkEnd w:id="77"/>
      <w:bookmarkEnd w:id="78"/>
    </w:p>
    <w:p w14:paraId="12DA9270" w14:textId="77777777" w:rsidR="00C05B7F" w:rsidRDefault="001423E8" w:rsidP="00C71032">
      <w:pPr>
        <w:jc w:val="both"/>
        <w:rPr>
          <w:b/>
          <w:bCs/>
        </w:rPr>
      </w:pPr>
      <w:r w:rsidRPr="00EB561B">
        <w:rPr>
          <w:b/>
          <w:bCs/>
        </w:rPr>
        <w:t>Warfarin</w:t>
      </w:r>
    </w:p>
    <w:p w14:paraId="4B8F485E" w14:textId="675DC1A4" w:rsidR="0094051F" w:rsidRPr="00EB561B" w:rsidRDefault="0010338F" w:rsidP="00C71032">
      <w:pPr>
        <w:jc w:val="both"/>
      </w:pPr>
      <w:r w:rsidRPr="00EB561B">
        <w:t xml:space="preserve">The effects of warfarin can be reversed with </w:t>
      </w:r>
      <w:proofErr w:type="spellStart"/>
      <w:r w:rsidRPr="00EB561B">
        <w:t>phytomenadione</w:t>
      </w:r>
      <w:proofErr w:type="spellEnd"/>
      <w:r w:rsidRPr="00EB561B">
        <w:t xml:space="preserve"> in combination with dried prothrombin complex or fresh frozen plasma.</w:t>
      </w:r>
      <w:r w:rsidR="004C52A2" w:rsidRPr="00EB561B">
        <w:rPr>
          <w:vertAlign w:val="superscript"/>
        </w:rPr>
        <w:t>6</w:t>
      </w:r>
      <w:r w:rsidRPr="00EB561B">
        <w:t xml:space="preserve"> </w:t>
      </w:r>
    </w:p>
    <w:p w14:paraId="51CF84FF" w14:textId="77777777" w:rsidR="00C05B7F" w:rsidRDefault="0094051F" w:rsidP="00C71032">
      <w:pPr>
        <w:jc w:val="both"/>
        <w:rPr>
          <w:b/>
          <w:bCs/>
        </w:rPr>
      </w:pPr>
      <w:r w:rsidRPr="00EB561B">
        <w:rPr>
          <w:b/>
          <w:bCs/>
        </w:rPr>
        <w:t>DOACs</w:t>
      </w:r>
    </w:p>
    <w:p w14:paraId="2C2DE376" w14:textId="4F7724D4" w:rsidR="0010338F" w:rsidRPr="00EB561B" w:rsidRDefault="0010338F" w:rsidP="00C71032">
      <w:pPr>
        <w:jc w:val="both"/>
      </w:pPr>
      <w:r w:rsidRPr="00EB561B">
        <w:t>Specific reversal agents are now available for dabigatran (</w:t>
      </w:r>
      <w:proofErr w:type="spellStart"/>
      <w:r w:rsidRPr="00EB561B">
        <w:t>idarucizumab</w:t>
      </w:r>
      <w:proofErr w:type="spellEnd"/>
      <w:r w:rsidRPr="00EB561B">
        <w:t xml:space="preserve"> - </w:t>
      </w:r>
      <w:proofErr w:type="spellStart"/>
      <w:r w:rsidRPr="00EB561B">
        <w:t>Praxbind</w:t>
      </w:r>
      <w:proofErr w:type="spellEnd"/>
      <w:r w:rsidRPr="00EB561B">
        <w:t>®), apixaban and rivaroxaban (</w:t>
      </w:r>
      <w:proofErr w:type="spellStart"/>
      <w:r w:rsidRPr="00EB561B">
        <w:t>andexanet</w:t>
      </w:r>
      <w:proofErr w:type="spellEnd"/>
      <w:r w:rsidRPr="00EB561B">
        <w:t xml:space="preserve"> alfa - </w:t>
      </w:r>
      <w:proofErr w:type="spellStart"/>
      <w:r w:rsidRPr="00EB561B">
        <w:t>Ondexxya</w:t>
      </w:r>
      <w:proofErr w:type="spellEnd"/>
      <w:r w:rsidRPr="00EB561B">
        <w:rPr>
          <w:rFonts w:cs="Arial"/>
        </w:rPr>
        <w:t>▼</w:t>
      </w:r>
      <w:r w:rsidRPr="00EB561B">
        <w:t>).</w:t>
      </w:r>
      <w:r w:rsidR="00CC07CB" w:rsidRPr="00EB561B">
        <w:rPr>
          <w:vertAlign w:val="superscript"/>
        </w:rPr>
        <w:t>2</w:t>
      </w:r>
      <w:r w:rsidR="00870046">
        <w:rPr>
          <w:vertAlign w:val="superscript"/>
        </w:rPr>
        <w:t>8</w:t>
      </w:r>
      <w:r w:rsidR="00CC07CB" w:rsidRPr="00EB561B">
        <w:rPr>
          <w:vertAlign w:val="superscript"/>
        </w:rPr>
        <w:t>,2</w:t>
      </w:r>
      <w:r w:rsidR="00870046">
        <w:rPr>
          <w:vertAlign w:val="superscript"/>
        </w:rPr>
        <w:t>9</w:t>
      </w:r>
      <w:r w:rsidRPr="00EB561B">
        <w:t xml:space="preserve"> These are discussed further:</w:t>
      </w:r>
    </w:p>
    <w:p w14:paraId="5C22E6E7" w14:textId="77777777" w:rsidR="00C05B7F" w:rsidRDefault="005B72E4" w:rsidP="00C71032">
      <w:pPr>
        <w:jc w:val="both"/>
        <w:rPr>
          <w:b/>
          <w:bCs/>
        </w:rPr>
      </w:pPr>
      <w:r w:rsidRPr="00EB561B">
        <w:rPr>
          <w:b/>
          <w:bCs/>
        </w:rPr>
        <w:t>Dabigatran</w:t>
      </w:r>
    </w:p>
    <w:p w14:paraId="66D1E52E" w14:textId="3858D18B" w:rsidR="0010338F" w:rsidRPr="00EB561B" w:rsidRDefault="0010338F" w:rsidP="00C71032">
      <w:pPr>
        <w:jc w:val="both"/>
      </w:pPr>
      <w:proofErr w:type="spellStart"/>
      <w:r w:rsidRPr="00EB561B">
        <w:t>Idarucizumab</w:t>
      </w:r>
      <w:proofErr w:type="spellEnd"/>
      <w:r w:rsidRPr="00EB561B">
        <w:t xml:space="preserve"> is licensed to reverse the anticoagulant effects of dabigatran.</w:t>
      </w:r>
      <w:r w:rsidR="00E30E2B" w:rsidRPr="00EB561B">
        <w:rPr>
          <w:vertAlign w:val="superscript"/>
        </w:rPr>
        <w:t>2</w:t>
      </w:r>
      <w:r w:rsidR="00870046">
        <w:rPr>
          <w:vertAlign w:val="superscript"/>
        </w:rPr>
        <w:t>8</w:t>
      </w:r>
      <w:r w:rsidRPr="00EB561B">
        <w:t xml:space="preserve"> In the interim analysis of the RE-VERSE AD study, NICE states that people may still need other supportive measures, for example blood products, to manage their bleeding and these should be considered as medically appropriate.</w:t>
      </w:r>
      <w:r w:rsidR="00870046">
        <w:rPr>
          <w:vertAlign w:val="superscript"/>
        </w:rPr>
        <w:t>30</w:t>
      </w:r>
    </w:p>
    <w:p w14:paraId="1D520249" w14:textId="33A655C3" w:rsidR="0010338F" w:rsidRPr="00EB561B" w:rsidRDefault="0010338F" w:rsidP="00C71032">
      <w:pPr>
        <w:jc w:val="both"/>
        <w:rPr>
          <w:color w:val="000000"/>
        </w:rPr>
      </w:pPr>
      <w:r w:rsidRPr="00EB561B">
        <w:t xml:space="preserve">The SPC provides the results of RE-VERSE AD </w:t>
      </w:r>
      <w:r w:rsidR="00721BE4">
        <w:t xml:space="preserve">study </w:t>
      </w:r>
      <w:r w:rsidRPr="00EB561B">
        <w:t>(n=</w:t>
      </w:r>
      <w:r w:rsidRPr="00EB561B">
        <w:rPr>
          <w:color w:val="000000"/>
        </w:rPr>
        <w:t xml:space="preserve"> 503 patients: 301 patients with serious bleeding (Group A) and 202 patients requiring an urgent procedure/surgery (Group B)). Restoration of haemostasis was achieved in 80.3% of evaluable patients who had serious bleeding and normal haemostasis was observed in 93.4% of patients who required an urgent procedure. Of the total 503 patients, 101 patients died; each of these deaths could be attributed to either a complication of the index event, or co-morbidities. Thrombotic events were reported in 34 patients (23 out of the 34 patients were not on antithrombotic therapy at the time of the event) and in each of these cases, the thrombotic event could be attributed to the underlying medical condition of the patient. Mild symptoms of potential hypersensitivity (pyrexia, bronchospasm, hyperventilation, rash or pruritus) were reported. A causal relationship to </w:t>
      </w:r>
      <w:proofErr w:type="spellStart"/>
      <w:r w:rsidRPr="00EB561B">
        <w:rPr>
          <w:color w:val="000000"/>
        </w:rPr>
        <w:t>idarucizumab</w:t>
      </w:r>
      <w:proofErr w:type="spellEnd"/>
      <w:r w:rsidRPr="00EB561B">
        <w:rPr>
          <w:color w:val="000000"/>
        </w:rPr>
        <w:t xml:space="preserve"> could not be established.</w:t>
      </w:r>
      <w:r w:rsidR="00BC07B4" w:rsidRPr="00EB561B">
        <w:rPr>
          <w:color w:val="000000"/>
          <w:vertAlign w:val="superscript"/>
        </w:rPr>
        <w:t>2</w:t>
      </w:r>
      <w:r w:rsidR="00870046">
        <w:rPr>
          <w:color w:val="000000"/>
          <w:vertAlign w:val="superscript"/>
        </w:rPr>
        <w:t>8</w:t>
      </w:r>
    </w:p>
    <w:p w14:paraId="1927AEB1" w14:textId="77777777" w:rsidR="00C05B7F" w:rsidRDefault="005B72E4" w:rsidP="00C71032">
      <w:pPr>
        <w:jc w:val="both"/>
        <w:rPr>
          <w:b/>
          <w:bCs/>
        </w:rPr>
      </w:pPr>
      <w:r w:rsidRPr="00EB561B">
        <w:rPr>
          <w:b/>
          <w:bCs/>
        </w:rPr>
        <w:t>Rivaroxaban and apixaban</w:t>
      </w:r>
    </w:p>
    <w:p w14:paraId="6E2E658F" w14:textId="4461DA9C" w:rsidR="0010338F" w:rsidRPr="00EB561B" w:rsidRDefault="0010338F" w:rsidP="00C71032">
      <w:pPr>
        <w:jc w:val="both"/>
      </w:pPr>
      <w:r w:rsidRPr="002E0A78">
        <w:t>Andexanet alfa</w:t>
      </w:r>
      <w:r w:rsidRPr="00EB561B">
        <w:t xml:space="preserve"> is licensed to reverse the anticoagulant effects of rivaroxaban</w:t>
      </w:r>
      <w:r w:rsidRPr="00EB561B">
        <w:rPr>
          <w:b/>
          <w:bCs/>
        </w:rPr>
        <w:t xml:space="preserve"> </w:t>
      </w:r>
      <w:r w:rsidRPr="00EB561B">
        <w:t>and</w:t>
      </w:r>
      <w:r w:rsidRPr="00EB561B">
        <w:rPr>
          <w:b/>
          <w:bCs/>
        </w:rPr>
        <w:t xml:space="preserve"> </w:t>
      </w:r>
      <w:r w:rsidRPr="00EB561B">
        <w:t>apixaban.</w:t>
      </w:r>
      <w:r w:rsidR="00B1252E" w:rsidRPr="00EB561B">
        <w:rPr>
          <w:vertAlign w:val="superscript"/>
        </w:rPr>
        <w:t>2</w:t>
      </w:r>
      <w:r w:rsidR="00870046">
        <w:rPr>
          <w:vertAlign w:val="superscript"/>
        </w:rPr>
        <w:t>9</w:t>
      </w:r>
      <w:r w:rsidRPr="00EB561B">
        <w:t xml:space="preserve"> Because of the limitations of the clinical evidence, the cost-effectiveness estimates for </w:t>
      </w:r>
      <w:proofErr w:type="spellStart"/>
      <w:r w:rsidRPr="00EB561B">
        <w:t>andexanet</w:t>
      </w:r>
      <w:proofErr w:type="spellEnd"/>
      <w:r w:rsidRPr="00EB561B">
        <w:t xml:space="preserve"> alfa are uncertain.</w:t>
      </w:r>
      <w:r w:rsidR="00C71032">
        <w:t xml:space="preserve"> </w:t>
      </w:r>
      <w:r w:rsidRPr="00EB561B">
        <w:t xml:space="preserve">Therefore, </w:t>
      </w:r>
      <w:proofErr w:type="spellStart"/>
      <w:r w:rsidRPr="00EB561B">
        <w:t>andexanet</w:t>
      </w:r>
      <w:proofErr w:type="spellEnd"/>
      <w:r w:rsidRPr="00EB561B">
        <w:t xml:space="preserve"> alfa for reversing anticoagulation is recommended for routine use only in gastrointestinal bleeding. It is recommended only in research in intracranial haemorrhage (ICH).</w:t>
      </w:r>
      <w:r w:rsidR="00F81A53" w:rsidRPr="00EB561B">
        <w:rPr>
          <w:vertAlign w:val="superscript"/>
        </w:rPr>
        <w:t>3</w:t>
      </w:r>
      <w:r w:rsidR="00870046">
        <w:rPr>
          <w:vertAlign w:val="superscript"/>
        </w:rPr>
        <w:t>1</w:t>
      </w:r>
    </w:p>
    <w:p w14:paraId="0E622B35" w14:textId="77777777" w:rsidR="00C71032" w:rsidRDefault="005B72E4" w:rsidP="00C71032">
      <w:pPr>
        <w:jc w:val="both"/>
        <w:rPr>
          <w:b/>
          <w:bCs/>
        </w:rPr>
      </w:pPr>
      <w:r w:rsidRPr="00EB561B">
        <w:rPr>
          <w:b/>
          <w:bCs/>
        </w:rPr>
        <w:t>Edoxaban</w:t>
      </w:r>
    </w:p>
    <w:p w14:paraId="31AA641F" w14:textId="6A9036C2" w:rsidR="0010338F" w:rsidRPr="00EB561B" w:rsidRDefault="00E26B00" w:rsidP="00C71032">
      <w:pPr>
        <w:jc w:val="both"/>
      </w:pPr>
      <w:r w:rsidRPr="00EB561B">
        <w:t>A specific antidote antagonising the pharmacodynamic effect of edoxaban is not available</w:t>
      </w:r>
      <w:r w:rsidR="00043B1D" w:rsidRPr="00EB561B">
        <w:rPr>
          <w:b/>
          <w:bCs/>
        </w:rPr>
        <w:t xml:space="preserve">. </w:t>
      </w:r>
      <w:r w:rsidR="00F22B0F" w:rsidRPr="00EB561B">
        <w:t>Early administration of activated charcoal may be considered in case of edoxaban overdose to reduce absorption. This recommendation is based on standard treatment of medicinal product overdose and data available with similar compounds, as the use of activated charcoal to reduce absorption of edoxaban has not been specifically studied in the edoxaban clinical programme.</w:t>
      </w:r>
      <w:r w:rsidR="006821A5">
        <w:t xml:space="preserve"> </w:t>
      </w:r>
      <w:r w:rsidR="006821A5" w:rsidRPr="002E0A78">
        <w:t xml:space="preserve">For life-threatening bleeding that cannot be controlled with the measures such as transfusion or haemostasis, the administration of a 4-factor prothrombin complex concentrate (PCC) at 50 IU/kg has been shown to reverse the effects of edoxaban 30 minutes after completing the infusion. Recombinant factor </w:t>
      </w:r>
      <w:proofErr w:type="spellStart"/>
      <w:r w:rsidR="006821A5" w:rsidRPr="002E0A78">
        <w:t>VIIa</w:t>
      </w:r>
      <w:proofErr w:type="spellEnd"/>
      <w:r w:rsidR="006821A5" w:rsidRPr="002E0A78">
        <w:t xml:space="preserve"> (r-</w:t>
      </w:r>
      <w:proofErr w:type="spellStart"/>
      <w:r w:rsidR="006821A5" w:rsidRPr="002E0A78">
        <w:t>FVIIa</w:t>
      </w:r>
      <w:proofErr w:type="spellEnd"/>
      <w:r w:rsidR="006821A5" w:rsidRPr="002E0A78">
        <w:t>) can also be considered. However, there is limited clinical experience with the use of this product in individuals receiving edoxaban.</w:t>
      </w:r>
      <w:r w:rsidR="002F1AE5" w:rsidRPr="00EB561B">
        <w:rPr>
          <w:vertAlign w:val="superscript"/>
        </w:rPr>
        <w:t>4</w:t>
      </w:r>
    </w:p>
    <w:p w14:paraId="5243B84A" w14:textId="77777777" w:rsidR="0010338F" w:rsidRPr="00EB561B" w:rsidRDefault="0010338F" w:rsidP="00C05B7F"/>
    <w:p w14:paraId="66D7F545" w14:textId="77777777" w:rsidR="0010338F" w:rsidRDefault="0010338F">
      <w:pPr>
        <w:rPr>
          <w:rFonts w:asciiTheme="majorHAnsi" w:hAnsiTheme="majorHAnsi" w:cstheme="majorHAnsi"/>
        </w:rPr>
      </w:pPr>
    </w:p>
    <w:p w14:paraId="6174C6EB" w14:textId="77777777" w:rsidR="004001CA" w:rsidRDefault="004001CA">
      <w:pPr>
        <w:rPr>
          <w:rFonts w:asciiTheme="majorHAnsi" w:hAnsiTheme="majorHAnsi" w:cstheme="majorHAnsi"/>
        </w:rPr>
      </w:pPr>
    </w:p>
    <w:p w14:paraId="14A378A2" w14:textId="77777777" w:rsidR="004001CA" w:rsidRDefault="004001CA">
      <w:pPr>
        <w:rPr>
          <w:rFonts w:asciiTheme="majorHAnsi" w:hAnsiTheme="majorHAnsi" w:cstheme="majorHAnsi"/>
        </w:rPr>
      </w:pPr>
    </w:p>
    <w:p w14:paraId="7E329BC6" w14:textId="77777777" w:rsidR="004001CA" w:rsidRDefault="004001CA">
      <w:pPr>
        <w:rPr>
          <w:rFonts w:asciiTheme="majorHAnsi" w:hAnsiTheme="majorHAnsi" w:cstheme="majorHAnsi"/>
        </w:rPr>
      </w:pPr>
    </w:p>
    <w:p w14:paraId="4ADB5479" w14:textId="77777777" w:rsidR="004001CA" w:rsidRDefault="004001CA">
      <w:pPr>
        <w:rPr>
          <w:rFonts w:asciiTheme="majorHAnsi" w:hAnsiTheme="majorHAnsi" w:cstheme="majorHAnsi"/>
        </w:rPr>
      </w:pPr>
    </w:p>
    <w:p w14:paraId="55662FB6" w14:textId="77777777" w:rsidR="004001CA" w:rsidRDefault="004001CA">
      <w:pPr>
        <w:rPr>
          <w:rFonts w:asciiTheme="majorHAnsi" w:hAnsiTheme="majorHAnsi" w:cstheme="majorHAnsi"/>
        </w:rPr>
      </w:pPr>
    </w:p>
    <w:p w14:paraId="3D50FAAA" w14:textId="77777777" w:rsidR="004001CA" w:rsidRDefault="004001CA">
      <w:pPr>
        <w:rPr>
          <w:rFonts w:asciiTheme="majorHAnsi" w:hAnsiTheme="majorHAnsi" w:cstheme="majorHAnsi"/>
        </w:rPr>
      </w:pPr>
    </w:p>
    <w:p w14:paraId="2358EE81" w14:textId="77777777" w:rsidR="004001CA" w:rsidRDefault="004001CA">
      <w:pPr>
        <w:rPr>
          <w:rFonts w:asciiTheme="majorHAnsi" w:hAnsiTheme="majorHAnsi" w:cstheme="majorHAnsi"/>
        </w:rPr>
      </w:pPr>
    </w:p>
    <w:p w14:paraId="6396A5A3" w14:textId="77777777" w:rsidR="004001CA" w:rsidRDefault="004001CA">
      <w:pPr>
        <w:rPr>
          <w:rFonts w:asciiTheme="majorHAnsi" w:hAnsiTheme="majorHAnsi" w:cstheme="majorHAnsi"/>
        </w:rPr>
      </w:pPr>
    </w:p>
    <w:p w14:paraId="3C614FA1" w14:textId="77777777" w:rsidR="004001CA" w:rsidRDefault="004001CA">
      <w:pPr>
        <w:rPr>
          <w:rFonts w:asciiTheme="majorHAnsi" w:hAnsiTheme="majorHAnsi" w:cstheme="majorHAnsi"/>
        </w:rPr>
      </w:pPr>
    </w:p>
    <w:tbl>
      <w:tblPr>
        <w:tblStyle w:val="TableGrid"/>
        <w:tblW w:w="5000" w:type="pct"/>
        <w:jc w:val="center"/>
        <w:tblLook w:val="04A0" w:firstRow="1" w:lastRow="0" w:firstColumn="1" w:lastColumn="0" w:noHBand="0" w:noVBand="1"/>
      </w:tblPr>
      <w:tblGrid>
        <w:gridCol w:w="1947"/>
        <w:gridCol w:w="1947"/>
        <w:gridCol w:w="1947"/>
        <w:gridCol w:w="1947"/>
        <w:gridCol w:w="1947"/>
      </w:tblGrid>
      <w:tr w:rsidR="002E47F4" w:rsidRPr="00EB561B" w14:paraId="760F614F" w14:textId="77777777" w:rsidTr="00C71032">
        <w:trPr>
          <w:cantSplit/>
          <w:jc w:val="center"/>
        </w:trPr>
        <w:tc>
          <w:tcPr>
            <w:tcW w:w="5000" w:type="pct"/>
            <w:gridSpan w:val="5"/>
            <w:shd w:val="clear" w:color="auto" w:fill="F2F2F2" w:themeFill="background1" w:themeFillShade="F2"/>
            <w:vAlign w:val="center"/>
          </w:tcPr>
          <w:p w14:paraId="7B689454" w14:textId="77777777" w:rsidR="002E47F4" w:rsidRPr="00367CC8" w:rsidRDefault="002E47F4" w:rsidP="00C71032">
            <w:pPr>
              <w:pStyle w:val="Heading2"/>
            </w:pPr>
            <w:bookmarkStart w:id="79" w:name="_Toc96868265"/>
            <w:bookmarkStart w:id="80" w:name="_Toc104910456"/>
            <w:bookmarkStart w:id="81" w:name="_Toc106708903"/>
            <w:r w:rsidRPr="00367CC8">
              <w:t>Conversion from warfarin</w:t>
            </w:r>
            <w:bookmarkEnd w:id="79"/>
            <w:r w:rsidRPr="00367CC8">
              <w:t xml:space="preserve"> to DOAC</w:t>
            </w:r>
            <w:bookmarkEnd w:id="80"/>
            <w:bookmarkEnd w:id="81"/>
          </w:p>
        </w:tc>
      </w:tr>
      <w:tr w:rsidR="002E47F4" w:rsidRPr="00EB561B" w14:paraId="0CC98C16" w14:textId="77777777" w:rsidTr="000828CD">
        <w:trPr>
          <w:cantSplit/>
          <w:jc w:val="center"/>
        </w:trPr>
        <w:tc>
          <w:tcPr>
            <w:tcW w:w="1000" w:type="pct"/>
            <w:shd w:val="clear" w:color="auto" w:fill="DBE5F1" w:themeFill="accent1" w:themeFillTint="33"/>
            <w:vAlign w:val="center"/>
          </w:tcPr>
          <w:p w14:paraId="47150B36" w14:textId="77777777" w:rsidR="002E47F4" w:rsidRPr="00EB561B" w:rsidRDefault="002E47F4" w:rsidP="00C71032">
            <w:pPr>
              <w:rPr>
                <w:szCs w:val="22"/>
              </w:rPr>
            </w:pPr>
            <w:r w:rsidRPr="00EB561B">
              <w:rPr>
                <w:b/>
                <w:szCs w:val="22"/>
              </w:rPr>
              <w:t>Dabigatran (Pradaxa</w:t>
            </w:r>
            <w:r w:rsidRPr="00EB561B">
              <w:rPr>
                <w:b/>
                <w:szCs w:val="22"/>
              </w:rPr>
              <w:sym w:font="Symbol" w:char="F0D2"/>
            </w:r>
            <w:r w:rsidRPr="00EB561B">
              <w:rPr>
                <w:b/>
                <w:szCs w:val="22"/>
              </w:rPr>
              <w:t>)</w:t>
            </w:r>
            <w:r w:rsidRPr="00EB561B">
              <w:rPr>
                <w:b/>
                <w:szCs w:val="22"/>
                <w:vertAlign w:val="superscript"/>
              </w:rPr>
              <w:t>1</w:t>
            </w:r>
          </w:p>
        </w:tc>
        <w:tc>
          <w:tcPr>
            <w:tcW w:w="1000" w:type="pct"/>
            <w:shd w:val="clear" w:color="auto" w:fill="F2DBDB" w:themeFill="accent2" w:themeFillTint="33"/>
            <w:vAlign w:val="center"/>
          </w:tcPr>
          <w:p w14:paraId="0D5BE5AC" w14:textId="77777777" w:rsidR="002E47F4" w:rsidRPr="00EB561B" w:rsidRDefault="002E47F4" w:rsidP="00C71032">
            <w:pPr>
              <w:rPr>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p>
        </w:tc>
        <w:tc>
          <w:tcPr>
            <w:tcW w:w="1000" w:type="pct"/>
            <w:shd w:val="clear" w:color="auto" w:fill="E5DFEC" w:themeFill="accent4" w:themeFillTint="33"/>
            <w:vAlign w:val="center"/>
          </w:tcPr>
          <w:p w14:paraId="19869CCD" w14:textId="77777777" w:rsidR="002E47F4" w:rsidRPr="00EB561B" w:rsidRDefault="002E47F4" w:rsidP="00C71032">
            <w:pPr>
              <w:rPr>
                <w:szCs w:val="22"/>
              </w:rPr>
            </w:pPr>
            <w:r w:rsidRPr="00EB561B">
              <w:rPr>
                <w:b/>
                <w:szCs w:val="22"/>
              </w:rPr>
              <w:t>Apixaban (Eliquis</w:t>
            </w:r>
            <w:r w:rsidRPr="00EB561B">
              <w:rPr>
                <w:b/>
                <w:szCs w:val="22"/>
              </w:rPr>
              <w:sym w:font="Symbol" w:char="F0D2"/>
            </w:r>
            <w:r w:rsidRPr="00EB561B">
              <w:rPr>
                <w:b/>
                <w:szCs w:val="22"/>
              </w:rPr>
              <w:t>)</w:t>
            </w:r>
            <w:r w:rsidRPr="00EB561B">
              <w:rPr>
                <w:b/>
                <w:szCs w:val="22"/>
                <w:vertAlign w:val="superscript"/>
              </w:rPr>
              <w:t>3</w:t>
            </w:r>
          </w:p>
        </w:tc>
        <w:tc>
          <w:tcPr>
            <w:tcW w:w="1000" w:type="pct"/>
            <w:shd w:val="clear" w:color="auto" w:fill="FDE9D9" w:themeFill="accent6" w:themeFillTint="33"/>
            <w:vAlign w:val="center"/>
          </w:tcPr>
          <w:p w14:paraId="5C3A297B" w14:textId="2FFEFB33" w:rsidR="002E47F4" w:rsidRPr="00EB561B" w:rsidRDefault="002E47F4" w:rsidP="00C71032">
            <w:pPr>
              <w:rPr>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1000" w:type="pct"/>
            <w:shd w:val="clear" w:color="auto" w:fill="EAF1DD" w:themeFill="accent3" w:themeFillTint="33"/>
            <w:vAlign w:val="center"/>
          </w:tcPr>
          <w:p w14:paraId="3E5638B0" w14:textId="6FAB0949" w:rsidR="002E47F4" w:rsidRPr="00EB561B" w:rsidRDefault="002E47F4" w:rsidP="00C71032">
            <w:pPr>
              <w:rPr>
                <w:b/>
                <w:szCs w:val="22"/>
                <w:vertAlign w:val="superscript"/>
              </w:rPr>
            </w:pPr>
            <w:r w:rsidRPr="00EB561B">
              <w:rPr>
                <w:b/>
                <w:szCs w:val="22"/>
              </w:rPr>
              <w:t>Warfarin</w:t>
            </w:r>
            <w:r w:rsidR="005924AC" w:rsidRPr="00EB561B">
              <w:rPr>
                <w:b/>
                <w:szCs w:val="22"/>
                <w:vertAlign w:val="superscript"/>
              </w:rPr>
              <w:t>5</w:t>
            </w:r>
            <w:r w:rsidR="009153B4" w:rsidRPr="00EB561B">
              <w:rPr>
                <w:b/>
                <w:szCs w:val="22"/>
                <w:vertAlign w:val="superscript"/>
              </w:rPr>
              <w:t>,6</w:t>
            </w:r>
          </w:p>
        </w:tc>
      </w:tr>
      <w:tr w:rsidR="002E47F4" w:rsidRPr="00EB561B" w14:paraId="73F6F5DF" w14:textId="77777777" w:rsidTr="00C71032">
        <w:trPr>
          <w:cantSplit/>
          <w:trHeight w:val="1084"/>
          <w:jc w:val="center"/>
        </w:trPr>
        <w:tc>
          <w:tcPr>
            <w:tcW w:w="1000" w:type="pct"/>
            <w:shd w:val="clear" w:color="auto" w:fill="auto"/>
            <w:vAlign w:val="center"/>
          </w:tcPr>
          <w:p w14:paraId="2B0FDACC" w14:textId="18D75A10" w:rsidR="002E47F4" w:rsidRPr="00EB561B" w:rsidRDefault="00601248" w:rsidP="00C71032">
            <w:pPr>
              <w:rPr>
                <w:szCs w:val="22"/>
              </w:rPr>
            </w:pPr>
            <w:r>
              <w:rPr>
                <w:szCs w:val="22"/>
              </w:rPr>
              <w:t>Discontinue</w:t>
            </w:r>
            <w:r w:rsidR="002E47F4" w:rsidRPr="00EB561B">
              <w:rPr>
                <w:szCs w:val="22"/>
              </w:rPr>
              <w:t xml:space="preserve"> warfari</w:t>
            </w:r>
            <w:r>
              <w:rPr>
                <w:szCs w:val="22"/>
              </w:rPr>
              <w:t>n and s</w:t>
            </w:r>
            <w:r w:rsidR="002E47F4" w:rsidRPr="00EB561B">
              <w:rPr>
                <w:szCs w:val="22"/>
              </w:rPr>
              <w:t>tart dabigatran when INR &lt;2</w:t>
            </w:r>
          </w:p>
        </w:tc>
        <w:tc>
          <w:tcPr>
            <w:tcW w:w="1000" w:type="pct"/>
            <w:shd w:val="clear" w:color="auto" w:fill="auto"/>
            <w:vAlign w:val="center"/>
          </w:tcPr>
          <w:p w14:paraId="1A497D6F" w14:textId="77777777" w:rsidR="002E47F4" w:rsidRPr="00EB561B" w:rsidRDefault="002E47F4" w:rsidP="00C71032">
            <w:pPr>
              <w:rPr>
                <w:szCs w:val="22"/>
              </w:rPr>
            </w:pPr>
            <w:r w:rsidRPr="00EB561B">
              <w:rPr>
                <w:szCs w:val="22"/>
              </w:rPr>
              <w:t xml:space="preserve">Discontinue warfarin and start rivaroxaban when: </w:t>
            </w:r>
          </w:p>
          <w:p w14:paraId="105DBD14" w14:textId="748B7E03" w:rsidR="002E47F4" w:rsidRPr="00EB561B" w:rsidRDefault="002E47F4" w:rsidP="00C71032">
            <w:pPr>
              <w:rPr>
                <w:szCs w:val="22"/>
              </w:rPr>
            </w:pPr>
            <w:r w:rsidRPr="00EB561B">
              <w:rPr>
                <w:szCs w:val="22"/>
              </w:rPr>
              <w:t>INR</w:t>
            </w:r>
            <w:r w:rsidR="00DB2FD8" w:rsidRPr="00EB561B">
              <w:rPr>
                <w:szCs w:val="22"/>
              </w:rPr>
              <w:t xml:space="preserve"> ≤</w:t>
            </w:r>
            <w:r w:rsidRPr="00EB561B">
              <w:rPr>
                <w:szCs w:val="22"/>
              </w:rPr>
              <w:t>3 for prevention of stroke and systemic embolism</w:t>
            </w:r>
          </w:p>
          <w:p w14:paraId="772B731E" w14:textId="488F87D1" w:rsidR="002E47F4" w:rsidRPr="00EB561B" w:rsidRDefault="002E47F4" w:rsidP="00C71032">
            <w:pPr>
              <w:rPr>
                <w:szCs w:val="22"/>
              </w:rPr>
            </w:pPr>
            <w:r w:rsidRPr="00EB561B">
              <w:rPr>
                <w:szCs w:val="22"/>
              </w:rPr>
              <w:t xml:space="preserve">INR </w:t>
            </w:r>
            <w:r w:rsidR="00253839" w:rsidRPr="00EB561B">
              <w:rPr>
                <w:szCs w:val="22"/>
              </w:rPr>
              <w:t>≤</w:t>
            </w:r>
            <w:r w:rsidRPr="00EB561B">
              <w:rPr>
                <w:szCs w:val="22"/>
              </w:rPr>
              <w:t>2.5 for DVT, PE and prevention of recurrence</w:t>
            </w:r>
          </w:p>
        </w:tc>
        <w:tc>
          <w:tcPr>
            <w:tcW w:w="1000" w:type="pct"/>
            <w:shd w:val="clear" w:color="auto" w:fill="auto"/>
            <w:vAlign w:val="center"/>
          </w:tcPr>
          <w:p w14:paraId="58EC3158" w14:textId="77777777" w:rsidR="002E47F4" w:rsidRPr="00EB561B" w:rsidRDefault="002E47F4" w:rsidP="00C71032">
            <w:pPr>
              <w:rPr>
                <w:szCs w:val="22"/>
              </w:rPr>
            </w:pPr>
            <w:r w:rsidRPr="00EB561B">
              <w:rPr>
                <w:szCs w:val="22"/>
              </w:rPr>
              <w:t>Discontinue warfarin and start apixaban when INR &lt;2</w:t>
            </w:r>
          </w:p>
        </w:tc>
        <w:tc>
          <w:tcPr>
            <w:tcW w:w="1000" w:type="pct"/>
            <w:shd w:val="clear" w:color="auto" w:fill="auto"/>
            <w:vAlign w:val="center"/>
          </w:tcPr>
          <w:p w14:paraId="782DE916" w14:textId="197370B1" w:rsidR="002E47F4" w:rsidRPr="00EB561B" w:rsidRDefault="002E47F4" w:rsidP="00C71032">
            <w:pPr>
              <w:rPr>
                <w:szCs w:val="22"/>
              </w:rPr>
            </w:pPr>
            <w:r w:rsidRPr="00EB561B">
              <w:rPr>
                <w:szCs w:val="22"/>
              </w:rPr>
              <w:t>Discontinue warfarin and start edoxaban when INR is ≤2.5</w:t>
            </w:r>
          </w:p>
        </w:tc>
        <w:tc>
          <w:tcPr>
            <w:tcW w:w="1000" w:type="pct"/>
            <w:vAlign w:val="center"/>
          </w:tcPr>
          <w:p w14:paraId="1453F552" w14:textId="77777777" w:rsidR="002E47F4" w:rsidRPr="00EB561B" w:rsidRDefault="002E47F4" w:rsidP="00C71032">
            <w:pPr>
              <w:rPr>
                <w:szCs w:val="22"/>
              </w:rPr>
            </w:pPr>
            <w:r w:rsidRPr="00EB561B">
              <w:rPr>
                <w:szCs w:val="22"/>
              </w:rPr>
              <w:t>N/A</w:t>
            </w:r>
          </w:p>
        </w:tc>
      </w:tr>
    </w:tbl>
    <w:p w14:paraId="644356DC" w14:textId="77777777" w:rsidR="002E47F4" w:rsidRPr="00EB561B" w:rsidRDefault="002E47F4" w:rsidP="002E47F4">
      <w:pPr>
        <w:rPr>
          <w:rFonts w:asciiTheme="majorHAnsi" w:hAnsiTheme="majorHAnsi" w:cstheme="majorHAnsi"/>
          <w:szCs w:val="22"/>
        </w:rPr>
      </w:pPr>
    </w:p>
    <w:p w14:paraId="7ECBB951" w14:textId="77777777" w:rsidR="002E47F4" w:rsidRDefault="002E47F4" w:rsidP="002E47F4">
      <w:pPr>
        <w:rPr>
          <w:rFonts w:asciiTheme="majorHAnsi" w:hAnsiTheme="majorHAnsi" w:cstheme="majorHAnsi"/>
          <w:szCs w:val="22"/>
        </w:rPr>
      </w:pPr>
    </w:p>
    <w:p w14:paraId="40EBD3FA" w14:textId="77777777" w:rsidR="000C5876" w:rsidRDefault="000C5876" w:rsidP="002E47F4">
      <w:pPr>
        <w:rPr>
          <w:rFonts w:asciiTheme="majorHAnsi" w:hAnsiTheme="majorHAnsi" w:cstheme="majorHAnsi"/>
          <w:szCs w:val="22"/>
        </w:rPr>
      </w:pPr>
    </w:p>
    <w:p w14:paraId="74D564B8" w14:textId="77777777" w:rsidR="000C5876" w:rsidRDefault="000C5876" w:rsidP="002E47F4">
      <w:pPr>
        <w:rPr>
          <w:rFonts w:asciiTheme="majorHAnsi" w:hAnsiTheme="majorHAnsi" w:cstheme="majorHAnsi"/>
          <w:szCs w:val="22"/>
        </w:rPr>
      </w:pPr>
    </w:p>
    <w:p w14:paraId="0B6759B9" w14:textId="77777777" w:rsidR="000C5876" w:rsidRDefault="000C5876" w:rsidP="002E47F4">
      <w:pPr>
        <w:rPr>
          <w:rFonts w:asciiTheme="majorHAnsi" w:hAnsiTheme="majorHAnsi" w:cstheme="majorHAnsi"/>
          <w:szCs w:val="22"/>
        </w:rPr>
      </w:pPr>
    </w:p>
    <w:p w14:paraId="1EC5993D" w14:textId="77777777" w:rsidR="000C5876" w:rsidRDefault="000C5876" w:rsidP="002E47F4">
      <w:pPr>
        <w:rPr>
          <w:rFonts w:asciiTheme="majorHAnsi" w:hAnsiTheme="majorHAnsi" w:cstheme="majorHAnsi"/>
          <w:szCs w:val="22"/>
        </w:rPr>
      </w:pPr>
    </w:p>
    <w:p w14:paraId="1F09B39E" w14:textId="77777777" w:rsidR="000C5876" w:rsidRDefault="000C5876" w:rsidP="002E47F4">
      <w:pPr>
        <w:rPr>
          <w:rFonts w:asciiTheme="majorHAnsi" w:hAnsiTheme="majorHAnsi" w:cstheme="majorHAnsi"/>
          <w:szCs w:val="22"/>
        </w:rPr>
      </w:pPr>
    </w:p>
    <w:p w14:paraId="57387465" w14:textId="77777777" w:rsidR="000C5876" w:rsidRDefault="000C5876" w:rsidP="002E47F4">
      <w:pPr>
        <w:rPr>
          <w:rFonts w:asciiTheme="majorHAnsi" w:hAnsiTheme="majorHAnsi" w:cstheme="majorHAnsi"/>
          <w:szCs w:val="22"/>
        </w:rPr>
      </w:pPr>
    </w:p>
    <w:p w14:paraId="1A608D3F" w14:textId="77777777" w:rsidR="000C5876" w:rsidRDefault="000C5876" w:rsidP="002E47F4">
      <w:pPr>
        <w:rPr>
          <w:rFonts w:asciiTheme="majorHAnsi" w:hAnsiTheme="majorHAnsi" w:cstheme="majorHAnsi"/>
          <w:szCs w:val="22"/>
        </w:rPr>
      </w:pPr>
    </w:p>
    <w:p w14:paraId="1B3C6FF3" w14:textId="77777777" w:rsidR="000C5876" w:rsidRDefault="000C5876" w:rsidP="002E47F4">
      <w:pPr>
        <w:rPr>
          <w:rFonts w:asciiTheme="majorHAnsi" w:hAnsiTheme="majorHAnsi" w:cstheme="majorHAnsi"/>
          <w:szCs w:val="22"/>
        </w:rPr>
      </w:pPr>
    </w:p>
    <w:p w14:paraId="560E284A" w14:textId="77777777" w:rsidR="000C5876" w:rsidRDefault="000C5876" w:rsidP="002E47F4">
      <w:pPr>
        <w:rPr>
          <w:rFonts w:asciiTheme="majorHAnsi" w:hAnsiTheme="majorHAnsi" w:cstheme="majorHAnsi"/>
          <w:szCs w:val="22"/>
        </w:rPr>
      </w:pPr>
    </w:p>
    <w:p w14:paraId="4FB7195A" w14:textId="77777777" w:rsidR="000C5876" w:rsidRDefault="000C5876" w:rsidP="002E47F4">
      <w:pPr>
        <w:rPr>
          <w:rFonts w:asciiTheme="majorHAnsi" w:hAnsiTheme="majorHAnsi" w:cstheme="majorHAnsi"/>
          <w:szCs w:val="22"/>
        </w:rPr>
      </w:pPr>
    </w:p>
    <w:p w14:paraId="6EC63B3F" w14:textId="77777777" w:rsidR="000C5876" w:rsidRDefault="000C5876" w:rsidP="002E47F4">
      <w:pPr>
        <w:rPr>
          <w:rFonts w:asciiTheme="majorHAnsi" w:hAnsiTheme="majorHAnsi" w:cstheme="majorHAnsi"/>
          <w:szCs w:val="22"/>
        </w:rPr>
      </w:pPr>
    </w:p>
    <w:p w14:paraId="3935EF4E" w14:textId="77777777" w:rsidR="000C5876" w:rsidRDefault="000C5876" w:rsidP="002E47F4">
      <w:pPr>
        <w:rPr>
          <w:rFonts w:asciiTheme="majorHAnsi" w:hAnsiTheme="majorHAnsi" w:cstheme="majorHAnsi"/>
          <w:szCs w:val="22"/>
        </w:rPr>
      </w:pPr>
    </w:p>
    <w:p w14:paraId="34A00C22" w14:textId="77777777" w:rsidR="000C5876" w:rsidRDefault="000C5876" w:rsidP="002E47F4">
      <w:pPr>
        <w:rPr>
          <w:rFonts w:asciiTheme="majorHAnsi" w:hAnsiTheme="majorHAnsi" w:cstheme="majorHAnsi"/>
          <w:szCs w:val="22"/>
        </w:rPr>
      </w:pPr>
    </w:p>
    <w:p w14:paraId="5E062594" w14:textId="77777777" w:rsidR="000C5876" w:rsidRDefault="000C5876" w:rsidP="002E47F4">
      <w:pPr>
        <w:rPr>
          <w:rFonts w:asciiTheme="majorHAnsi" w:hAnsiTheme="majorHAnsi" w:cstheme="majorHAnsi"/>
          <w:szCs w:val="22"/>
        </w:rPr>
      </w:pPr>
    </w:p>
    <w:p w14:paraId="4532201A" w14:textId="77777777" w:rsidR="000C5876" w:rsidRDefault="000C5876" w:rsidP="002E47F4">
      <w:pPr>
        <w:rPr>
          <w:rFonts w:asciiTheme="majorHAnsi" w:hAnsiTheme="majorHAnsi" w:cstheme="majorHAnsi"/>
          <w:szCs w:val="22"/>
        </w:rPr>
      </w:pPr>
    </w:p>
    <w:p w14:paraId="3CAEB85C" w14:textId="77777777" w:rsidR="000C5876" w:rsidRDefault="000C5876" w:rsidP="002E47F4">
      <w:pPr>
        <w:rPr>
          <w:rFonts w:asciiTheme="majorHAnsi" w:hAnsiTheme="majorHAnsi" w:cstheme="majorHAnsi"/>
          <w:szCs w:val="22"/>
        </w:rPr>
      </w:pPr>
    </w:p>
    <w:p w14:paraId="31B6942B" w14:textId="77777777" w:rsidR="000C5876" w:rsidRDefault="000C5876" w:rsidP="002E47F4">
      <w:pPr>
        <w:rPr>
          <w:rFonts w:asciiTheme="majorHAnsi" w:hAnsiTheme="majorHAnsi" w:cstheme="majorHAnsi"/>
          <w:szCs w:val="22"/>
        </w:rPr>
      </w:pPr>
    </w:p>
    <w:p w14:paraId="3D2291F9" w14:textId="77777777" w:rsidR="000C5876" w:rsidRDefault="000C5876" w:rsidP="002E47F4">
      <w:pPr>
        <w:rPr>
          <w:rFonts w:asciiTheme="majorHAnsi" w:hAnsiTheme="majorHAnsi" w:cstheme="majorHAnsi"/>
          <w:szCs w:val="22"/>
        </w:rPr>
      </w:pPr>
    </w:p>
    <w:p w14:paraId="20C5EA98" w14:textId="77777777" w:rsidR="000C5876" w:rsidRDefault="000C5876" w:rsidP="002E47F4">
      <w:pPr>
        <w:rPr>
          <w:rFonts w:asciiTheme="majorHAnsi" w:hAnsiTheme="majorHAnsi" w:cstheme="majorHAnsi"/>
          <w:szCs w:val="22"/>
        </w:rPr>
      </w:pPr>
    </w:p>
    <w:p w14:paraId="2D11FA4E" w14:textId="77777777" w:rsidR="000C5876" w:rsidRDefault="000C5876" w:rsidP="002E47F4">
      <w:pPr>
        <w:rPr>
          <w:rFonts w:asciiTheme="majorHAnsi" w:hAnsiTheme="majorHAnsi" w:cstheme="majorHAnsi"/>
          <w:szCs w:val="22"/>
        </w:rPr>
      </w:pPr>
    </w:p>
    <w:p w14:paraId="7D0C5C29" w14:textId="77777777" w:rsidR="000C5876" w:rsidRDefault="000C5876" w:rsidP="002E47F4">
      <w:pPr>
        <w:rPr>
          <w:rFonts w:asciiTheme="majorHAnsi" w:hAnsiTheme="majorHAnsi" w:cstheme="majorHAnsi"/>
          <w:szCs w:val="22"/>
        </w:rPr>
      </w:pPr>
    </w:p>
    <w:p w14:paraId="26CFC3D4" w14:textId="77777777" w:rsidR="000C5876" w:rsidRDefault="000C5876" w:rsidP="002E47F4">
      <w:pPr>
        <w:rPr>
          <w:rFonts w:asciiTheme="majorHAnsi" w:hAnsiTheme="majorHAnsi" w:cstheme="majorHAnsi"/>
          <w:szCs w:val="22"/>
        </w:rPr>
      </w:pPr>
    </w:p>
    <w:tbl>
      <w:tblPr>
        <w:tblStyle w:val="TableGrid"/>
        <w:tblW w:w="5000" w:type="pct"/>
        <w:jc w:val="center"/>
        <w:tblLook w:val="04A0" w:firstRow="1" w:lastRow="0" w:firstColumn="1" w:lastColumn="0" w:noHBand="0" w:noVBand="1"/>
      </w:tblPr>
      <w:tblGrid>
        <w:gridCol w:w="2262"/>
        <w:gridCol w:w="7473"/>
      </w:tblGrid>
      <w:tr w:rsidR="00B62BFD" w:rsidRPr="00EB561B" w14:paraId="59FBD08D" w14:textId="77777777" w:rsidTr="00B62BFD">
        <w:trPr>
          <w:cantSplit/>
          <w:jc w:val="center"/>
        </w:trPr>
        <w:tc>
          <w:tcPr>
            <w:tcW w:w="5000" w:type="pct"/>
            <w:gridSpan w:val="2"/>
            <w:shd w:val="clear" w:color="auto" w:fill="F2F2F2" w:themeFill="background1" w:themeFillShade="F2"/>
            <w:vAlign w:val="center"/>
          </w:tcPr>
          <w:p w14:paraId="2C01BEA7" w14:textId="2620A668" w:rsidR="00B62BFD" w:rsidRPr="00EB561B" w:rsidRDefault="00B62BFD" w:rsidP="00B62BFD">
            <w:pPr>
              <w:pStyle w:val="Heading2"/>
              <w:rPr>
                <w:szCs w:val="22"/>
              </w:rPr>
            </w:pPr>
            <w:bookmarkStart w:id="82" w:name="_Toc96868266"/>
            <w:bookmarkStart w:id="83" w:name="_Toc104910457"/>
            <w:bookmarkStart w:id="84" w:name="_Toc106708904"/>
            <w:bookmarkStart w:id="85" w:name="_Hlk102141028"/>
            <w:r w:rsidRPr="00367CC8">
              <w:t>Conversion from DOAC to warfarin</w:t>
            </w:r>
            <w:bookmarkEnd w:id="82"/>
            <w:bookmarkEnd w:id="83"/>
            <w:bookmarkEnd w:id="84"/>
          </w:p>
        </w:tc>
      </w:tr>
      <w:tr w:rsidR="000828CD" w:rsidRPr="00EB561B" w14:paraId="3FEF7E89" w14:textId="77777777" w:rsidTr="000828CD">
        <w:trPr>
          <w:cantSplit/>
          <w:jc w:val="center"/>
        </w:trPr>
        <w:tc>
          <w:tcPr>
            <w:tcW w:w="1162" w:type="pct"/>
            <w:shd w:val="clear" w:color="auto" w:fill="DBE5F1" w:themeFill="accent1" w:themeFillTint="33"/>
            <w:vAlign w:val="center"/>
          </w:tcPr>
          <w:p w14:paraId="6236F2BA" w14:textId="3E723E76" w:rsidR="000828CD" w:rsidRPr="000828CD" w:rsidRDefault="000828CD" w:rsidP="000828CD">
            <w:pPr>
              <w:rPr>
                <w:b/>
                <w:bCs/>
              </w:rPr>
            </w:pPr>
            <w:r w:rsidRPr="000828CD">
              <w:rPr>
                <w:b/>
                <w:bCs/>
              </w:rPr>
              <w:t>Dabigatran (Pradaxa</w:t>
            </w:r>
            <w:r w:rsidRPr="000828CD">
              <w:rPr>
                <w:b/>
                <w:bCs/>
              </w:rPr>
              <w:sym w:font="Symbol" w:char="F0D2"/>
            </w:r>
            <w:r w:rsidRPr="000828CD">
              <w:rPr>
                <w:b/>
                <w:bCs/>
              </w:rPr>
              <w:t>)</w:t>
            </w:r>
            <w:r w:rsidRPr="000828CD">
              <w:rPr>
                <w:b/>
                <w:bCs/>
                <w:vertAlign w:val="superscript"/>
              </w:rPr>
              <w:t>1</w:t>
            </w:r>
          </w:p>
        </w:tc>
        <w:tc>
          <w:tcPr>
            <w:tcW w:w="3838" w:type="pct"/>
            <w:shd w:val="clear" w:color="auto" w:fill="auto"/>
            <w:vAlign w:val="center"/>
          </w:tcPr>
          <w:p w14:paraId="2AD6CC1D" w14:textId="77777777" w:rsidR="000828CD" w:rsidRPr="00EB561B" w:rsidRDefault="000828CD" w:rsidP="000828CD">
            <w:pPr>
              <w:rPr>
                <w:szCs w:val="22"/>
              </w:rPr>
            </w:pPr>
            <w:r w:rsidRPr="00EB561B">
              <w:rPr>
                <w:szCs w:val="22"/>
              </w:rPr>
              <w:t>Adjust the starting time of the warfarin based on CrCl as follows:</w:t>
            </w:r>
          </w:p>
          <w:p w14:paraId="0D614C94" w14:textId="77777777" w:rsidR="000828CD" w:rsidRPr="00EB561B" w:rsidRDefault="000828CD" w:rsidP="000828CD">
            <w:pPr>
              <w:rPr>
                <w:szCs w:val="22"/>
              </w:rPr>
            </w:pPr>
            <w:r w:rsidRPr="00EB561B">
              <w:rPr>
                <w:szCs w:val="22"/>
              </w:rPr>
              <w:t>CrCl ≥ 50mL/min, start warfarin 3 days before discontinuing dabigatran etexilate</w:t>
            </w:r>
          </w:p>
          <w:p w14:paraId="68C38DA6" w14:textId="77777777" w:rsidR="000828CD" w:rsidRPr="00EB561B" w:rsidRDefault="000828CD" w:rsidP="000828CD">
            <w:pPr>
              <w:rPr>
                <w:szCs w:val="22"/>
              </w:rPr>
            </w:pPr>
            <w:r w:rsidRPr="00EB561B">
              <w:rPr>
                <w:szCs w:val="22"/>
              </w:rPr>
              <w:t>CrCl ≥30 - &lt;50 mL/min, start warfarin 2 days before discontinuing dabigatran etexilate</w:t>
            </w:r>
          </w:p>
          <w:p w14:paraId="710AA1D6" w14:textId="68473E9B" w:rsidR="000828CD" w:rsidRPr="00EB561B" w:rsidRDefault="000828CD" w:rsidP="000828CD">
            <w:pPr>
              <w:rPr>
                <w:szCs w:val="22"/>
              </w:rPr>
            </w:pPr>
            <w:r w:rsidRPr="00EB561B">
              <w:rPr>
                <w:szCs w:val="22"/>
              </w:rPr>
              <w:t>As dabigatran can increase INR, the INR will better reflect warfarin's effect only after dabigatran has been stopped for at least 2 days. Until then, INR values should be interpreted with caution</w:t>
            </w:r>
          </w:p>
        </w:tc>
      </w:tr>
      <w:tr w:rsidR="000828CD" w:rsidRPr="00EB561B" w14:paraId="63B9225D" w14:textId="77777777" w:rsidTr="00A74AF3">
        <w:trPr>
          <w:cantSplit/>
          <w:jc w:val="center"/>
        </w:trPr>
        <w:tc>
          <w:tcPr>
            <w:tcW w:w="1162" w:type="pct"/>
            <w:shd w:val="clear" w:color="auto" w:fill="F2DBDB" w:themeFill="accent2" w:themeFillTint="33"/>
            <w:vAlign w:val="center"/>
          </w:tcPr>
          <w:p w14:paraId="3E6EE1D6" w14:textId="3FD3190C" w:rsidR="000828CD" w:rsidRPr="000828CD" w:rsidRDefault="000828CD" w:rsidP="000828CD">
            <w:pPr>
              <w:rPr>
                <w:b/>
                <w:bCs/>
              </w:rPr>
            </w:pPr>
            <w:r w:rsidRPr="000828CD">
              <w:rPr>
                <w:b/>
                <w:bCs/>
              </w:rPr>
              <w:t>Rivaroxaban (Xarelto</w:t>
            </w:r>
            <w:r w:rsidRPr="000828CD">
              <w:rPr>
                <w:b/>
                <w:bCs/>
              </w:rPr>
              <w:sym w:font="Symbol" w:char="F0D2"/>
            </w:r>
            <w:r w:rsidRPr="000828CD">
              <w:rPr>
                <w:rFonts w:cs="Arial"/>
                <w:b/>
                <w:bCs/>
              </w:rPr>
              <w:t>▼</w:t>
            </w:r>
            <w:r w:rsidRPr="000828CD">
              <w:rPr>
                <w:b/>
                <w:bCs/>
              </w:rPr>
              <w:t>)</w:t>
            </w:r>
            <w:r w:rsidRPr="000828CD">
              <w:rPr>
                <w:b/>
                <w:bCs/>
                <w:vertAlign w:val="superscript"/>
              </w:rPr>
              <w:t>2</w:t>
            </w:r>
          </w:p>
        </w:tc>
        <w:tc>
          <w:tcPr>
            <w:tcW w:w="3838" w:type="pct"/>
            <w:shd w:val="clear" w:color="auto" w:fill="auto"/>
            <w:vAlign w:val="center"/>
          </w:tcPr>
          <w:p w14:paraId="1D6EC2F5" w14:textId="77777777" w:rsidR="000828CD" w:rsidRPr="00EB561B" w:rsidRDefault="000828CD" w:rsidP="000828CD">
            <w:pPr>
              <w:rPr>
                <w:szCs w:val="22"/>
              </w:rPr>
            </w:pPr>
            <w:r w:rsidRPr="00EB561B">
              <w:rPr>
                <w:szCs w:val="22"/>
              </w:rPr>
              <w:t xml:space="preserve">Warfarin should be given concurrently until the INR is ≥ 2.0 </w:t>
            </w:r>
          </w:p>
          <w:p w14:paraId="75A23EF1" w14:textId="77777777" w:rsidR="000828CD" w:rsidRPr="00EB561B" w:rsidRDefault="000828CD" w:rsidP="000828CD">
            <w:pPr>
              <w:rPr>
                <w:szCs w:val="22"/>
              </w:rPr>
            </w:pPr>
            <w:r w:rsidRPr="00EB561B">
              <w:rPr>
                <w:szCs w:val="22"/>
              </w:rPr>
              <w:t xml:space="preserve">For the first two days of the conversion period, standard initial dosing of warfarin should be used followed by warfarin dosing, as guided by INR testing </w:t>
            </w:r>
          </w:p>
          <w:p w14:paraId="2A4D2DE6" w14:textId="77777777" w:rsidR="000828CD" w:rsidRPr="00EB561B" w:rsidRDefault="000828CD" w:rsidP="000828CD">
            <w:pPr>
              <w:rPr>
                <w:szCs w:val="22"/>
              </w:rPr>
            </w:pPr>
            <w:r w:rsidRPr="00EB561B">
              <w:rPr>
                <w:szCs w:val="22"/>
              </w:rPr>
              <w:t xml:space="preserve">While patients are on both rivaroxaban and warfarin the INR should not be tested earlier than 24 hours after the previous dose but prior to the next dose of rivaroxaban </w:t>
            </w:r>
          </w:p>
          <w:p w14:paraId="3EDA9CAB" w14:textId="3FE272E3" w:rsidR="000828CD" w:rsidRPr="00EB561B" w:rsidRDefault="000828CD" w:rsidP="000828CD">
            <w:pPr>
              <w:rPr>
                <w:szCs w:val="22"/>
              </w:rPr>
            </w:pPr>
            <w:r w:rsidRPr="00EB561B">
              <w:rPr>
                <w:szCs w:val="22"/>
              </w:rPr>
              <w:t>Once rivaroxaban is discontinued INR testing may be done reliably at least 24 hours after the last dose</w:t>
            </w:r>
          </w:p>
        </w:tc>
      </w:tr>
      <w:tr w:rsidR="000828CD" w:rsidRPr="00EB561B" w14:paraId="57AC363D" w14:textId="77777777" w:rsidTr="00D36B41">
        <w:trPr>
          <w:cantSplit/>
          <w:jc w:val="center"/>
        </w:trPr>
        <w:tc>
          <w:tcPr>
            <w:tcW w:w="1162" w:type="pct"/>
            <w:shd w:val="clear" w:color="auto" w:fill="E5DFEC" w:themeFill="accent4" w:themeFillTint="33"/>
            <w:vAlign w:val="center"/>
          </w:tcPr>
          <w:p w14:paraId="21E61FAD" w14:textId="2074B595" w:rsidR="000828CD" w:rsidRPr="000828CD" w:rsidRDefault="000828CD" w:rsidP="000828CD">
            <w:pPr>
              <w:rPr>
                <w:b/>
                <w:bCs/>
              </w:rPr>
            </w:pPr>
            <w:r w:rsidRPr="000828CD">
              <w:rPr>
                <w:b/>
                <w:bCs/>
              </w:rPr>
              <w:t>Apixaban (Eliquis</w:t>
            </w:r>
            <w:r w:rsidRPr="000828CD">
              <w:rPr>
                <w:b/>
                <w:bCs/>
              </w:rPr>
              <w:sym w:font="Symbol" w:char="F0D2"/>
            </w:r>
            <w:r w:rsidRPr="000828CD">
              <w:rPr>
                <w:b/>
                <w:bCs/>
              </w:rPr>
              <w:t>)</w:t>
            </w:r>
            <w:r w:rsidRPr="000828CD">
              <w:rPr>
                <w:b/>
                <w:bCs/>
                <w:vertAlign w:val="superscript"/>
              </w:rPr>
              <w:t>3</w:t>
            </w:r>
          </w:p>
        </w:tc>
        <w:tc>
          <w:tcPr>
            <w:tcW w:w="3838" w:type="pct"/>
            <w:shd w:val="clear" w:color="auto" w:fill="auto"/>
            <w:vAlign w:val="center"/>
          </w:tcPr>
          <w:p w14:paraId="69AD7008" w14:textId="6DDD7555" w:rsidR="000828CD" w:rsidRPr="00EB561B" w:rsidRDefault="000828CD" w:rsidP="000828CD">
            <w:pPr>
              <w:rPr>
                <w:szCs w:val="22"/>
              </w:rPr>
            </w:pPr>
            <w:r w:rsidRPr="00EB561B">
              <w:rPr>
                <w:szCs w:val="22"/>
              </w:rPr>
              <w:t xml:space="preserve">Continue administration of apixaban for at least 2 days after beginning warfarin therapy </w:t>
            </w:r>
          </w:p>
          <w:p w14:paraId="1F9A1B7E" w14:textId="63EB2893" w:rsidR="000828CD" w:rsidRPr="000828CD" w:rsidRDefault="000828CD" w:rsidP="000828CD">
            <w:pPr>
              <w:rPr>
                <w:szCs w:val="22"/>
              </w:rPr>
            </w:pPr>
            <w:r w:rsidRPr="00EB561B">
              <w:rPr>
                <w:szCs w:val="22"/>
              </w:rPr>
              <w:t>After 2 days of co-administration of apixaban with warfarin therapy, obtain an INR prior to the next scheduled dose of apixaban</w:t>
            </w:r>
          </w:p>
          <w:p w14:paraId="1459E4D3" w14:textId="6AD1A956" w:rsidR="000828CD" w:rsidRPr="00EB561B" w:rsidRDefault="000828CD" w:rsidP="000828CD">
            <w:pPr>
              <w:rPr>
                <w:szCs w:val="22"/>
              </w:rPr>
            </w:pPr>
            <w:r w:rsidRPr="00EB561B">
              <w:rPr>
                <w:szCs w:val="22"/>
              </w:rPr>
              <w:t>Continue co-administration of apixaban and warfarin therapy until the INR is ≥2.0</w:t>
            </w:r>
          </w:p>
        </w:tc>
      </w:tr>
      <w:tr w:rsidR="000828CD" w:rsidRPr="00EB561B" w14:paraId="0D0E8E50" w14:textId="77777777" w:rsidTr="000828CD">
        <w:trPr>
          <w:cantSplit/>
          <w:trHeight w:val="3380"/>
          <w:jc w:val="center"/>
        </w:trPr>
        <w:tc>
          <w:tcPr>
            <w:tcW w:w="1162" w:type="pct"/>
            <w:shd w:val="clear" w:color="auto" w:fill="FDE9D9" w:themeFill="accent6" w:themeFillTint="33"/>
            <w:vAlign w:val="center"/>
          </w:tcPr>
          <w:p w14:paraId="489E1DD7" w14:textId="3866CEE6" w:rsidR="000828CD" w:rsidRPr="000828CD" w:rsidRDefault="000828CD" w:rsidP="000828CD">
            <w:pPr>
              <w:rPr>
                <w:b/>
                <w:bCs/>
              </w:rPr>
            </w:pPr>
            <w:r w:rsidRPr="000828CD">
              <w:rPr>
                <w:b/>
                <w:bCs/>
              </w:rPr>
              <w:t>Edoxaban (Lixiana</w:t>
            </w:r>
            <w:r w:rsidRPr="000828CD">
              <w:rPr>
                <w:b/>
                <w:bCs/>
              </w:rPr>
              <w:sym w:font="Symbol" w:char="F0D2"/>
            </w:r>
            <w:r w:rsidRPr="000828CD">
              <w:rPr>
                <w:b/>
                <w:bCs/>
              </w:rPr>
              <w:t>)</w:t>
            </w:r>
            <w:r w:rsidRPr="000828CD">
              <w:rPr>
                <w:b/>
                <w:bCs/>
                <w:vertAlign w:val="superscript"/>
              </w:rPr>
              <w:t>4</w:t>
            </w:r>
          </w:p>
        </w:tc>
        <w:tc>
          <w:tcPr>
            <w:tcW w:w="3838" w:type="pct"/>
            <w:shd w:val="clear" w:color="auto" w:fill="auto"/>
            <w:vAlign w:val="center"/>
          </w:tcPr>
          <w:p w14:paraId="3A92B01B" w14:textId="4F80826B" w:rsidR="000828CD" w:rsidRPr="00EB561B" w:rsidRDefault="000828CD" w:rsidP="000828CD">
            <w:pPr>
              <w:rPr>
                <w:szCs w:val="22"/>
              </w:rPr>
            </w:pPr>
            <w:r w:rsidRPr="00EB561B">
              <w:rPr>
                <w:szCs w:val="22"/>
              </w:rPr>
              <w:t>60mg dose: Administer 30mg + warfarin</w:t>
            </w:r>
          </w:p>
          <w:p w14:paraId="0B09F6FD" w14:textId="101815BF" w:rsidR="000828CD" w:rsidRPr="00EB561B" w:rsidRDefault="000828CD" w:rsidP="000828CD">
            <w:pPr>
              <w:rPr>
                <w:szCs w:val="22"/>
              </w:rPr>
            </w:pPr>
            <w:r w:rsidRPr="00EB561B">
              <w:rPr>
                <w:szCs w:val="22"/>
              </w:rPr>
              <w:t>30mg dose: Administer 15mg + warfarin</w:t>
            </w:r>
          </w:p>
          <w:p w14:paraId="1111618F" w14:textId="0706EFD2" w:rsidR="000828CD" w:rsidRPr="00EB561B" w:rsidRDefault="000828CD" w:rsidP="000828CD">
            <w:pPr>
              <w:rPr>
                <w:szCs w:val="22"/>
              </w:rPr>
            </w:pPr>
            <w:r w:rsidRPr="00EB561B">
              <w:rPr>
                <w:szCs w:val="22"/>
              </w:rPr>
              <w:t xml:space="preserve">Do not take loading dose of warfarin in order to promptly achieve INR 2-3 </w:t>
            </w:r>
          </w:p>
          <w:p w14:paraId="246B8D96" w14:textId="302AFDF1" w:rsidR="000828CD" w:rsidRPr="00EB561B" w:rsidRDefault="000828CD" w:rsidP="000828CD">
            <w:pPr>
              <w:rPr>
                <w:szCs w:val="22"/>
              </w:rPr>
            </w:pPr>
            <w:r w:rsidRPr="00EB561B">
              <w:rPr>
                <w:szCs w:val="22"/>
              </w:rPr>
              <w:t>Take account of maintenance dose of warfarin and if patient was previously taking warfarin or use validated INR driven warfarin treatment algorithm</w:t>
            </w:r>
          </w:p>
          <w:p w14:paraId="74EB970C" w14:textId="4D2380AB" w:rsidR="000828CD" w:rsidRPr="00EB561B" w:rsidRDefault="000828CD" w:rsidP="000828CD">
            <w:pPr>
              <w:rPr>
                <w:szCs w:val="22"/>
              </w:rPr>
            </w:pPr>
            <w:r w:rsidRPr="00EB561B">
              <w:rPr>
                <w:szCs w:val="22"/>
              </w:rPr>
              <w:t>When INR ≥2, discontinue edoxaban.</w:t>
            </w:r>
            <w:r>
              <w:rPr>
                <w:szCs w:val="22"/>
              </w:rPr>
              <w:t xml:space="preserve"> </w:t>
            </w:r>
            <w:r w:rsidRPr="00EB561B">
              <w:rPr>
                <w:szCs w:val="22"/>
              </w:rPr>
              <w:t>Most patients should be able to achieve INR ≥2 within 14 days of edoxaban + warfarin.</w:t>
            </w:r>
            <w:r>
              <w:rPr>
                <w:szCs w:val="22"/>
              </w:rPr>
              <w:t xml:space="preserve"> </w:t>
            </w:r>
            <w:r w:rsidRPr="00EB561B">
              <w:rPr>
                <w:szCs w:val="22"/>
              </w:rPr>
              <w:t>After 14 days discontinue edoxaban and titrate warfarin to achieve INR 2-3</w:t>
            </w:r>
          </w:p>
        </w:tc>
      </w:tr>
    </w:tbl>
    <w:p w14:paraId="7DE619EB" w14:textId="77777777" w:rsidR="00B62BFD" w:rsidRDefault="00B62BFD"/>
    <w:bookmarkEnd w:id="85"/>
    <w:p w14:paraId="6C891BB6" w14:textId="77777777" w:rsidR="002E47F4" w:rsidRPr="00EB561B" w:rsidRDefault="002E47F4" w:rsidP="002E47F4">
      <w:pPr>
        <w:rPr>
          <w:rFonts w:asciiTheme="majorHAnsi" w:hAnsiTheme="majorHAnsi" w:cstheme="majorHAnsi"/>
          <w:b/>
          <w:szCs w:val="22"/>
        </w:rPr>
      </w:pPr>
    </w:p>
    <w:p w14:paraId="39DC88FE" w14:textId="77777777" w:rsidR="00C037BC" w:rsidRPr="00EB561B" w:rsidRDefault="00C037BC">
      <w:pPr>
        <w:rPr>
          <w:rFonts w:asciiTheme="majorHAnsi" w:hAnsiTheme="majorHAnsi" w:cstheme="majorHAnsi"/>
          <w:b/>
          <w:szCs w:val="22"/>
        </w:rPr>
      </w:pPr>
      <w:r w:rsidRPr="00EB561B">
        <w:rPr>
          <w:rFonts w:asciiTheme="majorHAnsi" w:hAnsiTheme="majorHAnsi" w:cstheme="majorHAnsi"/>
          <w:b/>
          <w:szCs w:val="22"/>
        </w:rPr>
        <w:br w:type="page"/>
      </w:r>
    </w:p>
    <w:tbl>
      <w:tblPr>
        <w:tblStyle w:val="TableGrid"/>
        <w:tblW w:w="0" w:type="auto"/>
        <w:tblLook w:val="04A0" w:firstRow="1" w:lastRow="0" w:firstColumn="1" w:lastColumn="0" w:noHBand="0" w:noVBand="1"/>
      </w:tblPr>
      <w:tblGrid>
        <w:gridCol w:w="2547"/>
        <w:gridCol w:w="6918"/>
      </w:tblGrid>
      <w:tr w:rsidR="003E034D" w:rsidRPr="00EB561B" w14:paraId="23944BDB" w14:textId="77777777" w:rsidTr="00A14051">
        <w:trPr>
          <w:trHeight w:val="406"/>
        </w:trPr>
        <w:tc>
          <w:tcPr>
            <w:tcW w:w="9465" w:type="dxa"/>
            <w:gridSpan w:val="2"/>
            <w:shd w:val="clear" w:color="auto" w:fill="F2F2F2" w:themeFill="background1" w:themeFillShade="F2"/>
            <w:vAlign w:val="center"/>
          </w:tcPr>
          <w:p w14:paraId="2424671B" w14:textId="48967602" w:rsidR="003E034D" w:rsidRPr="00EB561B" w:rsidRDefault="003E034D" w:rsidP="000828CD">
            <w:pPr>
              <w:pStyle w:val="Heading2"/>
            </w:pPr>
            <w:bookmarkStart w:id="86" w:name="_Toc104910458"/>
            <w:bookmarkStart w:id="87" w:name="_Toc106708905"/>
            <w:r w:rsidRPr="00EB561B">
              <w:lastRenderedPageBreak/>
              <w:t xml:space="preserve">Conversion from DOAC </w:t>
            </w:r>
            <w:r w:rsidRPr="000828CD">
              <w:t>to</w:t>
            </w:r>
            <w:r w:rsidRPr="00EB561B">
              <w:t xml:space="preserve"> edoxaban</w:t>
            </w:r>
            <w:bookmarkEnd w:id="86"/>
            <w:bookmarkEnd w:id="87"/>
          </w:p>
        </w:tc>
      </w:tr>
      <w:tr w:rsidR="000828CD" w:rsidRPr="00EB561B" w14:paraId="164F2238" w14:textId="77777777" w:rsidTr="00246F02">
        <w:trPr>
          <w:trHeight w:val="406"/>
        </w:trPr>
        <w:tc>
          <w:tcPr>
            <w:tcW w:w="2547" w:type="dxa"/>
            <w:shd w:val="clear" w:color="auto" w:fill="DBE5F1" w:themeFill="accent1" w:themeFillTint="33"/>
            <w:vAlign w:val="center"/>
          </w:tcPr>
          <w:p w14:paraId="79CE6094" w14:textId="6C4A7DBF" w:rsidR="000828CD" w:rsidRPr="00EB561B" w:rsidRDefault="000828CD" w:rsidP="000828CD">
            <w:r w:rsidRPr="000828CD">
              <w:rPr>
                <w:b/>
                <w:bCs/>
              </w:rPr>
              <w:t>Dabigatran (Pradaxa</w:t>
            </w:r>
            <w:r w:rsidRPr="000828CD">
              <w:rPr>
                <w:b/>
                <w:bCs/>
              </w:rPr>
              <w:sym w:font="Symbol" w:char="F0D2"/>
            </w:r>
            <w:r w:rsidRPr="000828CD">
              <w:rPr>
                <w:b/>
                <w:bCs/>
              </w:rPr>
              <w:t>)</w:t>
            </w:r>
            <w:r w:rsidRPr="000828CD">
              <w:rPr>
                <w:b/>
                <w:bCs/>
                <w:vertAlign w:val="superscript"/>
              </w:rPr>
              <w:t>1</w:t>
            </w:r>
          </w:p>
        </w:tc>
        <w:tc>
          <w:tcPr>
            <w:tcW w:w="6918" w:type="dxa"/>
            <w:shd w:val="clear" w:color="auto" w:fill="auto"/>
            <w:vAlign w:val="center"/>
          </w:tcPr>
          <w:p w14:paraId="7BF3BFE9" w14:textId="77777777" w:rsidR="000828CD" w:rsidRPr="00EB561B" w:rsidRDefault="000828CD" w:rsidP="000828CD">
            <w:pPr>
              <w:rPr>
                <w:bCs/>
                <w:vertAlign w:val="superscript"/>
              </w:rPr>
            </w:pPr>
            <w:r w:rsidRPr="00EB561B">
              <w:rPr>
                <w:bCs/>
              </w:rPr>
              <w:t>Stop dabigatran and start edoxaban when the next dose of dabigatran would have been due</w:t>
            </w:r>
            <w:r w:rsidRPr="00EB561B">
              <w:rPr>
                <w:bCs/>
                <w:vertAlign w:val="superscript"/>
              </w:rPr>
              <w:t>4,21</w:t>
            </w:r>
          </w:p>
          <w:p w14:paraId="16675C5D" w14:textId="511650D8" w:rsidR="000828CD" w:rsidRPr="00EB561B" w:rsidRDefault="000828CD" w:rsidP="000828CD">
            <w:r w:rsidRPr="00EB561B">
              <w:rPr>
                <w:bCs/>
              </w:rPr>
              <w:t>If higher therapeutic plasma concentrations are expected, e.g. impaired renal function, a longer interval between dabigatran stopping and edoxaban starting is recommended</w:t>
            </w:r>
            <w:r w:rsidRPr="00EB561B">
              <w:rPr>
                <w:bCs/>
                <w:vertAlign w:val="superscript"/>
              </w:rPr>
              <w:t xml:space="preserve">21 </w:t>
            </w:r>
          </w:p>
        </w:tc>
      </w:tr>
      <w:tr w:rsidR="000828CD" w:rsidRPr="00EB561B" w14:paraId="68CA02AC" w14:textId="77777777" w:rsidTr="00246F02">
        <w:trPr>
          <w:trHeight w:val="406"/>
        </w:trPr>
        <w:tc>
          <w:tcPr>
            <w:tcW w:w="2547" w:type="dxa"/>
            <w:shd w:val="clear" w:color="auto" w:fill="F2DBDB" w:themeFill="accent2" w:themeFillTint="33"/>
            <w:vAlign w:val="center"/>
          </w:tcPr>
          <w:p w14:paraId="6C1A3DBF" w14:textId="00C70C31" w:rsidR="000828CD" w:rsidRPr="00EB561B" w:rsidRDefault="000828CD" w:rsidP="000828CD">
            <w:r w:rsidRPr="000828CD">
              <w:rPr>
                <w:b/>
                <w:bCs/>
              </w:rPr>
              <w:t>Rivaroxaban (Xarelto</w:t>
            </w:r>
            <w:r w:rsidRPr="000828CD">
              <w:rPr>
                <w:b/>
                <w:bCs/>
              </w:rPr>
              <w:sym w:font="Symbol" w:char="F0D2"/>
            </w:r>
            <w:r w:rsidRPr="000828CD">
              <w:rPr>
                <w:rFonts w:cs="Arial"/>
                <w:b/>
                <w:bCs/>
              </w:rPr>
              <w:t>▼</w:t>
            </w:r>
            <w:r w:rsidRPr="000828CD">
              <w:rPr>
                <w:b/>
                <w:bCs/>
              </w:rPr>
              <w:t>)</w:t>
            </w:r>
            <w:r w:rsidRPr="000828CD">
              <w:rPr>
                <w:b/>
                <w:bCs/>
                <w:vertAlign w:val="superscript"/>
              </w:rPr>
              <w:t>2</w:t>
            </w:r>
          </w:p>
        </w:tc>
        <w:tc>
          <w:tcPr>
            <w:tcW w:w="6918" w:type="dxa"/>
            <w:shd w:val="clear" w:color="auto" w:fill="auto"/>
            <w:vAlign w:val="center"/>
          </w:tcPr>
          <w:p w14:paraId="6667E88F" w14:textId="77777777" w:rsidR="000828CD" w:rsidRPr="00EB561B" w:rsidRDefault="000828CD" w:rsidP="000828CD">
            <w:pPr>
              <w:rPr>
                <w:bCs/>
                <w:vertAlign w:val="superscript"/>
              </w:rPr>
            </w:pPr>
            <w:r w:rsidRPr="00EB561B">
              <w:rPr>
                <w:bCs/>
              </w:rPr>
              <w:t>Stop rivaroxaban and start edoxaban when the next dose of rivaroxaban would have been due</w:t>
            </w:r>
            <w:r w:rsidRPr="00EB561B">
              <w:rPr>
                <w:bCs/>
                <w:vertAlign w:val="superscript"/>
              </w:rPr>
              <w:t>4,21</w:t>
            </w:r>
          </w:p>
          <w:p w14:paraId="45BFC3DE" w14:textId="475018A7" w:rsidR="000828CD" w:rsidRPr="00EB561B" w:rsidRDefault="000828CD" w:rsidP="000828CD">
            <w:r w:rsidRPr="00EB561B">
              <w:rPr>
                <w:bCs/>
              </w:rPr>
              <w:t>If higher therapeutic plasma concentrations are expected, e.g. impaired renal function, a longer interval between rivaroxaban stopping and edoxaban starting is recommended</w:t>
            </w:r>
            <w:r w:rsidRPr="00EB561B">
              <w:rPr>
                <w:bCs/>
                <w:vertAlign w:val="superscript"/>
              </w:rPr>
              <w:t>21</w:t>
            </w:r>
            <w:r w:rsidRPr="00EB561B">
              <w:rPr>
                <w:bCs/>
              </w:rPr>
              <w:t xml:space="preserve"> </w:t>
            </w:r>
          </w:p>
        </w:tc>
      </w:tr>
      <w:tr w:rsidR="000828CD" w:rsidRPr="00EB561B" w14:paraId="0EE00544" w14:textId="77777777" w:rsidTr="00246F02">
        <w:trPr>
          <w:trHeight w:val="406"/>
        </w:trPr>
        <w:tc>
          <w:tcPr>
            <w:tcW w:w="2547" w:type="dxa"/>
            <w:shd w:val="clear" w:color="auto" w:fill="E5DFEC" w:themeFill="accent4" w:themeFillTint="33"/>
            <w:vAlign w:val="center"/>
          </w:tcPr>
          <w:p w14:paraId="2066D2BB" w14:textId="2CE345E7" w:rsidR="000828CD" w:rsidRPr="007D4F98" w:rsidRDefault="000828CD" w:rsidP="000828CD">
            <w:pPr>
              <w:rPr>
                <w:b/>
                <w:bCs/>
              </w:rPr>
            </w:pPr>
            <w:r w:rsidRPr="000828CD">
              <w:rPr>
                <w:b/>
                <w:bCs/>
              </w:rPr>
              <w:t xml:space="preserve">Apixaban </w:t>
            </w:r>
            <w:r w:rsidR="007D1B0D">
              <w:rPr>
                <w:b/>
                <w:bCs/>
              </w:rPr>
              <w:t xml:space="preserve">   </w:t>
            </w:r>
            <w:r w:rsidRPr="000828CD">
              <w:rPr>
                <w:b/>
                <w:bCs/>
              </w:rPr>
              <w:t>(Eliquis</w:t>
            </w:r>
            <w:r w:rsidRPr="000828CD">
              <w:rPr>
                <w:b/>
                <w:bCs/>
              </w:rPr>
              <w:sym w:font="Symbol" w:char="F0D2"/>
            </w:r>
            <w:r w:rsidRPr="000828CD">
              <w:rPr>
                <w:b/>
                <w:bCs/>
              </w:rPr>
              <w:t>)</w:t>
            </w:r>
            <w:r w:rsidRPr="000828CD">
              <w:rPr>
                <w:b/>
                <w:bCs/>
                <w:vertAlign w:val="superscript"/>
              </w:rPr>
              <w:t>3</w:t>
            </w:r>
          </w:p>
        </w:tc>
        <w:tc>
          <w:tcPr>
            <w:tcW w:w="6918" w:type="dxa"/>
            <w:shd w:val="clear" w:color="auto" w:fill="auto"/>
            <w:vAlign w:val="center"/>
          </w:tcPr>
          <w:p w14:paraId="1006D0BF" w14:textId="77777777" w:rsidR="000828CD" w:rsidRPr="00EB561B" w:rsidRDefault="000828CD" w:rsidP="000828CD">
            <w:pPr>
              <w:rPr>
                <w:bCs/>
              </w:rPr>
            </w:pPr>
            <w:r w:rsidRPr="00EB561B">
              <w:rPr>
                <w:bCs/>
              </w:rPr>
              <w:t>Stop apixaban and start edoxaban when the next dose of apixaban would have been due</w:t>
            </w:r>
            <w:r w:rsidRPr="00EB561B">
              <w:rPr>
                <w:bCs/>
                <w:vertAlign w:val="superscript"/>
              </w:rPr>
              <w:t>4,21</w:t>
            </w:r>
            <w:r w:rsidRPr="00EB561B">
              <w:rPr>
                <w:bCs/>
              </w:rPr>
              <w:t xml:space="preserve"> </w:t>
            </w:r>
          </w:p>
          <w:p w14:paraId="23AF15B2" w14:textId="68BEC486" w:rsidR="000828CD" w:rsidRPr="00EB561B" w:rsidRDefault="000828CD" w:rsidP="000828CD">
            <w:r w:rsidRPr="00EB561B">
              <w:rPr>
                <w:bCs/>
              </w:rPr>
              <w:t>If higher therapeutic plasma concentrations are expected, e.g. impaired renal function, a longer interval between apixaban stopping and edoxaban starting is recommended</w:t>
            </w:r>
            <w:r w:rsidRPr="00EB561B">
              <w:rPr>
                <w:bCs/>
                <w:vertAlign w:val="superscript"/>
              </w:rPr>
              <w:t>21</w:t>
            </w:r>
            <w:r w:rsidRPr="00EB561B">
              <w:rPr>
                <w:bCs/>
              </w:rPr>
              <w:t xml:space="preserve"> </w:t>
            </w:r>
          </w:p>
        </w:tc>
      </w:tr>
    </w:tbl>
    <w:p w14:paraId="31EBD60D" w14:textId="77777777" w:rsidR="000828CD" w:rsidRDefault="000828CD"/>
    <w:tbl>
      <w:tblPr>
        <w:tblStyle w:val="TableGrid"/>
        <w:tblW w:w="0" w:type="auto"/>
        <w:tblLook w:val="04A0" w:firstRow="1" w:lastRow="0" w:firstColumn="1" w:lastColumn="0" w:noHBand="0" w:noVBand="1"/>
      </w:tblPr>
      <w:tblGrid>
        <w:gridCol w:w="2263"/>
        <w:gridCol w:w="7202"/>
      </w:tblGrid>
      <w:tr w:rsidR="000828CD" w:rsidRPr="00EB561B" w14:paraId="52AD0A05" w14:textId="77777777" w:rsidTr="001F0C45">
        <w:trPr>
          <w:trHeight w:val="406"/>
        </w:trPr>
        <w:tc>
          <w:tcPr>
            <w:tcW w:w="9465" w:type="dxa"/>
            <w:gridSpan w:val="2"/>
            <w:shd w:val="clear" w:color="auto" w:fill="F2F2F2" w:themeFill="background1" w:themeFillShade="F2"/>
            <w:vAlign w:val="center"/>
          </w:tcPr>
          <w:p w14:paraId="37264836" w14:textId="7D3969C7" w:rsidR="000828CD" w:rsidRPr="00EB561B" w:rsidRDefault="000828CD" w:rsidP="001F0C45">
            <w:pPr>
              <w:pStyle w:val="Heading2"/>
            </w:pPr>
            <w:bookmarkStart w:id="88" w:name="_Toc106708906"/>
            <w:r w:rsidRPr="000828CD">
              <w:t>Conversion from parenteral anticoagulant to oral anticoagulant</w:t>
            </w:r>
            <w:bookmarkEnd w:id="88"/>
          </w:p>
        </w:tc>
      </w:tr>
      <w:tr w:rsidR="000828CD" w:rsidRPr="00EB561B" w14:paraId="5096DC34" w14:textId="77777777" w:rsidTr="00246F02">
        <w:trPr>
          <w:trHeight w:val="406"/>
        </w:trPr>
        <w:tc>
          <w:tcPr>
            <w:tcW w:w="2263" w:type="dxa"/>
            <w:shd w:val="clear" w:color="auto" w:fill="DBE5F1" w:themeFill="accent1" w:themeFillTint="33"/>
            <w:vAlign w:val="center"/>
          </w:tcPr>
          <w:p w14:paraId="536649D1" w14:textId="77777777" w:rsidR="000828CD" w:rsidRPr="00EB561B" w:rsidRDefault="000828CD" w:rsidP="000828CD">
            <w:r w:rsidRPr="000828CD">
              <w:rPr>
                <w:b/>
                <w:bCs/>
              </w:rPr>
              <w:t>Dabigatran (Pradaxa</w:t>
            </w:r>
            <w:r w:rsidRPr="000828CD">
              <w:rPr>
                <w:b/>
                <w:bCs/>
              </w:rPr>
              <w:sym w:font="Symbol" w:char="F0D2"/>
            </w:r>
            <w:r w:rsidRPr="000828CD">
              <w:rPr>
                <w:b/>
                <w:bCs/>
              </w:rPr>
              <w:t>)</w:t>
            </w:r>
            <w:r w:rsidRPr="000828CD">
              <w:rPr>
                <w:b/>
                <w:bCs/>
                <w:vertAlign w:val="superscript"/>
              </w:rPr>
              <w:t>1</w:t>
            </w:r>
          </w:p>
        </w:tc>
        <w:tc>
          <w:tcPr>
            <w:tcW w:w="7202" w:type="dxa"/>
            <w:shd w:val="clear" w:color="auto" w:fill="auto"/>
            <w:vAlign w:val="center"/>
          </w:tcPr>
          <w:p w14:paraId="5F4DAA3A" w14:textId="712867E5" w:rsidR="000828CD" w:rsidRPr="00EB561B" w:rsidRDefault="000828CD" w:rsidP="00246F02">
            <w:r w:rsidRPr="00EB561B">
              <w:t xml:space="preserve">Discontinue the parenteral anticoagulant </w:t>
            </w:r>
          </w:p>
          <w:p w14:paraId="3932CDC3" w14:textId="1AD7B78D" w:rsidR="004D5112" w:rsidRDefault="000828CD" w:rsidP="00246F02">
            <w:r w:rsidRPr="00EB561B">
              <w:t>Start dabigatran</w:t>
            </w:r>
            <w:r>
              <w:t xml:space="preserve"> </w:t>
            </w:r>
            <w:r w:rsidRPr="00EB561B">
              <w:t>0-2 hours prior to the time that the next dose of the parenteral anticoagulant would be due</w:t>
            </w:r>
            <w:r w:rsidR="004D5112">
              <w:t xml:space="preserve">, </w:t>
            </w:r>
            <w:r w:rsidRPr="007D4F98">
              <w:rPr>
                <w:b/>
                <w:bCs/>
              </w:rPr>
              <w:t>or</w:t>
            </w:r>
            <w:r w:rsidRPr="00EB561B">
              <w:t xml:space="preserve"> </w:t>
            </w:r>
          </w:p>
          <w:p w14:paraId="7F78991D" w14:textId="757F48F9" w:rsidR="000828CD" w:rsidRPr="000828CD" w:rsidRDefault="004D5112" w:rsidP="00246F02">
            <w:r>
              <w:t xml:space="preserve">Start dabigatran </w:t>
            </w:r>
            <w:r w:rsidR="000828CD" w:rsidRPr="00EB561B">
              <w:t>at the time of discontinuation in case of continuous treatment (e.g. intravenous unfractionated heparin)</w:t>
            </w:r>
          </w:p>
        </w:tc>
      </w:tr>
      <w:tr w:rsidR="000828CD" w:rsidRPr="00EB561B" w14:paraId="679AE4DB" w14:textId="77777777" w:rsidTr="00246F02">
        <w:trPr>
          <w:trHeight w:val="406"/>
        </w:trPr>
        <w:tc>
          <w:tcPr>
            <w:tcW w:w="2263" w:type="dxa"/>
            <w:shd w:val="clear" w:color="auto" w:fill="F2DBDB" w:themeFill="accent2" w:themeFillTint="33"/>
            <w:vAlign w:val="center"/>
          </w:tcPr>
          <w:p w14:paraId="468A9BAB" w14:textId="77777777" w:rsidR="000828CD" w:rsidRPr="00EB561B" w:rsidRDefault="000828CD" w:rsidP="000828CD">
            <w:r w:rsidRPr="000828CD">
              <w:rPr>
                <w:b/>
                <w:bCs/>
              </w:rPr>
              <w:t>Rivaroxaban (Xarelto</w:t>
            </w:r>
            <w:r w:rsidRPr="000828CD">
              <w:rPr>
                <w:b/>
                <w:bCs/>
              </w:rPr>
              <w:sym w:font="Symbol" w:char="F0D2"/>
            </w:r>
            <w:r w:rsidRPr="000828CD">
              <w:rPr>
                <w:rFonts w:cs="Arial"/>
                <w:b/>
                <w:bCs/>
              </w:rPr>
              <w:t>▼</w:t>
            </w:r>
            <w:r w:rsidRPr="000828CD">
              <w:rPr>
                <w:b/>
                <w:bCs/>
              </w:rPr>
              <w:t>)</w:t>
            </w:r>
            <w:r w:rsidRPr="000828CD">
              <w:rPr>
                <w:b/>
                <w:bCs/>
                <w:vertAlign w:val="superscript"/>
              </w:rPr>
              <w:t>2</w:t>
            </w:r>
          </w:p>
        </w:tc>
        <w:tc>
          <w:tcPr>
            <w:tcW w:w="7202" w:type="dxa"/>
            <w:shd w:val="clear" w:color="auto" w:fill="auto"/>
            <w:vAlign w:val="center"/>
          </w:tcPr>
          <w:p w14:paraId="5C134C95" w14:textId="057B32DC" w:rsidR="000828CD" w:rsidRPr="00EB561B" w:rsidRDefault="000828CD" w:rsidP="00246F02">
            <w:r w:rsidRPr="00EB561B">
              <w:t xml:space="preserve">Discontinue the parenteral anticoagulant </w:t>
            </w:r>
          </w:p>
          <w:p w14:paraId="55347DE4" w14:textId="0E2BDD92" w:rsidR="004D5112" w:rsidRDefault="000828CD" w:rsidP="00246F02">
            <w:r w:rsidRPr="00EB561B">
              <w:t>Start rivaroxaban 0 to 2 hours before the time that the next scheduled administration of the parenteral medicinal product (e.g. low molecular weight heparin (LMWH)) would be due</w:t>
            </w:r>
            <w:r w:rsidR="004D5112">
              <w:t>,</w:t>
            </w:r>
            <w:r w:rsidRPr="00EB561B">
              <w:t xml:space="preserve"> </w:t>
            </w:r>
            <w:r w:rsidRPr="007D4F98">
              <w:rPr>
                <w:b/>
                <w:bCs/>
              </w:rPr>
              <w:t xml:space="preserve">or </w:t>
            </w:r>
          </w:p>
          <w:p w14:paraId="0C27A2BD" w14:textId="18D6A9F0" w:rsidR="000828CD" w:rsidRPr="00EB561B" w:rsidRDefault="004D5112" w:rsidP="00246F02">
            <w:r>
              <w:t xml:space="preserve">Start rivaroxaban </w:t>
            </w:r>
            <w:r w:rsidR="000828CD" w:rsidRPr="00EB561B">
              <w:t>at the time of discontinuation of a continuously administered parenteral medicinal product (e.g. intravenous unfractionated heparin)</w:t>
            </w:r>
          </w:p>
        </w:tc>
      </w:tr>
      <w:tr w:rsidR="000828CD" w:rsidRPr="00EB561B" w14:paraId="05686086" w14:textId="77777777" w:rsidTr="00246F02">
        <w:trPr>
          <w:trHeight w:val="406"/>
        </w:trPr>
        <w:tc>
          <w:tcPr>
            <w:tcW w:w="2263" w:type="dxa"/>
            <w:shd w:val="clear" w:color="auto" w:fill="E5DFEC" w:themeFill="accent4" w:themeFillTint="33"/>
            <w:vAlign w:val="center"/>
          </w:tcPr>
          <w:p w14:paraId="3C4A883D" w14:textId="77777777" w:rsidR="000828CD" w:rsidRPr="00EB561B" w:rsidRDefault="000828CD" w:rsidP="000828CD">
            <w:r w:rsidRPr="000828CD">
              <w:rPr>
                <w:b/>
                <w:bCs/>
              </w:rPr>
              <w:t>Apixaban (Eliquis</w:t>
            </w:r>
            <w:r w:rsidRPr="000828CD">
              <w:rPr>
                <w:b/>
                <w:bCs/>
              </w:rPr>
              <w:sym w:font="Symbol" w:char="F0D2"/>
            </w:r>
            <w:r w:rsidRPr="000828CD">
              <w:rPr>
                <w:b/>
                <w:bCs/>
              </w:rPr>
              <w:t>)</w:t>
            </w:r>
            <w:r w:rsidRPr="000828CD">
              <w:rPr>
                <w:b/>
                <w:bCs/>
                <w:vertAlign w:val="superscript"/>
              </w:rPr>
              <w:t>3</w:t>
            </w:r>
          </w:p>
        </w:tc>
        <w:tc>
          <w:tcPr>
            <w:tcW w:w="7202" w:type="dxa"/>
            <w:shd w:val="clear" w:color="auto" w:fill="auto"/>
            <w:vAlign w:val="center"/>
          </w:tcPr>
          <w:p w14:paraId="0BEFB110" w14:textId="3F5FB683" w:rsidR="000828CD" w:rsidRPr="00EB561B" w:rsidRDefault="000828CD" w:rsidP="00246F02">
            <w:r w:rsidRPr="00EB561B">
              <w:t>Switching treatment from parenteral anticoagulants to apixaban (and vice versa) can be done at the next scheduled dose</w:t>
            </w:r>
          </w:p>
        </w:tc>
      </w:tr>
      <w:tr w:rsidR="000828CD" w:rsidRPr="00EB561B" w14:paraId="4A2AEB6F" w14:textId="77777777" w:rsidTr="00246F02">
        <w:trPr>
          <w:trHeight w:val="938"/>
        </w:trPr>
        <w:tc>
          <w:tcPr>
            <w:tcW w:w="2263" w:type="dxa"/>
            <w:shd w:val="clear" w:color="auto" w:fill="FDE9D9" w:themeFill="accent6" w:themeFillTint="33"/>
            <w:vAlign w:val="center"/>
          </w:tcPr>
          <w:p w14:paraId="104BA084" w14:textId="77777777" w:rsidR="000828CD" w:rsidRPr="00EB561B" w:rsidRDefault="000828CD" w:rsidP="000828CD">
            <w:r w:rsidRPr="000828CD">
              <w:rPr>
                <w:b/>
                <w:bCs/>
              </w:rPr>
              <w:t>Edoxaban (Lixiana</w:t>
            </w:r>
            <w:r w:rsidRPr="000828CD">
              <w:rPr>
                <w:b/>
                <w:bCs/>
              </w:rPr>
              <w:sym w:font="Symbol" w:char="F0D2"/>
            </w:r>
            <w:r w:rsidRPr="000828CD">
              <w:rPr>
                <w:b/>
                <w:bCs/>
              </w:rPr>
              <w:t>)</w:t>
            </w:r>
            <w:r w:rsidRPr="000828CD">
              <w:rPr>
                <w:b/>
                <w:bCs/>
                <w:vertAlign w:val="superscript"/>
              </w:rPr>
              <w:t>4</w:t>
            </w:r>
          </w:p>
        </w:tc>
        <w:tc>
          <w:tcPr>
            <w:tcW w:w="7202" w:type="dxa"/>
            <w:shd w:val="clear" w:color="auto" w:fill="auto"/>
            <w:vAlign w:val="center"/>
          </w:tcPr>
          <w:p w14:paraId="53709D27" w14:textId="625AE2CF" w:rsidR="000828CD" w:rsidRPr="00EB561B" w:rsidRDefault="000828CD" w:rsidP="00246F02">
            <w:r w:rsidRPr="00EB561B">
              <w:t>Discontinue subcutaneous anticoagulant (e.g. LMWH)</w:t>
            </w:r>
          </w:p>
          <w:p w14:paraId="0352B97C" w14:textId="53BC0494" w:rsidR="000828CD" w:rsidRPr="00EB561B" w:rsidRDefault="000828CD" w:rsidP="00246F02">
            <w:r w:rsidRPr="00EB561B">
              <w:t>Start edoxaban at the time of the next scheduled subcutaneous anticoagulant dose</w:t>
            </w:r>
          </w:p>
          <w:p w14:paraId="5245B1DE" w14:textId="6F087263" w:rsidR="000828CD" w:rsidRPr="00EB561B" w:rsidRDefault="000828CD" w:rsidP="00246F02">
            <w:r w:rsidRPr="00EB561B">
              <w:t>Discontinue intravenous unfractionated heparin infusion</w:t>
            </w:r>
          </w:p>
          <w:p w14:paraId="4059A565" w14:textId="0A8F281A" w:rsidR="000828CD" w:rsidRPr="00EB561B" w:rsidRDefault="000828CD" w:rsidP="00246F02">
            <w:r w:rsidRPr="00EB561B">
              <w:t>Start edoxaban 4 hours later</w:t>
            </w:r>
          </w:p>
        </w:tc>
      </w:tr>
      <w:tr w:rsidR="00246F02" w:rsidRPr="00EB561B" w14:paraId="0438E952" w14:textId="77777777" w:rsidTr="00246F02">
        <w:trPr>
          <w:trHeight w:val="845"/>
        </w:trPr>
        <w:tc>
          <w:tcPr>
            <w:tcW w:w="2263" w:type="dxa"/>
            <w:shd w:val="clear" w:color="auto" w:fill="EAF1DD" w:themeFill="accent3" w:themeFillTint="33"/>
            <w:vAlign w:val="center"/>
          </w:tcPr>
          <w:p w14:paraId="10AF53A6" w14:textId="09992AB3" w:rsidR="00246F02" w:rsidRPr="000828CD" w:rsidRDefault="00246F02" w:rsidP="00246F02">
            <w:pPr>
              <w:rPr>
                <w:b/>
                <w:bCs/>
              </w:rPr>
            </w:pPr>
            <w:r w:rsidRPr="000828CD">
              <w:rPr>
                <w:b/>
                <w:bCs/>
              </w:rPr>
              <w:t>Warfarin</w:t>
            </w:r>
            <w:r w:rsidRPr="000828CD">
              <w:rPr>
                <w:b/>
                <w:bCs/>
                <w:vertAlign w:val="superscript"/>
              </w:rPr>
              <w:t>5</w:t>
            </w:r>
            <w:r>
              <w:rPr>
                <w:b/>
                <w:bCs/>
                <w:vertAlign w:val="superscript"/>
              </w:rPr>
              <w:t>,6</w:t>
            </w:r>
          </w:p>
        </w:tc>
        <w:tc>
          <w:tcPr>
            <w:tcW w:w="7202" w:type="dxa"/>
            <w:shd w:val="clear" w:color="auto" w:fill="auto"/>
            <w:vAlign w:val="center"/>
          </w:tcPr>
          <w:p w14:paraId="3128C5CC" w14:textId="5C92C815" w:rsidR="00246F02" w:rsidRPr="00EB561B" w:rsidRDefault="00246F02" w:rsidP="00246F02">
            <w:r>
              <w:t>Sta</w:t>
            </w:r>
            <w:r w:rsidRPr="00EB561B">
              <w:t xml:space="preserve">rt warfarin and stop LMWH/unfractionated heparin once INR is in therapeutic range for 2 consecutive days </w:t>
            </w:r>
          </w:p>
        </w:tc>
      </w:tr>
    </w:tbl>
    <w:p w14:paraId="67467450" w14:textId="14E90802" w:rsidR="00246F02" w:rsidRDefault="00246F02"/>
    <w:tbl>
      <w:tblPr>
        <w:tblStyle w:val="TableGrid"/>
        <w:tblW w:w="0" w:type="auto"/>
        <w:tblLook w:val="04A0" w:firstRow="1" w:lastRow="0" w:firstColumn="1" w:lastColumn="0" w:noHBand="0" w:noVBand="1"/>
      </w:tblPr>
      <w:tblGrid>
        <w:gridCol w:w="2405"/>
        <w:gridCol w:w="6945"/>
      </w:tblGrid>
      <w:tr w:rsidR="00246F02" w:rsidRPr="00EB561B" w14:paraId="0A0244A6" w14:textId="77777777" w:rsidTr="001F0C45">
        <w:trPr>
          <w:trHeight w:val="406"/>
        </w:trPr>
        <w:tc>
          <w:tcPr>
            <w:tcW w:w="9350" w:type="dxa"/>
            <w:gridSpan w:val="2"/>
            <w:shd w:val="clear" w:color="auto" w:fill="F2F2F2" w:themeFill="background1" w:themeFillShade="F2"/>
            <w:vAlign w:val="center"/>
          </w:tcPr>
          <w:p w14:paraId="2E0B7E8A" w14:textId="232E6C2A" w:rsidR="00246F02" w:rsidRPr="00EB561B" w:rsidRDefault="00246F02" w:rsidP="001F0C45">
            <w:pPr>
              <w:pStyle w:val="Heading2"/>
            </w:pPr>
            <w:r>
              <w:rPr>
                <w:rFonts w:asciiTheme="majorHAnsi" w:hAnsiTheme="majorHAnsi" w:cstheme="majorHAnsi"/>
                <w:szCs w:val="22"/>
              </w:rPr>
              <w:lastRenderedPageBreak/>
              <w:br w:type="page"/>
            </w:r>
            <w:bookmarkStart w:id="89" w:name="_Toc106708907"/>
            <w:r w:rsidRPr="00246F02">
              <w:t>Missed dose (Also refer to half-life below)</w:t>
            </w:r>
            <w:bookmarkEnd w:id="89"/>
          </w:p>
        </w:tc>
      </w:tr>
      <w:tr w:rsidR="00246F02" w:rsidRPr="00EB561B" w14:paraId="13FC6882" w14:textId="77777777" w:rsidTr="0034513B">
        <w:trPr>
          <w:trHeight w:val="2143"/>
        </w:trPr>
        <w:tc>
          <w:tcPr>
            <w:tcW w:w="2405" w:type="dxa"/>
            <w:shd w:val="clear" w:color="auto" w:fill="DBE5F1" w:themeFill="accent1" w:themeFillTint="33"/>
            <w:vAlign w:val="center"/>
          </w:tcPr>
          <w:p w14:paraId="14103B3C" w14:textId="77777777" w:rsidR="00246F02" w:rsidRPr="00EB561B" w:rsidRDefault="00246F02" w:rsidP="00246F02">
            <w:r w:rsidRPr="000828CD">
              <w:rPr>
                <w:b/>
                <w:bCs/>
              </w:rPr>
              <w:t>Dabigatran (Pradaxa</w:t>
            </w:r>
            <w:r w:rsidRPr="000828CD">
              <w:rPr>
                <w:b/>
                <w:bCs/>
              </w:rPr>
              <w:sym w:font="Symbol" w:char="F0D2"/>
            </w:r>
            <w:r w:rsidRPr="000828CD">
              <w:rPr>
                <w:b/>
                <w:bCs/>
              </w:rPr>
              <w:t>)</w:t>
            </w:r>
            <w:r w:rsidRPr="000828CD">
              <w:rPr>
                <w:b/>
                <w:bCs/>
                <w:vertAlign w:val="superscript"/>
              </w:rPr>
              <w:t>1</w:t>
            </w:r>
          </w:p>
        </w:tc>
        <w:tc>
          <w:tcPr>
            <w:tcW w:w="6945" w:type="dxa"/>
            <w:shd w:val="clear" w:color="auto" w:fill="auto"/>
            <w:vAlign w:val="center"/>
          </w:tcPr>
          <w:p w14:paraId="7EDF4ADB" w14:textId="77777777" w:rsidR="00246F02" w:rsidRPr="00EB561B" w:rsidRDefault="00246F02" w:rsidP="00246F02">
            <w:r w:rsidRPr="00EB561B">
              <w:t>May still be taken up to six hours prior to the next scheduled dose</w:t>
            </w:r>
          </w:p>
          <w:p w14:paraId="734402F8" w14:textId="77777777" w:rsidR="00246F02" w:rsidRPr="00EB561B" w:rsidRDefault="00246F02" w:rsidP="00246F02">
            <w:r w:rsidRPr="00EB561B">
              <w:rPr>
                <w:color w:val="000000"/>
                <w:shd w:val="clear" w:color="auto" w:fill="FFFFFF"/>
              </w:rPr>
              <w:t>From 6 hours prior to the next scheduled dose onwards, the missed dose should be omitted</w:t>
            </w:r>
          </w:p>
          <w:p w14:paraId="6AC14837" w14:textId="1F7ECB30" w:rsidR="00246F02" w:rsidRPr="000828CD" w:rsidRDefault="00246F02" w:rsidP="00246F02">
            <w:r w:rsidRPr="00EB561B">
              <w:t>No double dose should be taken to make up for missed individual doses</w:t>
            </w:r>
          </w:p>
        </w:tc>
      </w:tr>
      <w:tr w:rsidR="00246F02" w:rsidRPr="00EB561B" w14:paraId="115AB883" w14:textId="77777777" w:rsidTr="0034513B">
        <w:trPr>
          <w:trHeight w:val="4370"/>
        </w:trPr>
        <w:tc>
          <w:tcPr>
            <w:tcW w:w="2405" w:type="dxa"/>
            <w:shd w:val="clear" w:color="auto" w:fill="F2DBDB" w:themeFill="accent2" w:themeFillTint="33"/>
            <w:vAlign w:val="center"/>
          </w:tcPr>
          <w:p w14:paraId="554206BC" w14:textId="77777777" w:rsidR="00246F02" w:rsidRPr="00EB561B" w:rsidRDefault="00246F02" w:rsidP="00246F02">
            <w:r w:rsidRPr="000828CD">
              <w:rPr>
                <w:b/>
                <w:bCs/>
              </w:rPr>
              <w:t>Rivaroxaban (Xarelto</w:t>
            </w:r>
            <w:r w:rsidRPr="000828CD">
              <w:rPr>
                <w:b/>
                <w:bCs/>
              </w:rPr>
              <w:sym w:font="Symbol" w:char="F0D2"/>
            </w:r>
            <w:r w:rsidRPr="000828CD">
              <w:rPr>
                <w:rFonts w:cs="Arial"/>
                <w:b/>
                <w:bCs/>
              </w:rPr>
              <w:t>▼</w:t>
            </w:r>
            <w:r w:rsidRPr="000828CD">
              <w:rPr>
                <w:b/>
                <w:bCs/>
              </w:rPr>
              <w:t>)</w:t>
            </w:r>
            <w:r w:rsidRPr="000828CD">
              <w:rPr>
                <w:b/>
                <w:bCs/>
                <w:vertAlign w:val="superscript"/>
              </w:rPr>
              <w:t>2</w:t>
            </w:r>
          </w:p>
        </w:tc>
        <w:tc>
          <w:tcPr>
            <w:tcW w:w="6945" w:type="dxa"/>
            <w:shd w:val="clear" w:color="auto" w:fill="auto"/>
            <w:vAlign w:val="center"/>
          </w:tcPr>
          <w:p w14:paraId="2EF87A68" w14:textId="77777777" w:rsidR="00246F02" w:rsidRPr="00EB561B" w:rsidRDefault="00246F02" w:rsidP="00246F02">
            <w:r w:rsidRPr="00EB561B">
              <w:t>Take missed dose immediately and then continue the following day with once daily intake as recommended</w:t>
            </w:r>
          </w:p>
          <w:p w14:paraId="02654D3F" w14:textId="77777777" w:rsidR="00246F02" w:rsidRPr="00EB561B" w:rsidRDefault="00246F02" w:rsidP="00246F02">
            <w:r w:rsidRPr="00EB561B">
              <w:t>Do not double the dose within the same day to make up for a missed dose</w:t>
            </w:r>
          </w:p>
          <w:p w14:paraId="5857C176" w14:textId="0A7B7C80" w:rsidR="00246F02" w:rsidRPr="00EB561B" w:rsidRDefault="00246F02" w:rsidP="00246F02">
            <w:r w:rsidRPr="00EB561B">
              <w:t>However, if taking 15mg twice daily for DVT/PE treatment (days 1-21) and a dose is missed, take 15mg immediately</w:t>
            </w:r>
            <w:r>
              <w:t xml:space="preserve"> </w:t>
            </w:r>
            <w:r w:rsidRPr="00EB561B">
              <w:t>to ensure intake of 30mg daily, this may mean 2 x 15mg tablets are taken at once</w:t>
            </w:r>
            <w:r w:rsidR="00ED78D9">
              <w:t>, t</w:t>
            </w:r>
            <w:r w:rsidRPr="00EB561B">
              <w:t>hen continue with 15mg twice daily the following day</w:t>
            </w:r>
          </w:p>
          <w:p w14:paraId="25C9C049" w14:textId="77777777" w:rsidR="00246F02" w:rsidRPr="00EB561B" w:rsidRDefault="00246F02" w:rsidP="00246F02">
            <w:r w:rsidRPr="00EB561B">
              <w:t xml:space="preserve">If a dose is missed during the once daily treatment phase (day 22 onwards), take dose immediately and continue the next day with once daily intake </w:t>
            </w:r>
          </w:p>
          <w:p w14:paraId="3CEAA8CE" w14:textId="56C095AA" w:rsidR="00246F02" w:rsidRPr="00EB561B" w:rsidRDefault="00246F02" w:rsidP="00246F02">
            <w:r w:rsidRPr="00EB561B">
              <w:t>Do not double the dose within the same day to make up for a missed dose</w:t>
            </w:r>
          </w:p>
        </w:tc>
      </w:tr>
      <w:tr w:rsidR="00246F02" w:rsidRPr="00EB561B" w14:paraId="169300E1" w14:textId="77777777" w:rsidTr="0034513B">
        <w:trPr>
          <w:trHeight w:val="1130"/>
        </w:trPr>
        <w:tc>
          <w:tcPr>
            <w:tcW w:w="2405" w:type="dxa"/>
            <w:shd w:val="clear" w:color="auto" w:fill="E5DFEC" w:themeFill="accent4" w:themeFillTint="33"/>
            <w:vAlign w:val="center"/>
          </w:tcPr>
          <w:p w14:paraId="60652C9D" w14:textId="77777777" w:rsidR="00246F02" w:rsidRPr="00EB561B" w:rsidRDefault="00246F02" w:rsidP="00246F02">
            <w:r w:rsidRPr="000828CD">
              <w:rPr>
                <w:b/>
                <w:bCs/>
              </w:rPr>
              <w:t>Apixaban (Eliquis</w:t>
            </w:r>
            <w:r w:rsidRPr="000828CD">
              <w:rPr>
                <w:b/>
                <w:bCs/>
              </w:rPr>
              <w:sym w:font="Symbol" w:char="F0D2"/>
            </w:r>
            <w:r w:rsidRPr="000828CD">
              <w:rPr>
                <w:b/>
                <w:bCs/>
              </w:rPr>
              <w:t>)</w:t>
            </w:r>
            <w:r w:rsidRPr="000828CD">
              <w:rPr>
                <w:b/>
                <w:bCs/>
                <w:vertAlign w:val="superscript"/>
              </w:rPr>
              <w:t>3</w:t>
            </w:r>
          </w:p>
        </w:tc>
        <w:tc>
          <w:tcPr>
            <w:tcW w:w="6945" w:type="dxa"/>
            <w:shd w:val="clear" w:color="auto" w:fill="auto"/>
            <w:vAlign w:val="center"/>
          </w:tcPr>
          <w:p w14:paraId="246D77A0" w14:textId="2EF6BE7B" w:rsidR="00246F02" w:rsidRPr="00EB561B" w:rsidRDefault="00246F02" w:rsidP="00246F02">
            <w:r w:rsidRPr="00EB561B">
              <w:t>Take missed dose immediately and then continue with twice daily intake as before</w:t>
            </w:r>
          </w:p>
        </w:tc>
      </w:tr>
      <w:tr w:rsidR="00246F02" w:rsidRPr="00EB561B" w14:paraId="136E1155" w14:textId="77777777" w:rsidTr="0034513B">
        <w:trPr>
          <w:trHeight w:val="1260"/>
        </w:trPr>
        <w:tc>
          <w:tcPr>
            <w:tcW w:w="2405" w:type="dxa"/>
            <w:shd w:val="clear" w:color="auto" w:fill="FDE9D9" w:themeFill="accent6" w:themeFillTint="33"/>
            <w:vAlign w:val="center"/>
          </w:tcPr>
          <w:p w14:paraId="209583B8" w14:textId="77777777" w:rsidR="00246F02" w:rsidRPr="00EB561B" w:rsidRDefault="00246F02" w:rsidP="00246F02">
            <w:r w:rsidRPr="000828CD">
              <w:rPr>
                <w:b/>
                <w:bCs/>
              </w:rPr>
              <w:t>Edoxaban (Lixiana</w:t>
            </w:r>
            <w:r w:rsidRPr="000828CD">
              <w:rPr>
                <w:b/>
                <w:bCs/>
              </w:rPr>
              <w:sym w:font="Symbol" w:char="F0D2"/>
            </w:r>
            <w:r w:rsidRPr="000828CD">
              <w:rPr>
                <w:b/>
                <w:bCs/>
              </w:rPr>
              <w:t>)</w:t>
            </w:r>
            <w:r w:rsidRPr="000828CD">
              <w:rPr>
                <w:b/>
                <w:bCs/>
                <w:vertAlign w:val="superscript"/>
              </w:rPr>
              <w:t>4</w:t>
            </w:r>
          </w:p>
        </w:tc>
        <w:tc>
          <w:tcPr>
            <w:tcW w:w="6945" w:type="dxa"/>
            <w:shd w:val="clear" w:color="auto" w:fill="auto"/>
            <w:vAlign w:val="center"/>
          </w:tcPr>
          <w:p w14:paraId="7EBBEA1B" w14:textId="77777777" w:rsidR="00246F02" w:rsidRPr="00EB561B" w:rsidRDefault="00246F02" w:rsidP="00246F02">
            <w:r w:rsidRPr="00EB561B">
              <w:t xml:space="preserve">Take missed dose immediately then continue with once daily dose </w:t>
            </w:r>
          </w:p>
          <w:p w14:paraId="7A471142" w14:textId="4906156C" w:rsidR="00246F02" w:rsidRPr="00EB561B" w:rsidRDefault="00246F02" w:rsidP="00246F02">
            <w:r w:rsidRPr="00EB561B">
              <w:t>Do not double the prescribed dose on the same day</w:t>
            </w:r>
          </w:p>
        </w:tc>
      </w:tr>
      <w:tr w:rsidR="00246F02" w:rsidRPr="00EB561B" w14:paraId="7A888BCB" w14:textId="77777777" w:rsidTr="0034513B">
        <w:trPr>
          <w:trHeight w:val="2039"/>
        </w:trPr>
        <w:tc>
          <w:tcPr>
            <w:tcW w:w="2405" w:type="dxa"/>
            <w:shd w:val="clear" w:color="auto" w:fill="EAF1DD" w:themeFill="accent3" w:themeFillTint="33"/>
            <w:vAlign w:val="center"/>
          </w:tcPr>
          <w:p w14:paraId="009BA334" w14:textId="77777777" w:rsidR="00246F02" w:rsidRPr="000828CD" w:rsidRDefault="00246F02" w:rsidP="00246F02">
            <w:pPr>
              <w:rPr>
                <w:b/>
                <w:bCs/>
              </w:rPr>
            </w:pPr>
            <w:r w:rsidRPr="000828CD">
              <w:rPr>
                <w:b/>
                <w:bCs/>
              </w:rPr>
              <w:t>Warfarin</w:t>
            </w:r>
            <w:r w:rsidRPr="000828CD">
              <w:rPr>
                <w:b/>
                <w:bCs/>
                <w:vertAlign w:val="superscript"/>
              </w:rPr>
              <w:t>5</w:t>
            </w:r>
            <w:r>
              <w:rPr>
                <w:b/>
                <w:bCs/>
                <w:vertAlign w:val="superscript"/>
              </w:rPr>
              <w:t>,6</w:t>
            </w:r>
          </w:p>
        </w:tc>
        <w:tc>
          <w:tcPr>
            <w:tcW w:w="6945" w:type="dxa"/>
            <w:shd w:val="clear" w:color="auto" w:fill="auto"/>
            <w:vAlign w:val="center"/>
          </w:tcPr>
          <w:p w14:paraId="1B6815CF" w14:textId="77777777" w:rsidR="00246F02" w:rsidRPr="00EB561B" w:rsidRDefault="00246F02" w:rsidP="00246F02">
            <w:r w:rsidRPr="00EB561B">
              <w:t>If a missed dose is remembered before midnight, the dose can still be taken</w:t>
            </w:r>
          </w:p>
          <w:p w14:paraId="00DF5903" w14:textId="77777777" w:rsidR="00246F02" w:rsidRPr="00EB561B" w:rsidRDefault="00246F02" w:rsidP="00246F02">
            <w:r w:rsidRPr="00EB561B">
              <w:t>If the dose is forgotten for a longer time, do not take the dose to catch up, but take the next dose when it is due</w:t>
            </w:r>
          </w:p>
          <w:p w14:paraId="6DD0B3A4" w14:textId="5616833A" w:rsidR="00246F02" w:rsidRPr="00EB561B" w:rsidRDefault="00246F02" w:rsidP="00246F02">
            <w:r w:rsidRPr="00EB561B">
              <w:t>Never take a double dose of warfarin to make up for a missed dose</w:t>
            </w:r>
            <w:r w:rsidR="00697662">
              <w:rPr>
                <w:vertAlign w:val="superscript"/>
              </w:rPr>
              <w:t>32</w:t>
            </w:r>
          </w:p>
        </w:tc>
      </w:tr>
    </w:tbl>
    <w:p w14:paraId="62F90E80" w14:textId="31E14BF0" w:rsidR="002E47F4" w:rsidRPr="00EB561B" w:rsidRDefault="002E47F4" w:rsidP="002E47F4">
      <w:pPr>
        <w:rPr>
          <w:rFonts w:asciiTheme="majorHAnsi" w:hAnsiTheme="majorHAnsi" w:cstheme="majorHAnsi"/>
          <w:b/>
          <w:szCs w:val="22"/>
        </w:rPr>
      </w:pPr>
      <w:r w:rsidRPr="00EB561B">
        <w:rPr>
          <w:rFonts w:asciiTheme="majorHAnsi" w:hAnsiTheme="majorHAnsi" w:cstheme="majorHAnsi"/>
          <w:b/>
          <w:szCs w:val="22"/>
        </w:rPr>
        <w:br w:type="page"/>
      </w:r>
    </w:p>
    <w:tbl>
      <w:tblPr>
        <w:tblStyle w:val="TableGrid"/>
        <w:tblW w:w="9776" w:type="dxa"/>
        <w:tblLook w:val="04A0" w:firstRow="1" w:lastRow="0" w:firstColumn="1" w:lastColumn="0" w:noHBand="0" w:noVBand="1"/>
      </w:tblPr>
      <w:tblGrid>
        <w:gridCol w:w="1691"/>
        <w:gridCol w:w="1476"/>
        <w:gridCol w:w="1081"/>
        <w:gridCol w:w="1417"/>
        <w:gridCol w:w="1584"/>
        <w:gridCol w:w="1263"/>
        <w:gridCol w:w="1264"/>
      </w:tblGrid>
      <w:tr w:rsidR="0034513B" w:rsidRPr="00EB561B" w14:paraId="47D210C7" w14:textId="77777777" w:rsidTr="00AA4E69">
        <w:trPr>
          <w:trHeight w:val="406"/>
        </w:trPr>
        <w:tc>
          <w:tcPr>
            <w:tcW w:w="9776" w:type="dxa"/>
            <w:gridSpan w:val="7"/>
            <w:shd w:val="clear" w:color="auto" w:fill="F2F2F2" w:themeFill="background1" w:themeFillShade="F2"/>
            <w:vAlign w:val="center"/>
          </w:tcPr>
          <w:p w14:paraId="32321EBD" w14:textId="1B1FF6C4" w:rsidR="0034513B" w:rsidRPr="00EB561B" w:rsidRDefault="0034513B" w:rsidP="001F0C45">
            <w:pPr>
              <w:pStyle w:val="Heading2"/>
            </w:pPr>
            <w:bookmarkStart w:id="90" w:name="_Toc106708908"/>
            <w:r w:rsidRPr="0034513B">
              <w:lastRenderedPageBreak/>
              <w:t>Half</w:t>
            </w:r>
            <w:r w:rsidR="007A7B95">
              <w:t>-</w:t>
            </w:r>
            <w:r w:rsidRPr="0034513B">
              <w:t>life (t½)</w:t>
            </w:r>
            <w:bookmarkEnd w:id="90"/>
          </w:p>
        </w:tc>
      </w:tr>
      <w:tr w:rsidR="0034513B" w:rsidRPr="00EB561B" w14:paraId="323D12A8" w14:textId="77777777" w:rsidTr="007D4F98">
        <w:trPr>
          <w:trHeight w:val="976"/>
        </w:trPr>
        <w:tc>
          <w:tcPr>
            <w:tcW w:w="1691" w:type="dxa"/>
            <w:vMerge w:val="restart"/>
            <w:shd w:val="clear" w:color="auto" w:fill="DBE5F1" w:themeFill="accent1" w:themeFillTint="33"/>
            <w:vAlign w:val="center"/>
          </w:tcPr>
          <w:p w14:paraId="60DA6D25" w14:textId="77777777" w:rsidR="0034513B" w:rsidRPr="00EB561B" w:rsidRDefault="0034513B" w:rsidP="001F0C45">
            <w:r w:rsidRPr="000828CD">
              <w:rPr>
                <w:b/>
                <w:bCs/>
              </w:rPr>
              <w:t>Dabigatran (Pradaxa</w:t>
            </w:r>
            <w:r w:rsidRPr="000828CD">
              <w:rPr>
                <w:b/>
                <w:bCs/>
              </w:rPr>
              <w:sym w:font="Symbol" w:char="F0D2"/>
            </w:r>
            <w:r w:rsidRPr="000828CD">
              <w:rPr>
                <w:b/>
                <w:bCs/>
              </w:rPr>
              <w:t>)</w:t>
            </w:r>
            <w:r w:rsidRPr="000828CD">
              <w:rPr>
                <w:b/>
                <w:bCs/>
                <w:vertAlign w:val="superscript"/>
              </w:rPr>
              <w:t>1</w:t>
            </w:r>
          </w:p>
        </w:tc>
        <w:tc>
          <w:tcPr>
            <w:tcW w:w="8085" w:type="dxa"/>
            <w:gridSpan w:val="6"/>
            <w:shd w:val="clear" w:color="auto" w:fill="auto"/>
            <w:vAlign w:val="center"/>
          </w:tcPr>
          <w:p w14:paraId="4EC30031" w14:textId="6C4E505A" w:rsidR="0034513B" w:rsidRPr="00EB561B" w:rsidRDefault="0034513B" w:rsidP="000367F3">
            <w:r w:rsidRPr="00EB561B">
              <w:t>Terminal half</w:t>
            </w:r>
            <w:r w:rsidR="007A7B95">
              <w:t>-</w:t>
            </w:r>
            <w:r w:rsidRPr="00EB561B">
              <w:t>life in healthy elderly subjects – 11 hours</w:t>
            </w:r>
          </w:p>
          <w:p w14:paraId="3FD38FB6" w14:textId="6C924793" w:rsidR="0034513B" w:rsidRPr="000828CD" w:rsidRDefault="0034513B" w:rsidP="000367F3">
            <w:r w:rsidRPr="00EB561B">
              <w:t xml:space="preserve">Terminal </w:t>
            </w:r>
            <w:r w:rsidR="00EA600C" w:rsidRPr="00EB561B">
              <w:t>half-life</w:t>
            </w:r>
            <w:r w:rsidRPr="00EB561B">
              <w:t xml:space="preserve"> after multiple doses - 12-14 hours</w:t>
            </w:r>
          </w:p>
        </w:tc>
      </w:tr>
      <w:tr w:rsidR="0034513B" w:rsidRPr="00EB561B" w14:paraId="7E99FE5D" w14:textId="77777777" w:rsidTr="007D4F98">
        <w:trPr>
          <w:trHeight w:val="1228"/>
        </w:trPr>
        <w:tc>
          <w:tcPr>
            <w:tcW w:w="1691" w:type="dxa"/>
            <w:vMerge/>
            <w:shd w:val="clear" w:color="auto" w:fill="DBE5F1" w:themeFill="accent1" w:themeFillTint="33"/>
            <w:vAlign w:val="center"/>
          </w:tcPr>
          <w:p w14:paraId="2377FCE8" w14:textId="77777777" w:rsidR="0034513B" w:rsidRPr="000828CD" w:rsidRDefault="0034513B" w:rsidP="001F0C45">
            <w:pPr>
              <w:rPr>
                <w:b/>
                <w:bCs/>
              </w:rPr>
            </w:pPr>
          </w:p>
        </w:tc>
        <w:tc>
          <w:tcPr>
            <w:tcW w:w="1476" w:type="dxa"/>
            <w:vMerge w:val="restart"/>
            <w:shd w:val="clear" w:color="auto" w:fill="auto"/>
            <w:vAlign w:val="center"/>
          </w:tcPr>
          <w:p w14:paraId="2DF9A5AC" w14:textId="179EF60F" w:rsidR="0034513B" w:rsidRPr="007D4F98" w:rsidRDefault="0034513B" w:rsidP="001F0C45">
            <w:pPr>
              <w:rPr>
                <w:b/>
                <w:bCs/>
              </w:rPr>
            </w:pPr>
            <w:r w:rsidRPr="007D4F98">
              <w:rPr>
                <w:b/>
                <w:bCs/>
              </w:rPr>
              <w:t>In renal impairment</w:t>
            </w:r>
          </w:p>
        </w:tc>
        <w:tc>
          <w:tcPr>
            <w:tcW w:w="1081" w:type="dxa"/>
            <w:shd w:val="clear" w:color="auto" w:fill="auto"/>
            <w:vAlign w:val="center"/>
          </w:tcPr>
          <w:p w14:paraId="6B5116D5" w14:textId="5B722C93" w:rsidR="0034513B" w:rsidRPr="000828CD" w:rsidRDefault="00EA600C" w:rsidP="000367F3">
            <w:r w:rsidRPr="00EB561B">
              <w:rPr>
                <w:b/>
              </w:rPr>
              <w:t>Half-life</w:t>
            </w:r>
            <w:r w:rsidR="0034513B" w:rsidRPr="00EB561B">
              <w:rPr>
                <w:b/>
              </w:rPr>
              <w:t xml:space="preserve"> (</w:t>
            </w:r>
            <w:r w:rsidR="00504B25">
              <w:rPr>
                <w:b/>
              </w:rPr>
              <w:t xml:space="preserve">hours, </w:t>
            </w:r>
            <w:r w:rsidR="0034513B" w:rsidRPr="00EB561B">
              <w:rPr>
                <w:b/>
              </w:rPr>
              <w:t>range)</w:t>
            </w:r>
          </w:p>
        </w:tc>
        <w:tc>
          <w:tcPr>
            <w:tcW w:w="1417" w:type="dxa"/>
            <w:shd w:val="clear" w:color="auto" w:fill="auto"/>
            <w:vAlign w:val="center"/>
          </w:tcPr>
          <w:p w14:paraId="75344D66" w14:textId="77777777" w:rsidR="00B95AC7" w:rsidRDefault="0034513B" w:rsidP="000367F3">
            <w:pPr>
              <w:jc w:val="center"/>
            </w:pPr>
            <w:r w:rsidRPr="00EB561B">
              <w:t>13.4</w:t>
            </w:r>
          </w:p>
          <w:p w14:paraId="20E5D235" w14:textId="3D2B895A" w:rsidR="0034513B" w:rsidRPr="000828CD" w:rsidRDefault="0034513B" w:rsidP="000367F3">
            <w:pPr>
              <w:jc w:val="center"/>
            </w:pPr>
            <w:r w:rsidRPr="00EB561B">
              <w:t>(11.0 -</w:t>
            </w:r>
            <w:r w:rsidR="00E40322">
              <w:t xml:space="preserve"> </w:t>
            </w:r>
            <w:r w:rsidRPr="00EB561B">
              <w:t>21.6)</w:t>
            </w:r>
          </w:p>
        </w:tc>
        <w:tc>
          <w:tcPr>
            <w:tcW w:w="1584" w:type="dxa"/>
            <w:shd w:val="clear" w:color="auto" w:fill="auto"/>
            <w:vAlign w:val="center"/>
          </w:tcPr>
          <w:p w14:paraId="4945EFBF" w14:textId="77777777" w:rsidR="00B95AC7" w:rsidRDefault="0034513B" w:rsidP="000367F3">
            <w:pPr>
              <w:jc w:val="center"/>
            </w:pPr>
            <w:r w:rsidRPr="00EB561B">
              <w:t>15.3</w:t>
            </w:r>
            <w:r>
              <w:t xml:space="preserve"> </w:t>
            </w:r>
          </w:p>
          <w:p w14:paraId="2BBDF33A" w14:textId="392CDA4F" w:rsidR="0034513B" w:rsidRPr="000828CD" w:rsidRDefault="0034513B" w:rsidP="000367F3">
            <w:pPr>
              <w:jc w:val="center"/>
            </w:pPr>
            <w:r w:rsidRPr="00EB561B">
              <w:t>(11.7 -</w:t>
            </w:r>
            <w:r w:rsidR="00E40322">
              <w:t xml:space="preserve"> </w:t>
            </w:r>
            <w:r w:rsidRPr="00EB561B">
              <w:t>34.1)</w:t>
            </w:r>
          </w:p>
        </w:tc>
        <w:tc>
          <w:tcPr>
            <w:tcW w:w="1263" w:type="dxa"/>
            <w:shd w:val="clear" w:color="auto" w:fill="auto"/>
            <w:vAlign w:val="center"/>
          </w:tcPr>
          <w:p w14:paraId="0411D336" w14:textId="77777777" w:rsidR="00B95AC7" w:rsidRDefault="0034513B" w:rsidP="000367F3">
            <w:pPr>
              <w:jc w:val="center"/>
            </w:pPr>
            <w:r w:rsidRPr="00EB561B">
              <w:t>18.4</w:t>
            </w:r>
          </w:p>
          <w:p w14:paraId="3128C5D9" w14:textId="1A27CDE0" w:rsidR="0034513B" w:rsidRPr="000828CD" w:rsidRDefault="0034513B" w:rsidP="000367F3">
            <w:pPr>
              <w:jc w:val="center"/>
            </w:pPr>
            <w:r w:rsidRPr="00EB561B">
              <w:t>(13.3 - 23)</w:t>
            </w:r>
          </w:p>
        </w:tc>
        <w:tc>
          <w:tcPr>
            <w:tcW w:w="1264" w:type="dxa"/>
            <w:shd w:val="clear" w:color="auto" w:fill="auto"/>
            <w:vAlign w:val="center"/>
          </w:tcPr>
          <w:p w14:paraId="257B8AA6" w14:textId="77777777" w:rsidR="00B95AC7" w:rsidRDefault="0034513B" w:rsidP="000367F3">
            <w:pPr>
              <w:jc w:val="center"/>
            </w:pPr>
            <w:r w:rsidRPr="00EB561B">
              <w:t>27.2</w:t>
            </w:r>
          </w:p>
          <w:p w14:paraId="4D2E26F9" w14:textId="4CF671E0" w:rsidR="0034513B" w:rsidRPr="000828CD" w:rsidRDefault="0034513B" w:rsidP="000367F3">
            <w:pPr>
              <w:jc w:val="center"/>
            </w:pPr>
            <w:r w:rsidRPr="00EB561B">
              <w:t>(21.6 - 35)</w:t>
            </w:r>
          </w:p>
        </w:tc>
      </w:tr>
      <w:tr w:rsidR="0034513B" w:rsidRPr="00EB561B" w14:paraId="59446A4B" w14:textId="77777777" w:rsidTr="007D4F98">
        <w:trPr>
          <w:trHeight w:val="1132"/>
        </w:trPr>
        <w:tc>
          <w:tcPr>
            <w:tcW w:w="1691" w:type="dxa"/>
            <w:vMerge/>
            <w:shd w:val="clear" w:color="auto" w:fill="DBE5F1" w:themeFill="accent1" w:themeFillTint="33"/>
            <w:vAlign w:val="center"/>
          </w:tcPr>
          <w:p w14:paraId="06F52188" w14:textId="77777777" w:rsidR="0034513B" w:rsidRPr="000828CD" w:rsidRDefault="0034513B" w:rsidP="001F0C45">
            <w:pPr>
              <w:rPr>
                <w:b/>
                <w:bCs/>
              </w:rPr>
            </w:pPr>
          </w:p>
        </w:tc>
        <w:tc>
          <w:tcPr>
            <w:tcW w:w="1476" w:type="dxa"/>
            <w:vMerge/>
            <w:shd w:val="clear" w:color="auto" w:fill="auto"/>
            <w:vAlign w:val="center"/>
          </w:tcPr>
          <w:p w14:paraId="05141EEC" w14:textId="77777777" w:rsidR="0034513B" w:rsidRPr="000828CD" w:rsidRDefault="0034513B" w:rsidP="001F0C45"/>
        </w:tc>
        <w:tc>
          <w:tcPr>
            <w:tcW w:w="1081" w:type="dxa"/>
            <w:shd w:val="clear" w:color="auto" w:fill="auto"/>
            <w:vAlign w:val="center"/>
          </w:tcPr>
          <w:p w14:paraId="5856B152" w14:textId="0BB0C5E8" w:rsidR="0034513B" w:rsidRPr="000828CD" w:rsidRDefault="0034513B" w:rsidP="000367F3">
            <w:r w:rsidRPr="00EB561B">
              <w:rPr>
                <w:b/>
              </w:rPr>
              <w:t>CrCl (m</w:t>
            </w:r>
            <w:r w:rsidR="00E356F9">
              <w:rPr>
                <w:b/>
              </w:rPr>
              <w:t>l</w:t>
            </w:r>
            <w:r w:rsidRPr="00EB561B">
              <w:rPr>
                <w:b/>
              </w:rPr>
              <w:t>/min)</w:t>
            </w:r>
          </w:p>
        </w:tc>
        <w:tc>
          <w:tcPr>
            <w:tcW w:w="1417" w:type="dxa"/>
            <w:shd w:val="clear" w:color="auto" w:fill="auto"/>
            <w:vAlign w:val="center"/>
          </w:tcPr>
          <w:p w14:paraId="10DD8D67" w14:textId="6E4B39DE" w:rsidR="0034513B" w:rsidRPr="000828CD" w:rsidRDefault="0034513B" w:rsidP="000367F3">
            <w:pPr>
              <w:jc w:val="center"/>
            </w:pPr>
            <w:r w:rsidRPr="00EB561B">
              <w:t>≥80</w:t>
            </w:r>
          </w:p>
        </w:tc>
        <w:tc>
          <w:tcPr>
            <w:tcW w:w="1584" w:type="dxa"/>
            <w:shd w:val="clear" w:color="auto" w:fill="auto"/>
            <w:vAlign w:val="center"/>
          </w:tcPr>
          <w:p w14:paraId="1E867080" w14:textId="23FE23B0" w:rsidR="0034513B" w:rsidRPr="000828CD" w:rsidRDefault="0034513B" w:rsidP="000367F3">
            <w:pPr>
              <w:jc w:val="center"/>
            </w:pPr>
            <w:r w:rsidRPr="00EB561B">
              <w:t>≥50</w:t>
            </w:r>
            <w:r w:rsidR="00E40322">
              <w:t xml:space="preserve"> </w:t>
            </w:r>
            <w:r w:rsidRPr="00EB561B">
              <w:t>-</w:t>
            </w:r>
            <w:r w:rsidR="00E40322">
              <w:t xml:space="preserve"> </w:t>
            </w:r>
            <w:r w:rsidRPr="00EB561B">
              <w:t>&lt;80</w:t>
            </w:r>
          </w:p>
        </w:tc>
        <w:tc>
          <w:tcPr>
            <w:tcW w:w="1263" w:type="dxa"/>
            <w:shd w:val="clear" w:color="auto" w:fill="auto"/>
            <w:vAlign w:val="center"/>
          </w:tcPr>
          <w:p w14:paraId="2696AE4D" w14:textId="767B8FDA" w:rsidR="0034513B" w:rsidRPr="000828CD" w:rsidRDefault="0034513B" w:rsidP="000367F3">
            <w:pPr>
              <w:jc w:val="center"/>
            </w:pPr>
            <w:r w:rsidRPr="00EB561B">
              <w:t>≥30</w:t>
            </w:r>
            <w:r w:rsidR="00E40322">
              <w:t xml:space="preserve"> </w:t>
            </w:r>
            <w:r w:rsidRPr="00EB561B">
              <w:t>-</w:t>
            </w:r>
            <w:r w:rsidR="00E40322">
              <w:t xml:space="preserve"> </w:t>
            </w:r>
            <w:r w:rsidRPr="00EB561B">
              <w:t>&lt;50</w:t>
            </w:r>
          </w:p>
        </w:tc>
        <w:tc>
          <w:tcPr>
            <w:tcW w:w="1264" w:type="dxa"/>
            <w:shd w:val="clear" w:color="auto" w:fill="auto"/>
            <w:vAlign w:val="center"/>
          </w:tcPr>
          <w:p w14:paraId="6FF30645" w14:textId="62ABCB31" w:rsidR="0034513B" w:rsidRPr="000828CD" w:rsidRDefault="0034513B" w:rsidP="000367F3">
            <w:pPr>
              <w:jc w:val="center"/>
            </w:pPr>
            <w:r w:rsidRPr="00EB561B">
              <w:t>&lt;30</w:t>
            </w:r>
          </w:p>
        </w:tc>
      </w:tr>
      <w:tr w:rsidR="000367F3" w:rsidRPr="00EB561B" w14:paraId="25D87E1D" w14:textId="77777777" w:rsidTr="007D4F98">
        <w:trPr>
          <w:trHeight w:val="1026"/>
        </w:trPr>
        <w:tc>
          <w:tcPr>
            <w:tcW w:w="1691" w:type="dxa"/>
            <w:shd w:val="clear" w:color="auto" w:fill="F2DBDB" w:themeFill="accent2" w:themeFillTint="33"/>
            <w:vAlign w:val="center"/>
          </w:tcPr>
          <w:p w14:paraId="6C019331" w14:textId="77777777" w:rsidR="000367F3" w:rsidRPr="00EB561B" w:rsidRDefault="000367F3" w:rsidP="000367F3">
            <w:r w:rsidRPr="000828CD">
              <w:rPr>
                <w:b/>
                <w:bCs/>
              </w:rPr>
              <w:t>Rivaroxaban (Xarelto</w:t>
            </w:r>
            <w:r w:rsidRPr="000828CD">
              <w:rPr>
                <w:b/>
                <w:bCs/>
              </w:rPr>
              <w:sym w:font="Symbol" w:char="F0D2"/>
            </w:r>
            <w:r w:rsidRPr="000828CD">
              <w:rPr>
                <w:rFonts w:cs="Arial"/>
                <w:b/>
                <w:bCs/>
              </w:rPr>
              <w:t>▼</w:t>
            </w:r>
            <w:r w:rsidRPr="000828CD">
              <w:rPr>
                <w:b/>
                <w:bCs/>
              </w:rPr>
              <w:t>)</w:t>
            </w:r>
            <w:r w:rsidRPr="000828CD">
              <w:rPr>
                <w:b/>
                <w:bCs/>
                <w:vertAlign w:val="superscript"/>
              </w:rPr>
              <w:t>2</w:t>
            </w:r>
          </w:p>
        </w:tc>
        <w:tc>
          <w:tcPr>
            <w:tcW w:w="8085" w:type="dxa"/>
            <w:gridSpan w:val="6"/>
            <w:shd w:val="clear" w:color="auto" w:fill="auto"/>
            <w:vAlign w:val="center"/>
          </w:tcPr>
          <w:p w14:paraId="06AB77D0" w14:textId="12985F0C" w:rsidR="000367F3" w:rsidRPr="00EB561B" w:rsidRDefault="000367F3" w:rsidP="000367F3">
            <w:r w:rsidRPr="00EB561B">
              <w:t xml:space="preserve">Terminal </w:t>
            </w:r>
            <w:r w:rsidR="00EA600C" w:rsidRPr="00EB561B">
              <w:t>half-life</w:t>
            </w:r>
            <w:r w:rsidRPr="00EB561B">
              <w:t xml:space="preserve"> in young individuals - 5-9 hours</w:t>
            </w:r>
          </w:p>
          <w:p w14:paraId="63B15A0D" w14:textId="10C869A1" w:rsidR="000367F3" w:rsidRPr="00EB561B" w:rsidRDefault="000367F3" w:rsidP="000367F3">
            <w:r w:rsidRPr="00EB561B">
              <w:t xml:space="preserve">Terminal </w:t>
            </w:r>
            <w:r w:rsidR="00EA600C" w:rsidRPr="00EB561B">
              <w:t>half-life</w:t>
            </w:r>
            <w:r w:rsidRPr="00EB561B">
              <w:t xml:space="preserve"> in the elderly - 11-13 hours</w:t>
            </w:r>
          </w:p>
        </w:tc>
      </w:tr>
      <w:tr w:rsidR="000367F3" w:rsidRPr="00EB561B" w14:paraId="332E5346" w14:textId="77777777" w:rsidTr="007D4F98">
        <w:trPr>
          <w:trHeight w:val="668"/>
        </w:trPr>
        <w:tc>
          <w:tcPr>
            <w:tcW w:w="1691" w:type="dxa"/>
            <w:shd w:val="clear" w:color="auto" w:fill="E5DFEC" w:themeFill="accent4" w:themeFillTint="33"/>
            <w:vAlign w:val="center"/>
          </w:tcPr>
          <w:p w14:paraId="7D6AECC2" w14:textId="77777777" w:rsidR="000367F3" w:rsidRPr="00EB561B" w:rsidRDefault="000367F3" w:rsidP="000367F3">
            <w:r w:rsidRPr="000828CD">
              <w:rPr>
                <w:b/>
                <w:bCs/>
              </w:rPr>
              <w:t>Apixaban (Eliquis</w:t>
            </w:r>
            <w:r w:rsidRPr="000828CD">
              <w:rPr>
                <w:b/>
                <w:bCs/>
              </w:rPr>
              <w:sym w:font="Symbol" w:char="F0D2"/>
            </w:r>
            <w:r w:rsidRPr="000828CD">
              <w:rPr>
                <w:b/>
                <w:bCs/>
              </w:rPr>
              <w:t>)</w:t>
            </w:r>
            <w:r w:rsidRPr="000828CD">
              <w:rPr>
                <w:b/>
                <w:bCs/>
                <w:vertAlign w:val="superscript"/>
              </w:rPr>
              <w:t>3</w:t>
            </w:r>
          </w:p>
        </w:tc>
        <w:tc>
          <w:tcPr>
            <w:tcW w:w="8085" w:type="dxa"/>
            <w:gridSpan w:val="6"/>
            <w:shd w:val="clear" w:color="auto" w:fill="auto"/>
            <w:vAlign w:val="center"/>
          </w:tcPr>
          <w:p w14:paraId="0A09C099" w14:textId="55EFD949" w:rsidR="000367F3" w:rsidRPr="00EB561B" w:rsidRDefault="000367F3" w:rsidP="000367F3">
            <w:r w:rsidRPr="00EB561B">
              <w:t>Approximately 12 hours</w:t>
            </w:r>
          </w:p>
        </w:tc>
      </w:tr>
      <w:tr w:rsidR="000367F3" w:rsidRPr="00EB561B" w14:paraId="6003C90C" w14:textId="77777777" w:rsidTr="007D4F98">
        <w:trPr>
          <w:trHeight w:val="907"/>
        </w:trPr>
        <w:tc>
          <w:tcPr>
            <w:tcW w:w="1691" w:type="dxa"/>
            <w:shd w:val="clear" w:color="auto" w:fill="FDE9D9" w:themeFill="accent6" w:themeFillTint="33"/>
            <w:vAlign w:val="center"/>
          </w:tcPr>
          <w:p w14:paraId="133D65EC" w14:textId="77777777" w:rsidR="000367F3" w:rsidRPr="00EB561B" w:rsidRDefault="000367F3" w:rsidP="000367F3">
            <w:r w:rsidRPr="000828CD">
              <w:rPr>
                <w:b/>
                <w:bCs/>
              </w:rPr>
              <w:t>Edoxaban (Lixiana</w:t>
            </w:r>
            <w:r w:rsidRPr="000828CD">
              <w:rPr>
                <w:b/>
                <w:bCs/>
              </w:rPr>
              <w:sym w:font="Symbol" w:char="F0D2"/>
            </w:r>
            <w:r w:rsidRPr="000828CD">
              <w:rPr>
                <w:b/>
                <w:bCs/>
              </w:rPr>
              <w:t>)</w:t>
            </w:r>
            <w:r w:rsidRPr="000828CD">
              <w:rPr>
                <w:b/>
                <w:bCs/>
                <w:vertAlign w:val="superscript"/>
              </w:rPr>
              <w:t>4</w:t>
            </w:r>
          </w:p>
        </w:tc>
        <w:tc>
          <w:tcPr>
            <w:tcW w:w="8085" w:type="dxa"/>
            <w:gridSpan w:val="6"/>
            <w:shd w:val="clear" w:color="auto" w:fill="auto"/>
            <w:vAlign w:val="center"/>
          </w:tcPr>
          <w:p w14:paraId="666C3395" w14:textId="00135501" w:rsidR="000367F3" w:rsidRPr="00EB561B" w:rsidRDefault="000367F3" w:rsidP="000367F3">
            <w:r w:rsidRPr="00EB561B">
              <w:t>10 to 14 hours</w:t>
            </w:r>
          </w:p>
        </w:tc>
      </w:tr>
      <w:tr w:rsidR="000367F3" w:rsidRPr="00EB561B" w14:paraId="3D4EA986" w14:textId="77777777" w:rsidTr="007D4F98">
        <w:trPr>
          <w:trHeight w:val="1968"/>
        </w:trPr>
        <w:tc>
          <w:tcPr>
            <w:tcW w:w="1691" w:type="dxa"/>
            <w:shd w:val="clear" w:color="auto" w:fill="EAF1DD" w:themeFill="accent3" w:themeFillTint="33"/>
            <w:vAlign w:val="center"/>
          </w:tcPr>
          <w:p w14:paraId="0C44BD1C" w14:textId="77777777" w:rsidR="000367F3" w:rsidRPr="000828CD" w:rsidRDefault="000367F3" w:rsidP="000367F3">
            <w:pPr>
              <w:rPr>
                <w:b/>
                <w:bCs/>
              </w:rPr>
            </w:pPr>
            <w:r w:rsidRPr="000828CD">
              <w:rPr>
                <w:b/>
                <w:bCs/>
              </w:rPr>
              <w:t>Warfarin</w:t>
            </w:r>
            <w:r w:rsidRPr="000828CD">
              <w:rPr>
                <w:b/>
                <w:bCs/>
                <w:vertAlign w:val="superscript"/>
              </w:rPr>
              <w:t>5</w:t>
            </w:r>
            <w:r>
              <w:rPr>
                <w:b/>
                <w:bCs/>
                <w:vertAlign w:val="superscript"/>
              </w:rPr>
              <w:t>,6</w:t>
            </w:r>
          </w:p>
        </w:tc>
        <w:tc>
          <w:tcPr>
            <w:tcW w:w="8085" w:type="dxa"/>
            <w:gridSpan w:val="6"/>
            <w:shd w:val="clear" w:color="auto" w:fill="auto"/>
            <w:vAlign w:val="center"/>
          </w:tcPr>
          <w:p w14:paraId="5FC28BA1" w14:textId="100E672B" w:rsidR="000367F3" w:rsidRPr="00EB561B" w:rsidRDefault="000367F3" w:rsidP="000367F3">
            <w:pPr>
              <w:rPr>
                <w:color w:val="000000"/>
                <w:shd w:val="clear" w:color="auto" w:fill="FFFFFF"/>
              </w:rPr>
            </w:pPr>
            <w:r>
              <w:rPr>
                <w:color w:val="000000"/>
                <w:shd w:val="clear" w:color="auto" w:fill="FFFFFF"/>
              </w:rPr>
              <w:t>S</w:t>
            </w:r>
            <w:r w:rsidRPr="00EB561B">
              <w:rPr>
                <w:color w:val="000000"/>
                <w:shd w:val="clear" w:color="auto" w:fill="FFFFFF"/>
              </w:rPr>
              <w:t>ingle dose</w:t>
            </w:r>
            <w:r>
              <w:rPr>
                <w:color w:val="000000"/>
                <w:shd w:val="clear" w:color="auto" w:fill="FFFFFF"/>
              </w:rPr>
              <w:t xml:space="preserve"> </w:t>
            </w:r>
            <w:r w:rsidRPr="00EB561B">
              <w:rPr>
                <w:color w:val="000000"/>
                <w:shd w:val="clear" w:color="auto" w:fill="FFFFFF"/>
              </w:rPr>
              <w:t xml:space="preserve">- approximately one week </w:t>
            </w:r>
          </w:p>
          <w:p w14:paraId="7CC85D3E" w14:textId="31896890" w:rsidR="000367F3" w:rsidRPr="000367F3" w:rsidRDefault="000367F3" w:rsidP="000367F3">
            <w:pPr>
              <w:pStyle w:val="ListParagraph"/>
              <w:numPr>
                <w:ilvl w:val="0"/>
                <w:numId w:val="24"/>
              </w:numPr>
              <w:rPr>
                <w:color w:val="000000"/>
                <w:shd w:val="clear" w:color="auto" w:fill="FFFFFF"/>
              </w:rPr>
            </w:pPr>
            <w:r w:rsidRPr="000367F3">
              <w:rPr>
                <w:color w:val="000000"/>
                <w:shd w:val="clear" w:color="auto" w:fill="FFFFFF"/>
              </w:rPr>
              <w:t>Effective half-life ranges from 20 to 60 hours, with a mean of about 40 hours</w:t>
            </w:r>
          </w:p>
          <w:p w14:paraId="4C8C4C0F" w14:textId="56C2BCDB" w:rsidR="000367F3" w:rsidRPr="00EB561B" w:rsidRDefault="000367F3" w:rsidP="000367F3">
            <w:pPr>
              <w:pStyle w:val="ListParagraph"/>
              <w:numPr>
                <w:ilvl w:val="0"/>
                <w:numId w:val="24"/>
              </w:numPr>
            </w:pPr>
            <w:r w:rsidRPr="000367F3">
              <w:rPr>
                <w:color w:val="000000"/>
                <w:shd w:val="clear" w:color="auto" w:fill="FFFFFF"/>
              </w:rPr>
              <w:t>Studies with radiolabelled drug have demonstrated that up to 92% of the orally administered dose is recovered in urine</w:t>
            </w:r>
            <w:r w:rsidR="00E40322">
              <w:rPr>
                <w:color w:val="000000"/>
                <w:shd w:val="clear" w:color="auto" w:fill="FFFFFF"/>
              </w:rPr>
              <w:t>, v</w:t>
            </w:r>
            <w:r w:rsidRPr="000367F3">
              <w:rPr>
                <w:color w:val="000000"/>
                <w:shd w:val="clear" w:color="auto" w:fill="FFFFFF"/>
              </w:rPr>
              <w:t>ery little warfarin is excreted unchanged in urine</w:t>
            </w:r>
            <w:r w:rsidR="00E40322">
              <w:rPr>
                <w:color w:val="000000"/>
                <w:shd w:val="clear" w:color="auto" w:fill="FFFFFF"/>
              </w:rPr>
              <w:t>, and u</w:t>
            </w:r>
            <w:r w:rsidRPr="000367F3">
              <w:rPr>
                <w:color w:val="000000"/>
                <w:shd w:val="clear" w:color="auto" w:fill="FFFFFF"/>
              </w:rPr>
              <w:t>rinary excretion is in the form of metabolites</w:t>
            </w:r>
          </w:p>
        </w:tc>
      </w:tr>
    </w:tbl>
    <w:p w14:paraId="33525901" w14:textId="5C805D27" w:rsidR="00215B05" w:rsidRPr="00EB561B" w:rsidRDefault="00215B05">
      <w:pPr>
        <w:rPr>
          <w:rFonts w:asciiTheme="majorHAnsi" w:hAnsiTheme="majorHAnsi" w:cstheme="majorHAnsi"/>
          <w:szCs w:val="22"/>
        </w:rPr>
      </w:pPr>
    </w:p>
    <w:tbl>
      <w:tblPr>
        <w:tblStyle w:val="TableGrid"/>
        <w:tblW w:w="0" w:type="auto"/>
        <w:tblLook w:val="04A0" w:firstRow="1" w:lastRow="0" w:firstColumn="1" w:lastColumn="0" w:noHBand="0" w:noVBand="1"/>
      </w:tblPr>
      <w:tblGrid>
        <w:gridCol w:w="2007"/>
        <w:gridCol w:w="2759"/>
        <w:gridCol w:w="1801"/>
        <w:gridCol w:w="1865"/>
        <w:gridCol w:w="1303"/>
      </w:tblGrid>
      <w:tr w:rsidR="00B73768" w:rsidRPr="00EB561B" w14:paraId="2A2C3F80" w14:textId="77777777" w:rsidTr="00DC288E">
        <w:trPr>
          <w:cantSplit/>
        </w:trPr>
        <w:tc>
          <w:tcPr>
            <w:tcW w:w="0" w:type="auto"/>
            <w:gridSpan w:val="5"/>
            <w:shd w:val="clear" w:color="auto" w:fill="F2F2F2" w:themeFill="background1" w:themeFillShade="F2"/>
            <w:vAlign w:val="center"/>
          </w:tcPr>
          <w:p w14:paraId="4D680247" w14:textId="2F8C99B0" w:rsidR="00B73768" w:rsidRPr="00367CC8" w:rsidRDefault="00B73768" w:rsidP="000367F3">
            <w:pPr>
              <w:pStyle w:val="Heading2"/>
            </w:pPr>
            <w:bookmarkStart w:id="91" w:name="_Toc104910462"/>
            <w:bookmarkStart w:id="92" w:name="_Toc106708909"/>
            <w:r w:rsidRPr="00367CC8">
              <w:t>Bioavailability</w:t>
            </w:r>
            <w:bookmarkEnd w:id="91"/>
            <w:bookmarkEnd w:id="92"/>
          </w:p>
        </w:tc>
      </w:tr>
      <w:tr w:rsidR="00FA77A0" w:rsidRPr="00EB561B" w14:paraId="1370B5BF" w14:textId="77777777" w:rsidTr="00D71796">
        <w:trPr>
          <w:cantSplit/>
        </w:trPr>
        <w:tc>
          <w:tcPr>
            <w:tcW w:w="0" w:type="auto"/>
            <w:shd w:val="clear" w:color="auto" w:fill="DBE5F1" w:themeFill="accent1" w:themeFillTint="33"/>
            <w:vAlign w:val="center"/>
          </w:tcPr>
          <w:p w14:paraId="7E8CE5F1" w14:textId="77777777" w:rsidR="00B73768" w:rsidRPr="000367F3" w:rsidRDefault="00B73768" w:rsidP="00D71796">
            <w:pPr>
              <w:jc w:val="center"/>
              <w:rPr>
                <w:b/>
                <w:bCs/>
              </w:rPr>
            </w:pPr>
            <w:r w:rsidRPr="000367F3">
              <w:rPr>
                <w:b/>
                <w:bCs/>
              </w:rPr>
              <w:t>Dabigatran (Pradaxa</w:t>
            </w:r>
            <w:r w:rsidRPr="000367F3">
              <w:rPr>
                <w:b/>
                <w:bCs/>
              </w:rPr>
              <w:sym w:font="Symbol" w:char="F0D2"/>
            </w:r>
            <w:r w:rsidRPr="000367F3">
              <w:rPr>
                <w:b/>
                <w:bCs/>
              </w:rPr>
              <w:t>)</w:t>
            </w:r>
            <w:r w:rsidRPr="000367F3">
              <w:rPr>
                <w:b/>
                <w:bCs/>
                <w:vertAlign w:val="superscript"/>
              </w:rPr>
              <w:t>1</w:t>
            </w:r>
          </w:p>
        </w:tc>
        <w:tc>
          <w:tcPr>
            <w:tcW w:w="0" w:type="auto"/>
            <w:shd w:val="clear" w:color="auto" w:fill="F2DBDB" w:themeFill="accent2" w:themeFillTint="33"/>
            <w:vAlign w:val="center"/>
          </w:tcPr>
          <w:p w14:paraId="7E5E4396" w14:textId="77777777" w:rsidR="00B73768" w:rsidRPr="000367F3" w:rsidRDefault="00B73768" w:rsidP="00D71796">
            <w:pPr>
              <w:jc w:val="center"/>
              <w:rPr>
                <w:b/>
                <w:bCs/>
              </w:rPr>
            </w:pPr>
            <w:r w:rsidRPr="000367F3">
              <w:rPr>
                <w:b/>
                <w:bCs/>
              </w:rPr>
              <w:t>Rivaroxaban (Xarelto</w:t>
            </w:r>
            <w:r w:rsidRPr="000367F3">
              <w:rPr>
                <w:b/>
                <w:bCs/>
              </w:rPr>
              <w:sym w:font="Symbol" w:char="F0D2"/>
            </w:r>
            <w:r w:rsidRPr="000367F3">
              <w:rPr>
                <w:rFonts w:cs="Arial"/>
                <w:b/>
                <w:bCs/>
              </w:rPr>
              <w:t>▼</w:t>
            </w:r>
            <w:r w:rsidRPr="000367F3">
              <w:rPr>
                <w:b/>
                <w:bCs/>
              </w:rPr>
              <w:t>)</w:t>
            </w:r>
            <w:r w:rsidRPr="000367F3">
              <w:rPr>
                <w:b/>
                <w:bCs/>
                <w:vertAlign w:val="superscript"/>
              </w:rPr>
              <w:t>2</w:t>
            </w:r>
          </w:p>
        </w:tc>
        <w:tc>
          <w:tcPr>
            <w:tcW w:w="0" w:type="auto"/>
            <w:shd w:val="clear" w:color="auto" w:fill="E5DFEC" w:themeFill="accent4" w:themeFillTint="33"/>
            <w:vAlign w:val="center"/>
          </w:tcPr>
          <w:p w14:paraId="0153C735" w14:textId="77777777" w:rsidR="00B73768" w:rsidRPr="000367F3" w:rsidRDefault="00B73768" w:rsidP="00D71796">
            <w:pPr>
              <w:jc w:val="center"/>
              <w:rPr>
                <w:b/>
                <w:bCs/>
              </w:rPr>
            </w:pPr>
            <w:r w:rsidRPr="000367F3">
              <w:rPr>
                <w:b/>
                <w:bCs/>
              </w:rPr>
              <w:t>Apixaban (Eliquis</w:t>
            </w:r>
            <w:r w:rsidRPr="000367F3">
              <w:rPr>
                <w:b/>
                <w:bCs/>
              </w:rPr>
              <w:sym w:font="Symbol" w:char="F0D2"/>
            </w:r>
            <w:r w:rsidRPr="000367F3">
              <w:rPr>
                <w:b/>
                <w:bCs/>
              </w:rPr>
              <w:t>)</w:t>
            </w:r>
            <w:r w:rsidRPr="000367F3">
              <w:rPr>
                <w:b/>
                <w:bCs/>
                <w:vertAlign w:val="superscript"/>
              </w:rPr>
              <w:t>3</w:t>
            </w:r>
          </w:p>
        </w:tc>
        <w:tc>
          <w:tcPr>
            <w:tcW w:w="0" w:type="auto"/>
            <w:shd w:val="clear" w:color="auto" w:fill="FDE9D9" w:themeFill="accent6" w:themeFillTint="33"/>
            <w:vAlign w:val="center"/>
          </w:tcPr>
          <w:p w14:paraId="060DFD85" w14:textId="3024EA1B" w:rsidR="00B73768" w:rsidRPr="000367F3" w:rsidRDefault="00B73768" w:rsidP="00D71796">
            <w:pPr>
              <w:jc w:val="center"/>
              <w:rPr>
                <w:b/>
                <w:bCs/>
              </w:rPr>
            </w:pPr>
            <w:r w:rsidRPr="000367F3">
              <w:rPr>
                <w:b/>
                <w:bCs/>
              </w:rPr>
              <w:t>Edoxaban (Lixiana</w:t>
            </w:r>
            <w:r w:rsidRPr="000367F3">
              <w:rPr>
                <w:b/>
                <w:bCs/>
              </w:rPr>
              <w:sym w:font="Symbol" w:char="F0D2"/>
            </w:r>
            <w:r w:rsidRPr="000367F3">
              <w:rPr>
                <w:b/>
                <w:bCs/>
              </w:rPr>
              <w:t>)</w:t>
            </w:r>
            <w:r w:rsidRPr="000367F3">
              <w:rPr>
                <w:b/>
                <w:bCs/>
                <w:vertAlign w:val="superscript"/>
              </w:rPr>
              <w:t>4</w:t>
            </w:r>
          </w:p>
        </w:tc>
        <w:tc>
          <w:tcPr>
            <w:tcW w:w="0" w:type="auto"/>
            <w:shd w:val="clear" w:color="auto" w:fill="EAF1DD" w:themeFill="accent3" w:themeFillTint="33"/>
            <w:vAlign w:val="center"/>
          </w:tcPr>
          <w:p w14:paraId="26E3FD14" w14:textId="735EDC8D" w:rsidR="00B73768" w:rsidRPr="000367F3" w:rsidRDefault="00B73768" w:rsidP="00D71796">
            <w:pPr>
              <w:jc w:val="center"/>
              <w:rPr>
                <w:b/>
                <w:bCs/>
                <w:lang w:val="de-DE"/>
              </w:rPr>
            </w:pPr>
            <w:r w:rsidRPr="000367F3">
              <w:rPr>
                <w:b/>
                <w:bCs/>
                <w:lang w:val="de-DE"/>
              </w:rPr>
              <w:t>Warfarin</w:t>
            </w:r>
            <w:r w:rsidR="000F2903" w:rsidRPr="000367F3">
              <w:rPr>
                <w:b/>
                <w:bCs/>
                <w:vertAlign w:val="superscript"/>
                <w:lang w:val="de-DE"/>
              </w:rPr>
              <w:t>5</w:t>
            </w:r>
            <w:r w:rsidR="00FA77A0" w:rsidRPr="000367F3">
              <w:rPr>
                <w:b/>
                <w:bCs/>
                <w:vertAlign w:val="superscript"/>
                <w:lang w:val="de-DE"/>
              </w:rPr>
              <w:t>,6</w:t>
            </w:r>
          </w:p>
        </w:tc>
      </w:tr>
      <w:tr w:rsidR="00FA77A0" w:rsidRPr="00EB561B" w14:paraId="4D1D8D0F" w14:textId="77777777" w:rsidTr="006C12C6">
        <w:trPr>
          <w:cantSplit/>
        </w:trPr>
        <w:tc>
          <w:tcPr>
            <w:tcW w:w="0" w:type="auto"/>
            <w:shd w:val="clear" w:color="auto" w:fill="auto"/>
            <w:vAlign w:val="center"/>
          </w:tcPr>
          <w:p w14:paraId="65F90CD1" w14:textId="631651FA" w:rsidR="00B73768" w:rsidRPr="00EB561B" w:rsidRDefault="006457B8" w:rsidP="006C12C6">
            <w:pPr>
              <w:jc w:val="center"/>
            </w:pPr>
            <w:r w:rsidRPr="00EB561B">
              <w:t>6.5</w:t>
            </w:r>
            <w:r w:rsidR="00B73768" w:rsidRPr="00EB561B">
              <w:t>%</w:t>
            </w:r>
          </w:p>
        </w:tc>
        <w:tc>
          <w:tcPr>
            <w:tcW w:w="0" w:type="auto"/>
            <w:shd w:val="clear" w:color="auto" w:fill="auto"/>
            <w:vAlign w:val="center"/>
          </w:tcPr>
          <w:p w14:paraId="393C4849" w14:textId="6A53D26A" w:rsidR="00AB4651" w:rsidRPr="00EB561B" w:rsidRDefault="00AB4651" w:rsidP="005A64F7">
            <w:pPr>
              <w:spacing w:before="0" w:after="0"/>
            </w:pPr>
            <w:r w:rsidRPr="00EB561B">
              <w:t>2.5mg and 10mg:</w:t>
            </w:r>
          </w:p>
          <w:p w14:paraId="5A83DE1C" w14:textId="784462D3" w:rsidR="001271A3" w:rsidRPr="00EB561B" w:rsidRDefault="00AB4651" w:rsidP="005A64F7">
            <w:pPr>
              <w:pStyle w:val="ListParagraph"/>
              <w:numPr>
                <w:ilvl w:val="0"/>
                <w:numId w:val="28"/>
              </w:numPr>
              <w:spacing w:before="0" w:after="0"/>
            </w:pPr>
            <w:r w:rsidRPr="00EB561B">
              <w:t>80-100% in fasting and fed conditions</w:t>
            </w:r>
          </w:p>
          <w:p w14:paraId="290D31E5" w14:textId="3B6A39F8" w:rsidR="00AB4651" w:rsidRPr="00EB561B" w:rsidRDefault="00B73768" w:rsidP="005A64F7">
            <w:pPr>
              <w:spacing w:before="0" w:after="0"/>
            </w:pPr>
            <w:r w:rsidRPr="00EB561B">
              <w:t>15mg/20mg:</w:t>
            </w:r>
          </w:p>
          <w:p w14:paraId="1F08FA9B" w14:textId="77777777" w:rsidR="000367F3" w:rsidRDefault="00B73768" w:rsidP="005A64F7">
            <w:pPr>
              <w:pStyle w:val="ListParagraph"/>
              <w:numPr>
                <w:ilvl w:val="0"/>
                <w:numId w:val="27"/>
              </w:numPr>
              <w:spacing w:before="0" w:after="0"/>
            </w:pPr>
            <w:r w:rsidRPr="00EB561B">
              <w:t>66% without food</w:t>
            </w:r>
          </w:p>
          <w:p w14:paraId="1E6DA31E" w14:textId="45D1DC9B" w:rsidR="00B73768" w:rsidRPr="00EB561B" w:rsidRDefault="00B73768" w:rsidP="006C12C6">
            <w:pPr>
              <w:pStyle w:val="ListParagraph"/>
              <w:numPr>
                <w:ilvl w:val="0"/>
                <w:numId w:val="27"/>
              </w:numPr>
            </w:pPr>
            <w:r w:rsidRPr="00EB561B">
              <w:t>100% with food</w:t>
            </w:r>
          </w:p>
        </w:tc>
        <w:tc>
          <w:tcPr>
            <w:tcW w:w="0" w:type="auto"/>
            <w:shd w:val="clear" w:color="auto" w:fill="auto"/>
            <w:vAlign w:val="center"/>
          </w:tcPr>
          <w:p w14:paraId="6F176CAB" w14:textId="6E798CAB" w:rsidR="00B73768" w:rsidRPr="00EB561B" w:rsidRDefault="00B73768" w:rsidP="006C12C6">
            <w:pPr>
              <w:jc w:val="center"/>
            </w:pPr>
            <w:r w:rsidRPr="00EB561B">
              <w:t>50%</w:t>
            </w:r>
          </w:p>
        </w:tc>
        <w:tc>
          <w:tcPr>
            <w:tcW w:w="0" w:type="auto"/>
            <w:shd w:val="clear" w:color="auto" w:fill="auto"/>
            <w:vAlign w:val="center"/>
          </w:tcPr>
          <w:p w14:paraId="4ABC5C96" w14:textId="290D3FA4" w:rsidR="00B73768" w:rsidRPr="00EB561B" w:rsidRDefault="00B73768" w:rsidP="006C12C6">
            <w:pPr>
              <w:jc w:val="center"/>
            </w:pPr>
            <w:r w:rsidRPr="00EB561B">
              <w:t>62%</w:t>
            </w:r>
          </w:p>
        </w:tc>
        <w:tc>
          <w:tcPr>
            <w:tcW w:w="0" w:type="auto"/>
            <w:vAlign w:val="center"/>
          </w:tcPr>
          <w:p w14:paraId="1A0BADF7" w14:textId="2158EF20" w:rsidR="001271A3" w:rsidRPr="00EB561B" w:rsidRDefault="001271A3" w:rsidP="006C12C6">
            <w:pPr>
              <w:jc w:val="center"/>
            </w:pPr>
            <w:r w:rsidRPr="00EB561B">
              <w:t>100%</w:t>
            </w:r>
          </w:p>
        </w:tc>
      </w:tr>
    </w:tbl>
    <w:p w14:paraId="049B1504" w14:textId="77777777" w:rsidR="00E31F9D" w:rsidRDefault="00E31F9D"/>
    <w:tbl>
      <w:tblPr>
        <w:tblStyle w:val="TableGrid"/>
        <w:tblW w:w="0" w:type="auto"/>
        <w:tblLook w:val="04A0" w:firstRow="1" w:lastRow="0" w:firstColumn="1" w:lastColumn="0" w:noHBand="0" w:noVBand="1"/>
      </w:tblPr>
      <w:tblGrid>
        <w:gridCol w:w="2181"/>
        <w:gridCol w:w="2389"/>
        <w:gridCol w:w="1953"/>
        <w:gridCol w:w="2025"/>
        <w:gridCol w:w="1187"/>
      </w:tblGrid>
      <w:tr w:rsidR="00B73768" w:rsidRPr="00EB561B" w14:paraId="1267D3FB" w14:textId="77777777" w:rsidTr="00DC288E">
        <w:trPr>
          <w:cantSplit/>
        </w:trPr>
        <w:tc>
          <w:tcPr>
            <w:tcW w:w="0" w:type="auto"/>
            <w:gridSpan w:val="5"/>
            <w:shd w:val="clear" w:color="auto" w:fill="F2F2F2" w:themeFill="background1" w:themeFillShade="F2"/>
            <w:vAlign w:val="center"/>
          </w:tcPr>
          <w:p w14:paraId="57D7F1E5" w14:textId="32FC4EE1" w:rsidR="00B73768" w:rsidRPr="00367CC8" w:rsidRDefault="00B73768" w:rsidP="000367F3">
            <w:pPr>
              <w:pStyle w:val="Heading2"/>
            </w:pPr>
            <w:bookmarkStart w:id="93" w:name="_Toc104910463"/>
            <w:bookmarkStart w:id="94" w:name="_Toc106708910"/>
            <w:r w:rsidRPr="000367F3">
              <w:t>Protein</w:t>
            </w:r>
            <w:r w:rsidRPr="00367CC8">
              <w:t xml:space="preserve"> </w:t>
            </w:r>
            <w:r w:rsidR="000367F3">
              <w:t>b</w:t>
            </w:r>
            <w:r w:rsidRPr="00367CC8">
              <w:t>inding</w:t>
            </w:r>
            <w:bookmarkEnd w:id="93"/>
            <w:bookmarkEnd w:id="94"/>
          </w:p>
        </w:tc>
      </w:tr>
      <w:tr w:rsidR="00FA77A0" w:rsidRPr="00EB561B" w14:paraId="0B600296" w14:textId="77777777" w:rsidTr="00D71796">
        <w:trPr>
          <w:cantSplit/>
        </w:trPr>
        <w:tc>
          <w:tcPr>
            <w:tcW w:w="0" w:type="auto"/>
            <w:shd w:val="clear" w:color="auto" w:fill="DBE5F1" w:themeFill="accent1" w:themeFillTint="33"/>
            <w:vAlign w:val="center"/>
          </w:tcPr>
          <w:p w14:paraId="343C0C57" w14:textId="77777777" w:rsidR="00B73768" w:rsidRPr="000367F3" w:rsidRDefault="00B73768" w:rsidP="00D71796">
            <w:pPr>
              <w:jc w:val="center"/>
              <w:rPr>
                <w:b/>
                <w:bCs/>
              </w:rPr>
            </w:pPr>
            <w:r w:rsidRPr="000367F3">
              <w:rPr>
                <w:b/>
                <w:bCs/>
              </w:rPr>
              <w:t>Dabigatran (Pradaxa</w:t>
            </w:r>
            <w:r w:rsidRPr="000367F3">
              <w:rPr>
                <w:b/>
                <w:bCs/>
              </w:rPr>
              <w:sym w:font="Symbol" w:char="F0D2"/>
            </w:r>
            <w:r w:rsidRPr="000367F3">
              <w:rPr>
                <w:b/>
                <w:bCs/>
              </w:rPr>
              <w:t>)</w:t>
            </w:r>
            <w:r w:rsidRPr="000367F3">
              <w:rPr>
                <w:b/>
                <w:bCs/>
                <w:vertAlign w:val="superscript"/>
              </w:rPr>
              <w:t>1</w:t>
            </w:r>
          </w:p>
        </w:tc>
        <w:tc>
          <w:tcPr>
            <w:tcW w:w="0" w:type="auto"/>
            <w:shd w:val="clear" w:color="auto" w:fill="F2DBDB" w:themeFill="accent2" w:themeFillTint="33"/>
            <w:vAlign w:val="center"/>
          </w:tcPr>
          <w:p w14:paraId="7EB23C5E" w14:textId="77777777" w:rsidR="00B73768" w:rsidRPr="000367F3" w:rsidRDefault="00B73768" w:rsidP="00D71796">
            <w:pPr>
              <w:jc w:val="center"/>
              <w:rPr>
                <w:b/>
                <w:bCs/>
              </w:rPr>
            </w:pPr>
            <w:r w:rsidRPr="000367F3">
              <w:rPr>
                <w:b/>
                <w:bCs/>
              </w:rPr>
              <w:t>Rivaroxaban (Xarelto</w:t>
            </w:r>
            <w:r w:rsidRPr="000367F3">
              <w:rPr>
                <w:b/>
                <w:bCs/>
              </w:rPr>
              <w:sym w:font="Symbol" w:char="F0D2"/>
            </w:r>
            <w:r w:rsidRPr="000367F3">
              <w:rPr>
                <w:rFonts w:cs="Arial"/>
                <w:b/>
                <w:bCs/>
              </w:rPr>
              <w:t>▼</w:t>
            </w:r>
            <w:r w:rsidRPr="000367F3">
              <w:rPr>
                <w:b/>
                <w:bCs/>
              </w:rPr>
              <w:t>)</w:t>
            </w:r>
            <w:r w:rsidRPr="000367F3">
              <w:rPr>
                <w:b/>
                <w:bCs/>
                <w:vertAlign w:val="superscript"/>
              </w:rPr>
              <w:t>2</w:t>
            </w:r>
          </w:p>
        </w:tc>
        <w:tc>
          <w:tcPr>
            <w:tcW w:w="0" w:type="auto"/>
            <w:shd w:val="clear" w:color="auto" w:fill="E5DFEC" w:themeFill="accent4" w:themeFillTint="33"/>
            <w:vAlign w:val="center"/>
          </w:tcPr>
          <w:p w14:paraId="16C2EF64" w14:textId="77777777" w:rsidR="00B73768" w:rsidRPr="000367F3" w:rsidRDefault="00B73768" w:rsidP="00D71796">
            <w:pPr>
              <w:jc w:val="center"/>
              <w:rPr>
                <w:b/>
                <w:bCs/>
              </w:rPr>
            </w:pPr>
            <w:r w:rsidRPr="000367F3">
              <w:rPr>
                <w:b/>
                <w:bCs/>
              </w:rPr>
              <w:t>Apixaban (Eliquis</w:t>
            </w:r>
            <w:r w:rsidRPr="000367F3">
              <w:rPr>
                <w:b/>
                <w:bCs/>
              </w:rPr>
              <w:sym w:font="Symbol" w:char="F0D2"/>
            </w:r>
            <w:r w:rsidRPr="000367F3">
              <w:rPr>
                <w:b/>
                <w:bCs/>
              </w:rPr>
              <w:t>)</w:t>
            </w:r>
            <w:r w:rsidRPr="000367F3">
              <w:rPr>
                <w:b/>
                <w:bCs/>
                <w:vertAlign w:val="superscript"/>
              </w:rPr>
              <w:t>3</w:t>
            </w:r>
          </w:p>
        </w:tc>
        <w:tc>
          <w:tcPr>
            <w:tcW w:w="0" w:type="auto"/>
            <w:shd w:val="clear" w:color="auto" w:fill="FDE9D9" w:themeFill="accent6" w:themeFillTint="33"/>
            <w:vAlign w:val="center"/>
          </w:tcPr>
          <w:p w14:paraId="4F6691F0" w14:textId="1335D48B" w:rsidR="00B73768" w:rsidRPr="000367F3" w:rsidRDefault="00B73768" w:rsidP="00D71796">
            <w:pPr>
              <w:jc w:val="center"/>
              <w:rPr>
                <w:b/>
                <w:bCs/>
              </w:rPr>
            </w:pPr>
            <w:r w:rsidRPr="000367F3">
              <w:rPr>
                <w:b/>
                <w:bCs/>
              </w:rPr>
              <w:t>Edoxaban (Lixiana</w:t>
            </w:r>
            <w:r w:rsidRPr="000367F3">
              <w:rPr>
                <w:b/>
                <w:bCs/>
              </w:rPr>
              <w:sym w:font="Symbol" w:char="F0D2"/>
            </w:r>
            <w:r w:rsidRPr="000367F3">
              <w:rPr>
                <w:b/>
                <w:bCs/>
              </w:rPr>
              <w:t>)</w:t>
            </w:r>
            <w:r w:rsidRPr="000367F3">
              <w:rPr>
                <w:b/>
                <w:bCs/>
                <w:vertAlign w:val="superscript"/>
              </w:rPr>
              <w:t>4</w:t>
            </w:r>
          </w:p>
        </w:tc>
        <w:tc>
          <w:tcPr>
            <w:tcW w:w="0" w:type="auto"/>
            <w:shd w:val="clear" w:color="auto" w:fill="EAF1DD" w:themeFill="accent3" w:themeFillTint="33"/>
            <w:vAlign w:val="center"/>
          </w:tcPr>
          <w:p w14:paraId="7D24E487" w14:textId="2598D22B" w:rsidR="00B73768" w:rsidRPr="000367F3" w:rsidRDefault="002D6351" w:rsidP="00D71796">
            <w:pPr>
              <w:jc w:val="center"/>
              <w:rPr>
                <w:b/>
                <w:bCs/>
              </w:rPr>
            </w:pPr>
            <w:r w:rsidRPr="000367F3">
              <w:rPr>
                <w:b/>
                <w:bCs/>
              </w:rPr>
              <w:t>Warfarin</w:t>
            </w:r>
            <w:r w:rsidRPr="000367F3">
              <w:rPr>
                <w:b/>
                <w:bCs/>
                <w:vertAlign w:val="superscript"/>
              </w:rPr>
              <w:t>5</w:t>
            </w:r>
          </w:p>
        </w:tc>
      </w:tr>
      <w:tr w:rsidR="00FA77A0" w:rsidRPr="00EB561B" w14:paraId="2871863E" w14:textId="77777777" w:rsidTr="005A64F7">
        <w:trPr>
          <w:cantSplit/>
          <w:trHeight w:val="416"/>
        </w:trPr>
        <w:tc>
          <w:tcPr>
            <w:tcW w:w="0" w:type="auto"/>
            <w:shd w:val="clear" w:color="auto" w:fill="auto"/>
            <w:vAlign w:val="center"/>
          </w:tcPr>
          <w:p w14:paraId="7D4FEB90" w14:textId="592E8F15" w:rsidR="00B73768" w:rsidRPr="00EB561B" w:rsidRDefault="00F5476B" w:rsidP="005A64F7">
            <w:pPr>
              <w:jc w:val="center"/>
            </w:pPr>
            <w:r w:rsidRPr="00EB561B">
              <w:t>34-</w:t>
            </w:r>
            <w:r w:rsidR="00B73768" w:rsidRPr="00EB561B">
              <w:t>35%</w:t>
            </w:r>
          </w:p>
        </w:tc>
        <w:tc>
          <w:tcPr>
            <w:tcW w:w="0" w:type="auto"/>
            <w:shd w:val="clear" w:color="auto" w:fill="auto"/>
            <w:vAlign w:val="center"/>
          </w:tcPr>
          <w:p w14:paraId="7E0CE08E" w14:textId="60F0F264" w:rsidR="00B73768" w:rsidRPr="00EB561B" w:rsidRDefault="00F5476B" w:rsidP="005A64F7">
            <w:pPr>
              <w:jc w:val="center"/>
            </w:pPr>
            <w:r w:rsidRPr="00EB561B">
              <w:t>92-</w:t>
            </w:r>
            <w:r w:rsidR="00B73768" w:rsidRPr="00EB561B">
              <w:t>95%</w:t>
            </w:r>
          </w:p>
        </w:tc>
        <w:tc>
          <w:tcPr>
            <w:tcW w:w="0" w:type="auto"/>
            <w:shd w:val="clear" w:color="auto" w:fill="auto"/>
            <w:vAlign w:val="center"/>
          </w:tcPr>
          <w:p w14:paraId="4F0FA17E" w14:textId="184E2447" w:rsidR="00B73768" w:rsidRPr="00EB561B" w:rsidRDefault="00B73768" w:rsidP="005A64F7">
            <w:pPr>
              <w:jc w:val="center"/>
            </w:pPr>
            <w:r w:rsidRPr="00EB561B">
              <w:t>87%</w:t>
            </w:r>
          </w:p>
        </w:tc>
        <w:tc>
          <w:tcPr>
            <w:tcW w:w="0" w:type="auto"/>
            <w:shd w:val="clear" w:color="auto" w:fill="auto"/>
            <w:vAlign w:val="center"/>
          </w:tcPr>
          <w:p w14:paraId="6A9D8D87" w14:textId="177C20B5" w:rsidR="00B73768" w:rsidRPr="00EB561B" w:rsidRDefault="00F5476B" w:rsidP="005A64F7">
            <w:pPr>
              <w:jc w:val="center"/>
            </w:pPr>
            <w:r w:rsidRPr="00EB561B">
              <w:t>5</w:t>
            </w:r>
            <w:r w:rsidR="00B73768" w:rsidRPr="00EB561B">
              <w:t>5%</w:t>
            </w:r>
          </w:p>
        </w:tc>
        <w:tc>
          <w:tcPr>
            <w:tcW w:w="0" w:type="auto"/>
            <w:vAlign w:val="center"/>
          </w:tcPr>
          <w:p w14:paraId="1D6435D2" w14:textId="492B3446" w:rsidR="00B73768" w:rsidRPr="00EB561B" w:rsidRDefault="001271A3" w:rsidP="005A64F7">
            <w:pPr>
              <w:jc w:val="center"/>
            </w:pPr>
            <w:r w:rsidRPr="00EB561B">
              <w:t>99%</w:t>
            </w:r>
          </w:p>
        </w:tc>
      </w:tr>
    </w:tbl>
    <w:p w14:paraId="48678CFB" w14:textId="77777777" w:rsidR="00E03A48" w:rsidRPr="00EB561B" w:rsidRDefault="00E03A48">
      <w:pPr>
        <w:rPr>
          <w:rFonts w:asciiTheme="majorHAnsi" w:hAnsiTheme="majorHAnsi" w:cstheme="majorHAnsi"/>
          <w:szCs w:val="22"/>
        </w:rPr>
      </w:pPr>
    </w:p>
    <w:tbl>
      <w:tblPr>
        <w:tblStyle w:val="TableGrid"/>
        <w:tblpPr w:leftFromText="180" w:rightFromText="180" w:vertAnchor="text" w:tblpY="1"/>
        <w:tblOverlap w:val="never"/>
        <w:tblW w:w="5000" w:type="pct"/>
        <w:tblLook w:val="04A0" w:firstRow="1" w:lastRow="0" w:firstColumn="1" w:lastColumn="0" w:noHBand="0" w:noVBand="1"/>
      </w:tblPr>
      <w:tblGrid>
        <w:gridCol w:w="1578"/>
        <w:gridCol w:w="4086"/>
        <w:gridCol w:w="4071"/>
      </w:tblGrid>
      <w:tr w:rsidR="000A50C7" w:rsidRPr="00EB561B" w14:paraId="77DE0438" w14:textId="115FC37B" w:rsidTr="000367F3">
        <w:trPr>
          <w:cantSplit/>
          <w:trHeight w:val="605"/>
          <w:tblHeader/>
        </w:trPr>
        <w:tc>
          <w:tcPr>
            <w:tcW w:w="5000" w:type="pct"/>
            <w:gridSpan w:val="3"/>
            <w:shd w:val="clear" w:color="auto" w:fill="F2F2F2" w:themeFill="background1" w:themeFillShade="F2"/>
            <w:vAlign w:val="center"/>
          </w:tcPr>
          <w:p w14:paraId="21DAFAE3" w14:textId="3A6D5A19" w:rsidR="000A50C7" w:rsidRPr="00EB561B" w:rsidRDefault="000A50C7" w:rsidP="00E31F9D">
            <w:pPr>
              <w:pStyle w:val="Heading2"/>
            </w:pPr>
            <w:bookmarkStart w:id="95" w:name="_Toc365717737"/>
            <w:bookmarkStart w:id="96" w:name="_Toc96868256"/>
            <w:bookmarkStart w:id="97" w:name="_Toc104910464"/>
            <w:bookmarkStart w:id="98" w:name="_Toc106708911"/>
            <w:r w:rsidRPr="00367CC8">
              <w:t>Hepatic impairment</w:t>
            </w:r>
            <w:bookmarkEnd w:id="95"/>
            <w:bookmarkEnd w:id="96"/>
            <w:bookmarkEnd w:id="97"/>
            <w:bookmarkEnd w:id="98"/>
          </w:p>
        </w:tc>
      </w:tr>
      <w:tr w:rsidR="00E31F9D" w:rsidRPr="00EB561B" w14:paraId="364342F4" w14:textId="77777777" w:rsidTr="00E31F9D">
        <w:trPr>
          <w:cantSplit/>
          <w:trHeight w:val="605"/>
          <w:tblHeader/>
        </w:trPr>
        <w:tc>
          <w:tcPr>
            <w:tcW w:w="5000" w:type="pct"/>
            <w:gridSpan w:val="3"/>
            <w:shd w:val="clear" w:color="auto" w:fill="auto"/>
            <w:vAlign w:val="center"/>
          </w:tcPr>
          <w:p w14:paraId="13B8DEAD" w14:textId="681837C7" w:rsidR="00E31F9D" w:rsidRPr="00367CC8" w:rsidRDefault="00E31F9D" w:rsidP="00E31F9D">
            <w:bookmarkStart w:id="99" w:name="_Toc96868257"/>
            <w:bookmarkStart w:id="100" w:name="_Toc96966701"/>
            <w:bookmarkStart w:id="101" w:name="_Toc96966802"/>
            <w:bookmarkStart w:id="102" w:name="_Toc96967129"/>
            <w:bookmarkStart w:id="103" w:name="_Toc102142812"/>
            <w:bookmarkStart w:id="104" w:name="_Toc102563025"/>
            <w:r w:rsidRPr="00367CC8">
              <w:t>(Hepatic disease-coagulopathy, bleeding risk in</w:t>
            </w:r>
            <w:r w:rsidR="00B17867">
              <w:t>cluding</w:t>
            </w:r>
            <w:r w:rsidRPr="00367CC8">
              <w:t xml:space="preserve"> cirrhotic patients with Child-Pugh Score B and C)</w:t>
            </w:r>
            <w:bookmarkEnd w:id="99"/>
            <w:bookmarkEnd w:id="100"/>
            <w:bookmarkEnd w:id="101"/>
            <w:bookmarkEnd w:id="102"/>
            <w:bookmarkEnd w:id="103"/>
            <w:bookmarkEnd w:id="104"/>
          </w:p>
        </w:tc>
      </w:tr>
      <w:tr w:rsidR="00E31F9D" w:rsidRPr="00EB561B" w14:paraId="7EB01A18" w14:textId="77777777" w:rsidTr="00E3514B">
        <w:trPr>
          <w:cantSplit/>
          <w:trHeight w:val="612"/>
          <w:tblHeader/>
        </w:trPr>
        <w:tc>
          <w:tcPr>
            <w:tcW w:w="810" w:type="pct"/>
            <w:shd w:val="clear" w:color="auto" w:fill="F2F2F2" w:themeFill="background1" w:themeFillShade="F2"/>
            <w:vAlign w:val="center"/>
          </w:tcPr>
          <w:p w14:paraId="0505338A" w14:textId="77777777" w:rsidR="00E31F9D" w:rsidRPr="00367CC8" w:rsidRDefault="00E31F9D" w:rsidP="000367F3">
            <w:pPr>
              <w:pStyle w:val="Heading2"/>
            </w:pPr>
          </w:p>
        </w:tc>
        <w:tc>
          <w:tcPr>
            <w:tcW w:w="2099" w:type="pct"/>
            <w:shd w:val="clear" w:color="auto" w:fill="F2F2F2" w:themeFill="background1" w:themeFillShade="F2"/>
            <w:vAlign w:val="center"/>
          </w:tcPr>
          <w:p w14:paraId="5E6E75C6" w14:textId="2495ADE8" w:rsidR="00E31F9D" w:rsidRPr="00E31F9D" w:rsidRDefault="00E31F9D" w:rsidP="00E31F9D">
            <w:pPr>
              <w:rPr>
                <w:b/>
                <w:bCs/>
              </w:rPr>
            </w:pPr>
            <w:r w:rsidRPr="00E31F9D">
              <w:rPr>
                <w:b/>
                <w:bCs/>
              </w:rPr>
              <w:t>Hepatic impairment</w:t>
            </w:r>
          </w:p>
        </w:tc>
        <w:tc>
          <w:tcPr>
            <w:tcW w:w="2090" w:type="pct"/>
            <w:shd w:val="clear" w:color="auto" w:fill="F2F2F2" w:themeFill="background1" w:themeFillShade="F2"/>
            <w:vAlign w:val="center"/>
          </w:tcPr>
          <w:p w14:paraId="1E6AB50B" w14:textId="7501BE94" w:rsidR="00E31F9D" w:rsidRPr="00E31F9D" w:rsidRDefault="00E31F9D" w:rsidP="00E31F9D">
            <w:pPr>
              <w:rPr>
                <w:b/>
                <w:bCs/>
              </w:rPr>
            </w:pPr>
            <w:r w:rsidRPr="00E31F9D">
              <w:rPr>
                <w:b/>
                <w:bCs/>
              </w:rPr>
              <w:t>Patients with elevated liver enzymes &gt;2 ULN (Upper limit of normal)</w:t>
            </w:r>
          </w:p>
        </w:tc>
      </w:tr>
      <w:tr w:rsidR="00E31F9D" w:rsidRPr="00EB561B" w14:paraId="3EDE35EB" w14:textId="77777777" w:rsidTr="00E3514B">
        <w:trPr>
          <w:cantSplit/>
          <w:trHeight w:val="612"/>
          <w:tblHeader/>
        </w:trPr>
        <w:tc>
          <w:tcPr>
            <w:tcW w:w="810" w:type="pct"/>
            <w:shd w:val="clear" w:color="auto" w:fill="DBE5F1" w:themeFill="accent1" w:themeFillTint="33"/>
            <w:vAlign w:val="center"/>
          </w:tcPr>
          <w:p w14:paraId="325A312D" w14:textId="09D19FD1" w:rsidR="00E31F9D" w:rsidRPr="00E31F9D" w:rsidRDefault="00E31F9D" w:rsidP="00E31F9D">
            <w:pPr>
              <w:rPr>
                <w:b/>
                <w:bCs/>
              </w:rPr>
            </w:pPr>
            <w:r w:rsidRPr="00E31F9D">
              <w:rPr>
                <w:b/>
                <w:bCs/>
              </w:rPr>
              <w:t>Dabigatran (Pradaxa</w:t>
            </w:r>
            <w:r w:rsidRPr="00E31F9D">
              <w:rPr>
                <w:b/>
                <w:bCs/>
              </w:rPr>
              <w:sym w:font="Symbol" w:char="F0D2"/>
            </w:r>
            <w:r w:rsidRPr="00E31F9D">
              <w:rPr>
                <w:b/>
                <w:bCs/>
              </w:rPr>
              <w:t>)</w:t>
            </w:r>
            <w:r w:rsidRPr="00E31F9D">
              <w:rPr>
                <w:b/>
                <w:bCs/>
                <w:vertAlign w:val="superscript"/>
              </w:rPr>
              <w:t>1</w:t>
            </w:r>
          </w:p>
        </w:tc>
        <w:tc>
          <w:tcPr>
            <w:tcW w:w="2099" w:type="pct"/>
            <w:shd w:val="clear" w:color="auto" w:fill="auto"/>
            <w:vAlign w:val="center"/>
          </w:tcPr>
          <w:p w14:paraId="1EF88A4F" w14:textId="4BB1AEFA" w:rsidR="00E31F9D" w:rsidRPr="00367CC8" w:rsidRDefault="00E31F9D" w:rsidP="00E31F9D">
            <w:r w:rsidRPr="00EB561B">
              <w:t xml:space="preserve">Contraindicated in </w:t>
            </w:r>
            <w:r w:rsidRPr="00EB561B">
              <w:rPr>
                <w:color w:val="000000" w:themeColor="text1"/>
              </w:rPr>
              <w:t xml:space="preserve">hepatic impairment or liver disease </w:t>
            </w:r>
            <w:r w:rsidRPr="00EB561B">
              <w:t>where expected to have impact on survival</w:t>
            </w:r>
          </w:p>
        </w:tc>
        <w:tc>
          <w:tcPr>
            <w:tcW w:w="2090" w:type="pct"/>
            <w:shd w:val="clear" w:color="auto" w:fill="auto"/>
            <w:vAlign w:val="center"/>
          </w:tcPr>
          <w:p w14:paraId="0407EB65" w14:textId="1C2B972C" w:rsidR="00E31F9D" w:rsidRPr="00367CC8" w:rsidRDefault="00E31F9D" w:rsidP="00E31F9D">
            <w:r w:rsidRPr="00EB561B">
              <w:rPr>
                <w:szCs w:val="22"/>
              </w:rPr>
              <w:t>Not recommended</w:t>
            </w:r>
          </w:p>
        </w:tc>
      </w:tr>
      <w:tr w:rsidR="00E31F9D" w:rsidRPr="00EB561B" w14:paraId="10622D8C" w14:textId="77777777" w:rsidTr="00E3514B">
        <w:trPr>
          <w:cantSplit/>
          <w:trHeight w:val="612"/>
          <w:tblHeader/>
        </w:trPr>
        <w:tc>
          <w:tcPr>
            <w:tcW w:w="810" w:type="pct"/>
            <w:shd w:val="clear" w:color="auto" w:fill="F2DBDB" w:themeFill="accent2" w:themeFillTint="33"/>
            <w:vAlign w:val="center"/>
          </w:tcPr>
          <w:p w14:paraId="741112D0" w14:textId="5186E290" w:rsidR="00E31F9D" w:rsidRPr="00E31F9D" w:rsidRDefault="00E31F9D" w:rsidP="00E31F9D">
            <w:pPr>
              <w:rPr>
                <w:b/>
                <w:bCs/>
              </w:rPr>
            </w:pPr>
            <w:r w:rsidRPr="00E31F9D">
              <w:rPr>
                <w:b/>
                <w:bCs/>
              </w:rPr>
              <w:t>Rivaroxaban (Xarelto</w:t>
            </w:r>
            <w:r w:rsidRPr="00E31F9D">
              <w:rPr>
                <w:b/>
                <w:bCs/>
              </w:rPr>
              <w:sym w:font="Symbol" w:char="F0D2"/>
            </w:r>
            <w:r w:rsidRPr="00E31F9D">
              <w:rPr>
                <w:rFonts w:cs="Arial"/>
                <w:b/>
                <w:bCs/>
              </w:rPr>
              <w:t>▼</w:t>
            </w:r>
            <w:r w:rsidRPr="00E31F9D">
              <w:rPr>
                <w:b/>
                <w:bCs/>
              </w:rPr>
              <w:t>)</w:t>
            </w:r>
            <w:r w:rsidRPr="00E31F9D">
              <w:rPr>
                <w:b/>
                <w:bCs/>
                <w:vertAlign w:val="superscript"/>
              </w:rPr>
              <w:t>2</w:t>
            </w:r>
          </w:p>
        </w:tc>
        <w:tc>
          <w:tcPr>
            <w:tcW w:w="2099" w:type="pct"/>
            <w:shd w:val="clear" w:color="auto" w:fill="auto"/>
            <w:vAlign w:val="center"/>
          </w:tcPr>
          <w:p w14:paraId="25F9E306" w14:textId="45236484" w:rsidR="00E31F9D" w:rsidRPr="00367CC8" w:rsidRDefault="00E31F9D" w:rsidP="00E31F9D">
            <w:r w:rsidRPr="00EB561B">
              <w:rPr>
                <w:szCs w:val="22"/>
              </w:rPr>
              <w:t xml:space="preserve">Contraindicated in hepatic disease </w:t>
            </w:r>
          </w:p>
        </w:tc>
        <w:tc>
          <w:tcPr>
            <w:tcW w:w="2090" w:type="pct"/>
            <w:shd w:val="clear" w:color="auto" w:fill="auto"/>
            <w:vAlign w:val="center"/>
          </w:tcPr>
          <w:p w14:paraId="6DC742FF" w14:textId="53AAD604" w:rsidR="00E31F9D" w:rsidRPr="00367CC8" w:rsidRDefault="00E31F9D" w:rsidP="00E31F9D">
            <w:r w:rsidRPr="00EB561B">
              <w:rPr>
                <w:szCs w:val="22"/>
              </w:rPr>
              <w:t>Not stated</w:t>
            </w:r>
          </w:p>
        </w:tc>
      </w:tr>
      <w:tr w:rsidR="00E31F9D" w:rsidRPr="00EB561B" w14:paraId="604D4D5D" w14:textId="77777777" w:rsidTr="00E3514B">
        <w:trPr>
          <w:cantSplit/>
          <w:trHeight w:val="612"/>
          <w:tblHeader/>
        </w:trPr>
        <w:tc>
          <w:tcPr>
            <w:tcW w:w="810" w:type="pct"/>
            <w:shd w:val="clear" w:color="auto" w:fill="E5DFEC" w:themeFill="accent4" w:themeFillTint="33"/>
            <w:vAlign w:val="center"/>
          </w:tcPr>
          <w:p w14:paraId="5E2B7244" w14:textId="3EAE7DE3" w:rsidR="00E31F9D" w:rsidRPr="00E31F9D" w:rsidRDefault="00E31F9D" w:rsidP="00E31F9D">
            <w:pPr>
              <w:rPr>
                <w:b/>
                <w:bCs/>
              </w:rPr>
            </w:pPr>
            <w:r w:rsidRPr="00E31F9D">
              <w:rPr>
                <w:b/>
                <w:bCs/>
              </w:rPr>
              <w:t>Apixaban (Eliquis</w:t>
            </w:r>
            <w:r w:rsidRPr="00E31F9D">
              <w:rPr>
                <w:b/>
                <w:bCs/>
              </w:rPr>
              <w:sym w:font="Symbol" w:char="F0D2"/>
            </w:r>
            <w:r w:rsidRPr="00E31F9D">
              <w:rPr>
                <w:b/>
                <w:bCs/>
              </w:rPr>
              <w:t>)</w:t>
            </w:r>
            <w:r w:rsidRPr="00E31F9D">
              <w:rPr>
                <w:b/>
                <w:bCs/>
                <w:vertAlign w:val="superscript"/>
              </w:rPr>
              <w:t>3</w:t>
            </w:r>
          </w:p>
        </w:tc>
        <w:tc>
          <w:tcPr>
            <w:tcW w:w="2099" w:type="pct"/>
            <w:shd w:val="clear" w:color="auto" w:fill="auto"/>
            <w:vAlign w:val="center"/>
          </w:tcPr>
          <w:p w14:paraId="11F81D19" w14:textId="77777777" w:rsidR="00E31F9D" w:rsidRPr="00EB561B" w:rsidRDefault="00E31F9D" w:rsidP="00E31F9D">
            <w:pPr>
              <w:rPr>
                <w:color w:val="000000"/>
                <w:szCs w:val="22"/>
                <w:shd w:val="clear" w:color="auto" w:fill="FFFFFF"/>
              </w:rPr>
            </w:pPr>
            <w:r w:rsidRPr="00EB561B">
              <w:rPr>
                <w:color w:val="000000"/>
                <w:szCs w:val="22"/>
                <w:shd w:val="clear" w:color="auto" w:fill="FFFFFF"/>
              </w:rPr>
              <w:t>Contraindicated in patients with hepatic disease associated with coagulopathy and clinically relevant bleeding risk</w:t>
            </w:r>
          </w:p>
          <w:p w14:paraId="7681049F" w14:textId="77777777" w:rsidR="00E31F9D" w:rsidRPr="00EB561B" w:rsidRDefault="00E31F9D" w:rsidP="00E31F9D">
            <w:pPr>
              <w:rPr>
                <w:szCs w:val="22"/>
              </w:rPr>
            </w:pPr>
            <w:r w:rsidRPr="00EB561B">
              <w:rPr>
                <w:szCs w:val="22"/>
              </w:rPr>
              <w:t>Severe – not recommended</w:t>
            </w:r>
          </w:p>
          <w:p w14:paraId="515143C7" w14:textId="4E9B3EF9" w:rsidR="00E31F9D" w:rsidRPr="00367CC8" w:rsidRDefault="00E31F9D" w:rsidP="00E31F9D">
            <w:r w:rsidRPr="00EB561B">
              <w:rPr>
                <w:szCs w:val="22"/>
              </w:rPr>
              <w:t>Mild to moderate - caution</w:t>
            </w:r>
          </w:p>
        </w:tc>
        <w:tc>
          <w:tcPr>
            <w:tcW w:w="2090" w:type="pct"/>
            <w:shd w:val="clear" w:color="auto" w:fill="auto"/>
            <w:vAlign w:val="center"/>
          </w:tcPr>
          <w:p w14:paraId="7DC9B51D" w14:textId="77777777" w:rsidR="00E31F9D" w:rsidRPr="00EB561B" w:rsidRDefault="00E31F9D" w:rsidP="00E31F9D">
            <w:pPr>
              <w:rPr>
                <w:szCs w:val="22"/>
              </w:rPr>
            </w:pPr>
            <w:r w:rsidRPr="00EB561B">
              <w:rPr>
                <w:szCs w:val="22"/>
              </w:rPr>
              <w:t>Caution - also applies if total bilirubin ≥1.5 x ULN</w:t>
            </w:r>
          </w:p>
          <w:p w14:paraId="2179FF8B" w14:textId="3AAECE9E" w:rsidR="00E31F9D" w:rsidRPr="00367CC8" w:rsidRDefault="00E31F9D" w:rsidP="00E31F9D">
            <w:r w:rsidRPr="00EB561B">
              <w:rPr>
                <w:szCs w:val="22"/>
              </w:rPr>
              <w:t xml:space="preserve">LFTs needed prior to initiating </w:t>
            </w:r>
          </w:p>
        </w:tc>
      </w:tr>
      <w:tr w:rsidR="00E31F9D" w:rsidRPr="00EB561B" w14:paraId="102BFB32" w14:textId="77777777" w:rsidTr="00E3514B">
        <w:trPr>
          <w:cantSplit/>
          <w:trHeight w:val="612"/>
          <w:tblHeader/>
        </w:trPr>
        <w:tc>
          <w:tcPr>
            <w:tcW w:w="810" w:type="pct"/>
            <w:shd w:val="clear" w:color="auto" w:fill="FDE9D9" w:themeFill="accent6" w:themeFillTint="33"/>
            <w:vAlign w:val="center"/>
          </w:tcPr>
          <w:p w14:paraId="1F69C488" w14:textId="4720438F" w:rsidR="00E31F9D" w:rsidRPr="00E31F9D" w:rsidRDefault="00E31F9D" w:rsidP="00E31F9D">
            <w:pPr>
              <w:rPr>
                <w:b/>
                <w:bCs/>
              </w:rPr>
            </w:pPr>
            <w:r w:rsidRPr="00E31F9D">
              <w:rPr>
                <w:b/>
                <w:bCs/>
              </w:rPr>
              <w:t>Edoxaban (Lixiana</w:t>
            </w:r>
            <w:r w:rsidRPr="00E31F9D">
              <w:rPr>
                <w:b/>
                <w:bCs/>
              </w:rPr>
              <w:sym w:font="Symbol" w:char="F0D2"/>
            </w:r>
            <w:r w:rsidRPr="00E31F9D">
              <w:rPr>
                <w:b/>
                <w:bCs/>
              </w:rPr>
              <w:t>)</w:t>
            </w:r>
            <w:r w:rsidRPr="00E31F9D">
              <w:rPr>
                <w:b/>
                <w:bCs/>
                <w:vertAlign w:val="superscript"/>
              </w:rPr>
              <w:t>4</w:t>
            </w:r>
          </w:p>
        </w:tc>
        <w:tc>
          <w:tcPr>
            <w:tcW w:w="2099" w:type="pct"/>
            <w:shd w:val="clear" w:color="auto" w:fill="auto"/>
            <w:vAlign w:val="center"/>
          </w:tcPr>
          <w:p w14:paraId="0F1557E3" w14:textId="14F9153D" w:rsidR="00E31F9D" w:rsidRPr="00EB561B" w:rsidRDefault="00E31F9D" w:rsidP="00E31F9D">
            <w:pPr>
              <w:rPr>
                <w:szCs w:val="22"/>
              </w:rPr>
            </w:pPr>
            <w:r w:rsidRPr="00EB561B">
              <w:rPr>
                <w:szCs w:val="22"/>
              </w:rPr>
              <w:t>Contraindicated in hepatic disease</w:t>
            </w:r>
          </w:p>
          <w:p w14:paraId="40D959FC" w14:textId="77777777" w:rsidR="00E31F9D" w:rsidRPr="00EB561B" w:rsidRDefault="00E31F9D" w:rsidP="00E31F9D">
            <w:pPr>
              <w:rPr>
                <w:szCs w:val="22"/>
              </w:rPr>
            </w:pPr>
            <w:r w:rsidRPr="00EB561B">
              <w:rPr>
                <w:szCs w:val="22"/>
              </w:rPr>
              <w:t>Severe – not recommended</w:t>
            </w:r>
          </w:p>
          <w:p w14:paraId="28BD2600" w14:textId="6D5DED10" w:rsidR="00E31F9D" w:rsidRPr="00367CC8" w:rsidRDefault="00E31F9D" w:rsidP="00E31F9D">
            <w:r w:rsidRPr="00EB561B">
              <w:rPr>
                <w:szCs w:val="22"/>
              </w:rPr>
              <w:t>Mild to moderate - caution</w:t>
            </w:r>
          </w:p>
        </w:tc>
        <w:tc>
          <w:tcPr>
            <w:tcW w:w="2090" w:type="pct"/>
            <w:shd w:val="clear" w:color="auto" w:fill="auto"/>
            <w:vAlign w:val="center"/>
          </w:tcPr>
          <w:p w14:paraId="7C4603A3" w14:textId="77777777" w:rsidR="00E31F9D" w:rsidRPr="00EB561B" w:rsidRDefault="00E31F9D" w:rsidP="00E31F9D">
            <w:pPr>
              <w:rPr>
                <w:szCs w:val="22"/>
              </w:rPr>
            </w:pPr>
            <w:r w:rsidRPr="00EB561B">
              <w:rPr>
                <w:szCs w:val="22"/>
              </w:rPr>
              <w:t>Caution - also applies if total bilirubin ≥1.5 x ULN</w:t>
            </w:r>
          </w:p>
          <w:p w14:paraId="109DC8C6" w14:textId="06F02497" w:rsidR="00E31F9D" w:rsidRPr="00367CC8" w:rsidRDefault="00E31F9D" w:rsidP="00E31F9D">
            <w:r w:rsidRPr="00EB561B">
              <w:rPr>
                <w:szCs w:val="22"/>
              </w:rPr>
              <w:t>LFTs needed prior to initiating</w:t>
            </w:r>
          </w:p>
        </w:tc>
      </w:tr>
      <w:tr w:rsidR="00E31F9D" w:rsidRPr="00EB561B" w14:paraId="65741FCC" w14:textId="77777777" w:rsidTr="00E3514B">
        <w:trPr>
          <w:cantSplit/>
          <w:trHeight w:val="612"/>
          <w:tblHeader/>
        </w:trPr>
        <w:tc>
          <w:tcPr>
            <w:tcW w:w="810" w:type="pct"/>
            <w:shd w:val="clear" w:color="auto" w:fill="EAF1DD" w:themeFill="accent3" w:themeFillTint="33"/>
            <w:vAlign w:val="center"/>
          </w:tcPr>
          <w:p w14:paraId="1FAD885F" w14:textId="3BCC937A" w:rsidR="00E31F9D" w:rsidRPr="00E31F9D" w:rsidRDefault="00E31F9D" w:rsidP="00E31F9D">
            <w:pPr>
              <w:rPr>
                <w:b/>
                <w:bCs/>
              </w:rPr>
            </w:pPr>
            <w:r w:rsidRPr="00E31F9D">
              <w:rPr>
                <w:b/>
                <w:bCs/>
              </w:rPr>
              <w:t>Warfarin</w:t>
            </w:r>
            <w:r w:rsidRPr="00E31F9D">
              <w:rPr>
                <w:b/>
                <w:bCs/>
                <w:vertAlign w:val="superscript"/>
              </w:rPr>
              <w:t>5,6</w:t>
            </w:r>
          </w:p>
        </w:tc>
        <w:tc>
          <w:tcPr>
            <w:tcW w:w="2099" w:type="pct"/>
            <w:shd w:val="clear" w:color="auto" w:fill="auto"/>
            <w:vAlign w:val="center"/>
          </w:tcPr>
          <w:p w14:paraId="63C9D813" w14:textId="77777777" w:rsidR="00E31F9D" w:rsidRPr="00EB561B" w:rsidRDefault="00E31F9D" w:rsidP="00E31F9D">
            <w:pPr>
              <w:rPr>
                <w:rFonts w:eastAsiaTheme="minorEastAsia"/>
                <w:szCs w:val="22"/>
              </w:rPr>
            </w:pPr>
            <w:r w:rsidRPr="00EB561B">
              <w:rPr>
                <w:rFonts w:eastAsiaTheme="minorEastAsia"/>
                <w:szCs w:val="22"/>
              </w:rPr>
              <w:t>Severe impairment - avoid</w:t>
            </w:r>
          </w:p>
          <w:p w14:paraId="5F5571D6" w14:textId="51733515" w:rsidR="00E31F9D" w:rsidRPr="00367CC8" w:rsidRDefault="00E31F9D" w:rsidP="00E31F9D">
            <w:r w:rsidRPr="00EB561B">
              <w:rPr>
                <w:rFonts w:eastAsiaTheme="minorEastAsia"/>
                <w:szCs w:val="22"/>
              </w:rPr>
              <w:t>Mild to moderate -</w:t>
            </w:r>
            <w:r>
              <w:rPr>
                <w:rFonts w:eastAsiaTheme="minorEastAsia"/>
                <w:szCs w:val="22"/>
              </w:rPr>
              <w:t xml:space="preserve"> </w:t>
            </w:r>
            <w:r w:rsidRPr="00EB561B">
              <w:rPr>
                <w:rFonts w:eastAsiaTheme="minorEastAsia"/>
                <w:szCs w:val="22"/>
              </w:rPr>
              <w:t xml:space="preserve">caution </w:t>
            </w:r>
          </w:p>
        </w:tc>
        <w:tc>
          <w:tcPr>
            <w:tcW w:w="2090" w:type="pct"/>
            <w:shd w:val="clear" w:color="auto" w:fill="auto"/>
            <w:vAlign w:val="center"/>
          </w:tcPr>
          <w:p w14:paraId="6BFD09F6" w14:textId="0BF597A3" w:rsidR="00E31F9D" w:rsidRPr="00367CC8" w:rsidRDefault="00E31F9D" w:rsidP="00E31F9D">
            <w:r w:rsidRPr="00EB561B">
              <w:rPr>
                <w:szCs w:val="22"/>
              </w:rPr>
              <w:t>Not stated</w:t>
            </w:r>
          </w:p>
        </w:tc>
      </w:tr>
    </w:tbl>
    <w:p w14:paraId="7A44B542" w14:textId="162A2DF2" w:rsidR="000367F3" w:rsidRDefault="000367F3"/>
    <w:p w14:paraId="6B315B67" w14:textId="77777777" w:rsidR="00E3514B" w:rsidRDefault="00E3514B"/>
    <w:tbl>
      <w:tblPr>
        <w:tblStyle w:val="TableGrid"/>
        <w:tblpPr w:leftFromText="180" w:rightFromText="180" w:vertAnchor="text" w:horzAnchor="margin" w:tblpY="305"/>
        <w:tblW w:w="5000" w:type="pct"/>
        <w:tblLook w:val="04A0" w:firstRow="1" w:lastRow="0" w:firstColumn="1" w:lastColumn="0" w:noHBand="0" w:noVBand="1"/>
      </w:tblPr>
      <w:tblGrid>
        <w:gridCol w:w="9735"/>
      </w:tblGrid>
      <w:tr w:rsidR="000C5876" w:rsidRPr="00EB561B" w14:paraId="664CC836" w14:textId="77777777" w:rsidTr="000C5876">
        <w:trPr>
          <w:cantSplit/>
          <w:trHeight w:val="561"/>
          <w:tblHeader/>
        </w:trPr>
        <w:tc>
          <w:tcPr>
            <w:tcW w:w="5000" w:type="pct"/>
            <w:shd w:val="clear" w:color="auto" w:fill="F2F2F2" w:themeFill="background1" w:themeFillShade="F2"/>
            <w:vAlign w:val="center"/>
          </w:tcPr>
          <w:p w14:paraId="65897B51" w14:textId="6468068E" w:rsidR="000C5876" w:rsidRPr="00E3514B" w:rsidRDefault="000C5876" w:rsidP="00E3514B">
            <w:pPr>
              <w:pStyle w:val="Heading2"/>
            </w:pPr>
            <w:bookmarkStart w:id="105" w:name="_Toc96868258"/>
            <w:bookmarkStart w:id="106" w:name="_Toc104910465"/>
            <w:bookmarkStart w:id="107" w:name="_Toc106708912"/>
            <w:r w:rsidRPr="00367CC8">
              <w:t>Drug interactions</w:t>
            </w:r>
            <w:bookmarkEnd w:id="105"/>
            <w:bookmarkEnd w:id="106"/>
            <w:bookmarkEnd w:id="107"/>
          </w:p>
        </w:tc>
      </w:tr>
      <w:tr w:rsidR="00E3514B" w:rsidRPr="00EB561B" w14:paraId="4C32DB3B" w14:textId="77777777" w:rsidTr="00E3514B">
        <w:trPr>
          <w:cantSplit/>
          <w:trHeight w:val="561"/>
          <w:tblHeader/>
        </w:trPr>
        <w:tc>
          <w:tcPr>
            <w:tcW w:w="5000" w:type="pct"/>
            <w:shd w:val="clear" w:color="auto" w:fill="auto"/>
            <w:vAlign w:val="center"/>
          </w:tcPr>
          <w:p w14:paraId="010A0129" w14:textId="77777777" w:rsidR="00E3514B" w:rsidRDefault="00E3514B" w:rsidP="00E3514B">
            <w:r>
              <w:t>U</w:t>
            </w:r>
            <w:r w:rsidRPr="00EB561B">
              <w:t>se individual medicines</w:t>
            </w:r>
            <w:r w:rsidRPr="00F206EE">
              <w:rPr>
                <w:rFonts w:cs="Arial"/>
              </w:rPr>
              <w:t xml:space="preserve"> </w:t>
            </w:r>
            <w:hyperlink r:id="rId14" w:history="1">
              <w:r w:rsidRPr="007D4F98">
                <w:rPr>
                  <w:rStyle w:val="Hyperlink"/>
                  <w:rFonts w:cs="Arial"/>
                  <w:szCs w:val="22"/>
                </w:rPr>
                <w:t>SPC</w:t>
              </w:r>
            </w:hyperlink>
            <w:r w:rsidRPr="00EB561B">
              <w:t xml:space="preserve"> and the drug interactions table in the BNF</w:t>
            </w:r>
            <w:r>
              <w:t xml:space="preserve"> </w:t>
            </w:r>
            <w:r w:rsidRPr="00EB561B">
              <w:t>for a complete list</w:t>
            </w:r>
            <w:r>
              <w:t xml:space="preserve"> </w:t>
            </w:r>
          </w:p>
          <w:p w14:paraId="28F14D65" w14:textId="66A58D36" w:rsidR="00E3514B" w:rsidRPr="00F206EE" w:rsidRDefault="00777693" w:rsidP="00E3514B">
            <w:pPr>
              <w:rPr>
                <w:rFonts w:cs="Arial"/>
              </w:rPr>
            </w:pPr>
            <w:hyperlink r:id="rId15" w:history="1">
              <w:r w:rsidR="00D5293F" w:rsidRPr="007D4F98">
                <w:rPr>
                  <w:rStyle w:val="Hyperlink"/>
                  <w:rFonts w:cs="Arial"/>
                  <w:szCs w:val="22"/>
                </w:rPr>
                <w:t>https://bnf.nice.org.uk/interaction/</w:t>
              </w:r>
            </w:hyperlink>
            <w:r w:rsidR="00E3514B" w:rsidRPr="00F206EE">
              <w:rPr>
                <w:rFonts w:cs="Arial"/>
              </w:rPr>
              <w:t xml:space="preserve"> </w:t>
            </w:r>
          </w:p>
        </w:tc>
      </w:tr>
    </w:tbl>
    <w:p w14:paraId="71C0E9F1" w14:textId="77777777" w:rsidR="002E47F4" w:rsidRPr="00EB561B" w:rsidRDefault="002E47F4">
      <w:pPr>
        <w:rPr>
          <w:rFonts w:asciiTheme="majorHAnsi" w:hAnsiTheme="majorHAnsi" w:cstheme="majorHAnsi"/>
          <w:szCs w:val="22"/>
        </w:rPr>
      </w:pPr>
    </w:p>
    <w:p w14:paraId="36D6F40A" w14:textId="77777777" w:rsidR="00D5293F" w:rsidRDefault="00D5293F">
      <w:bookmarkStart w:id="108" w:name="_Toc365717740"/>
      <w:bookmarkStart w:id="109" w:name="_Toc96868259"/>
      <w:bookmarkStart w:id="110" w:name="_Toc104910466"/>
      <w:r>
        <w:rPr>
          <w:b/>
        </w:rPr>
        <w:br w:type="page"/>
      </w:r>
    </w:p>
    <w:tbl>
      <w:tblPr>
        <w:tblStyle w:val="TableGrid"/>
        <w:tblW w:w="5000" w:type="pct"/>
        <w:tblLook w:val="04A0" w:firstRow="1" w:lastRow="0" w:firstColumn="1" w:lastColumn="0" w:noHBand="0" w:noVBand="1"/>
      </w:tblPr>
      <w:tblGrid>
        <w:gridCol w:w="2491"/>
        <w:gridCol w:w="1891"/>
        <w:gridCol w:w="1702"/>
        <w:gridCol w:w="1990"/>
        <w:gridCol w:w="1661"/>
      </w:tblGrid>
      <w:tr w:rsidR="005F19A4" w:rsidRPr="00EB561B" w14:paraId="458F7242" w14:textId="3F9892B1" w:rsidTr="00532FDE">
        <w:trPr>
          <w:cantSplit/>
          <w:tblHeader/>
        </w:trPr>
        <w:tc>
          <w:tcPr>
            <w:tcW w:w="5000" w:type="pct"/>
            <w:gridSpan w:val="5"/>
            <w:shd w:val="clear" w:color="auto" w:fill="F2F2F2" w:themeFill="background1" w:themeFillShade="F2"/>
            <w:vAlign w:val="center"/>
          </w:tcPr>
          <w:p w14:paraId="5B40759A" w14:textId="1F5E4975" w:rsidR="005F19A4" w:rsidRPr="00367CC8" w:rsidRDefault="005F19A4" w:rsidP="00D5293F">
            <w:pPr>
              <w:pStyle w:val="Heading2"/>
            </w:pPr>
            <w:bookmarkStart w:id="111" w:name="_Toc106708913"/>
            <w:r w:rsidRPr="00367CC8">
              <w:lastRenderedPageBreak/>
              <w:t>Contraindications</w:t>
            </w:r>
            <w:bookmarkEnd w:id="108"/>
            <w:bookmarkEnd w:id="109"/>
            <w:bookmarkEnd w:id="110"/>
            <w:bookmarkEnd w:id="111"/>
          </w:p>
        </w:tc>
      </w:tr>
      <w:tr w:rsidR="000C7431" w:rsidRPr="00EB561B" w14:paraId="4EFA6A2F" w14:textId="52EC84F6" w:rsidTr="00377FA5">
        <w:trPr>
          <w:cantSplit/>
          <w:tblHeader/>
        </w:trPr>
        <w:tc>
          <w:tcPr>
            <w:tcW w:w="1279" w:type="pct"/>
            <w:shd w:val="clear" w:color="auto" w:fill="DBE5F1" w:themeFill="accent1" w:themeFillTint="33"/>
            <w:vAlign w:val="center"/>
          </w:tcPr>
          <w:p w14:paraId="2B1F37A1" w14:textId="77777777" w:rsidR="000C7431" w:rsidRPr="00EB561B" w:rsidRDefault="000C7431" w:rsidP="00CF74AD">
            <w:pPr>
              <w:jc w:val="center"/>
              <w:rPr>
                <w:szCs w:val="22"/>
              </w:rPr>
            </w:pPr>
            <w:r w:rsidRPr="00EB561B">
              <w:rPr>
                <w:b/>
                <w:szCs w:val="22"/>
              </w:rPr>
              <w:t>Dabigatran (Pradaxa</w:t>
            </w:r>
            <w:r w:rsidRPr="00EB561B">
              <w:rPr>
                <w:b/>
                <w:szCs w:val="22"/>
              </w:rPr>
              <w:sym w:font="Symbol" w:char="F0D2"/>
            </w:r>
            <w:r w:rsidRPr="00EB561B">
              <w:rPr>
                <w:b/>
                <w:szCs w:val="22"/>
              </w:rPr>
              <w:t>)</w:t>
            </w:r>
            <w:r w:rsidRPr="00EB561B">
              <w:rPr>
                <w:b/>
                <w:szCs w:val="22"/>
                <w:vertAlign w:val="superscript"/>
              </w:rPr>
              <w:t>1</w:t>
            </w:r>
          </w:p>
        </w:tc>
        <w:tc>
          <w:tcPr>
            <w:tcW w:w="972" w:type="pct"/>
            <w:shd w:val="clear" w:color="auto" w:fill="F2DBDB" w:themeFill="accent2" w:themeFillTint="33"/>
            <w:vAlign w:val="center"/>
          </w:tcPr>
          <w:p w14:paraId="67A5D34F" w14:textId="661A18D5" w:rsidR="000C7431" w:rsidRPr="00EB561B" w:rsidRDefault="000C7431" w:rsidP="00CF74AD">
            <w:pPr>
              <w:jc w:val="center"/>
              <w:rPr>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p>
        </w:tc>
        <w:tc>
          <w:tcPr>
            <w:tcW w:w="874" w:type="pct"/>
            <w:shd w:val="clear" w:color="auto" w:fill="E5DFEC" w:themeFill="accent4" w:themeFillTint="33"/>
            <w:vAlign w:val="center"/>
          </w:tcPr>
          <w:p w14:paraId="5FA863E6" w14:textId="77777777" w:rsidR="000C7431" w:rsidRPr="00EB561B" w:rsidRDefault="000C7431" w:rsidP="00CF74AD">
            <w:pPr>
              <w:jc w:val="center"/>
              <w:rPr>
                <w:szCs w:val="22"/>
              </w:rPr>
            </w:pPr>
            <w:r w:rsidRPr="00EB561B">
              <w:rPr>
                <w:b/>
                <w:szCs w:val="22"/>
              </w:rPr>
              <w:t>Apixaban (Eliquis</w:t>
            </w:r>
            <w:r w:rsidRPr="00EB561B">
              <w:rPr>
                <w:b/>
                <w:szCs w:val="22"/>
              </w:rPr>
              <w:sym w:font="Symbol" w:char="F0D2"/>
            </w:r>
            <w:r w:rsidRPr="00EB561B">
              <w:rPr>
                <w:b/>
                <w:szCs w:val="22"/>
              </w:rPr>
              <w:t>)</w:t>
            </w:r>
            <w:r w:rsidRPr="00EB561B">
              <w:rPr>
                <w:b/>
                <w:szCs w:val="22"/>
                <w:vertAlign w:val="superscript"/>
              </w:rPr>
              <w:t>3</w:t>
            </w:r>
          </w:p>
        </w:tc>
        <w:tc>
          <w:tcPr>
            <w:tcW w:w="1021" w:type="pct"/>
            <w:shd w:val="clear" w:color="auto" w:fill="FDE9D9" w:themeFill="accent6" w:themeFillTint="33"/>
            <w:vAlign w:val="center"/>
          </w:tcPr>
          <w:p w14:paraId="5A0D6577" w14:textId="0424BB72" w:rsidR="000C7431" w:rsidRPr="00EB561B" w:rsidRDefault="000C7431" w:rsidP="00CF74AD">
            <w:pPr>
              <w:jc w:val="center"/>
              <w:rPr>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853" w:type="pct"/>
            <w:shd w:val="clear" w:color="auto" w:fill="EAF1DD" w:themeFill="accent3" w:themeFillTint="33"/>
            <w:vAlign w:val="center"/>
          </w:tcPr>
          <w:p w14:paraId="56B5C069" w14:textId="0F8FE4E0" w:rsidR="000C7431" w:rsidRPr="00EB561B" w:rsidRDefault="000C7431" w:rsidP="00CF74AD">
            <w:pPr>
              <w:jc w:val="center"/>
              <w:rPr>
                <w:b/>
                <w:szCs w:val="22"/>
                <w:vertAlign w:val="superscript"/>
                <w:lang w:val="de-DE"/>
              </w:rPr>
            </w:pPr>
            <w:r w:rsidRPr="00EB561B">
              <w:rPr>
                <w:b/>
                <w:szCs w:val="22"/>
                <w:lang w:val="de-DE"/>
              </w:rPr>
              <w:t>Warfarin</w:t>
            </w:r>
            <w:r w:rsidR="000F2903" w:rsidRPr="00EB561B">
              <w:rPr>
                <w:b/>
                <w:szCs w:val="22"/>
                <w:vertAlign w:val="superscript"/>
                <w:lang w:val="de-DE"/>
              </w:rPr>
              <w:t>5</w:t>
            </w:r>
          </w:p>
        </w:tc>
      </w:tr>
      <w:tr w:rsidR="00264CFC" w:rsidRPr="00264CFC" w14:paraId="51A39FFE" w14:textId="77777777" w:rsidTr="00CF74AD">
        <w:trPr>
          <w:cantSplit/>
        </w:trPr>
        <w:tc>
          <w:tcPr>
            <w:tcW w:w="5000" w:type="pct"/>
            <w:gridSpan w:val="5"/>
            <w:shd w:val="clear" w:color="auto" w:fill="auto"/>
            <w:vAlign w:val="center"/>
          </w:tcPr>
          <w:p w14:paraId="1CADC678" w14:textId="31EBFD38" w:rsidR="00264CFC" w:rsidRPr="00264CFC" w:rsidRDefault="00264CFC" w:rsidP="00CF74AD">
            <w:pPr>
              <w:jc w:val="center"/>
              <w:rPr>
                <w:b/>
                <w:szCs w:val="22"/>
              </w:rPr>
            </w:pPr>
            <w:r w:rsidRPr="00264CFC">
              <w:rPr>
                <w:bCs/>
                <w:szCs w:val="22"/>
              </w:rPr>
              <w:t>Hypersensitivity to the active substance or to any of the excipients</w:t>
            </w:r>
          </w:p>
        </w:tc>
      </w:tr>
      <w:tr w:rsidR="00CB39A6" w:rsidRPr="00264CFC" w14:paraId="06889C57" w14:textId="77777777" w:rsidTr="00CF74AD">
        <w:trPr>
          <w:cantSplit/>
        </w:trPr>
        <w:tc>
          <w:tcPr>
            <w:tcW w:w="5000" w:type="pct"/>
            <w:gridSpan w:val="5"/>
            <w:shd w:val="clear" w:color="auto" w:fill="auto"/>
            <w:vAlign w:val="center"/>
          </w:tcPr>
          <w:p w14:paraId="05AE3089" w14:textId="241AA106" w:rsidR="00CB39A6" w:rsidRPr="00264CFC" w:rsidRDefault="00CB39A6" w:rsidP="00CF74AD">
            <w:pPr>
              <w:jc w:val="center"/>
              <w:rPr>
                <w:b/>
                <w:szCs w:val="22"/>
              </w:rPr>
            </w:pPr>
            <w:r w:rsidRPr="00CB39A6">
              <w:rPr>
                <w:bCs/>
                <w:szCs w:val="22"/>
              </w:rPr>
              <w:t>Clinically significant active bleeding</w:t>
            </w:r>
          </w:p>
        </w:tc>
      </w:tr>
      <w:tr w:rsidR="00D572D3" w:rsidRPr="00264CFC" w14:paraId="3AF9A4C8" w14:textId="77777777" w:rsidTr="00377FA5">
        <w:trPr>
          <w:cantSplit/>
        </w:trPr>
        <w:tc>
          <w:tcPr>
            <w:tcW w:w="4147" w:type="pct"/>
            <w:gridSpan w:val="4"/>
            <w:shd w:val="clear" w:color="auto" w:fill="auto"/>
            <w:vAlign w:val="center"/>
          </w:tcPr>
          <w:p w14:paraId="2E6909FE" w14:textId="4AEBF8F7" w:rsidR="00D572D3" w:rsidRPr="009E7902" w:rsidRDefault="00D572D3" w:rsidP="00CF74AD">
            <w:pPr>
              <w:jc w:val="center"/>
              <w:rPr>
                <w:bCs/>
                <w:szCs w:val="22"/>
              </w:rPr>
            </w:pPr>
            <w:r w:rsidRPr="00D572D3">
              <w:rPr>
                <w:bCs/>
                <w:szCs w:val="22"/>
              </w:rPr>
              <w:t>Lesion or condition, if considered to be a significant risk for major bleeding. This may include current or recent gastrointestinal ulceration, presence of malignant neoplasms at high risk of bleeding, recent brain or spinal injury, recent brain, spinal or ophthalmic surgery, recent intracranial haemorrhage, known or suspected oesophageal varices, arteriovenous malformations, vascular aneurysms or major intraspinal or intracerebral vascular abnormalities</w:t>
            </w:r>
          </w:p>
        </w:tc>
        <w:tc>
          <w:tcPr>
            <w:tcW w:w="853" w:type="pct"/>
            <w:shd w:val="clear" w:color="auto" w:fill="auto"/>
            <w:vAlign w:val="center"/>
          </w:tcPr>
          <w:p w14:paraId="0EB11830" w14:textId="0F84F937" w:rsidR="00D572D3" w:rsidRPr="00DC7D12" w:rsidRDefault="00852FF0" w:rsidP="00DC7D12">
            <w:pPr>
              <w:jc w:val="center"/>
              <w:rPr>
                <w:color w:val="000000"/>
                <w:szCs w:val="22"/>
              </w:rPr>
            </w:pPr>
            <w:r w:rsidRPr="003F4BF0">
              <w:rPr>
                <w:color w:val="000000"/>
                <w:szCs w:val="22"/>
              </w:rPr>
              <w:t>Within 72 hours of major surgery with risk of severe bleeding</w:t>
            </w:r>
            <w:r w:rsidR="00377FA5">
              <w:rPr>
                <w:color w:val="000000"/>
                <w:szCs w:val="22"/>
              </w:rPr>
              <w:t>,</w:t>
            </w:r>
            <w:r w:rsidR="00377FA5" w:rsidRPr="003F4BF0">
              <w:rPr>
                <w:color w:val="000000"/>
                <w:szCs w:val="22"/>
              </w:rPr>
              <w:t xml:space="preserve"> Haemorrhagic stroke</w:t>
            </w:r>
          </w:p>
        </w:tc>
      </w:tr>
      <w:tr w:rsidR="00D572D3" w:rsidRPr="00264CFC" w14:paraId="580F2577" w14:textId="77777777" w:rsidTr="00CF74AD">
        <w:trPr>
          <w:cantSplit/>
        </w:trPr>
        <w:tc>
          <w:tcPr>
            <w:tcW w:w="4147" w:type="pct"/>
            <w:gridSpan w:val="4"/>
            <w:shd w:val="clear" w:color="auto" w:fill="auto"/>
            <w:vAlign w:val="center"/>
          </w:tcPr>
          <w:p w14:paraId="525C6801" w14:textId="0AD381CB" w:rsidR="00D572D3" w:rsidRPr="00D5293F" w:rsidRDefault="005D5ED8" w:rsidP="00CF74AD">
            <w:pPr>
              <w:jc w:val="center"/>
              <w:rPr>
                <w:szCs w:val="22"/>
              </w:rPr>
            </w:pPr>
            <w:r w:rsidRPr="00382637">
              <w:rPr>
                <w:szCs w:val="22"/>
              </w:rPr>
              <w:t>Concomitant treatment with any other anticoagulants e.g. UFH, LMWH (enoxaparin, dalteparin, etc.), heparin derivatives (fondaparinux, etc.), oral anticoagulants (warfarin, dabigatran etexilate, rivaroxaban, apixaban etc.) except under specific circumstances of switching oral anticoagulant therapy or when UFH is given at doses necessary to maintain an open central venous or arterial catheter</w:t>
            </w:r>
          </w:p>
        </w:tc>
        <w:tc>
          <w:tcPr>
            <w:tcW w:w="853" w:type="pct"/>
            <w:shd w:val="clear" w:color="auto" w:fill="F2F2F2" w:themeFill="background1" w:themeFillShade="F2"/>
            <w:vAlign w:val="center"/>
          </w:tcPr>
          <w:p w14:paraId="3E0EC7AE" w14:textId="77777777" w:rsidR="00D572D3" w:rsidRPr="00264CFC" w:rsidRDefault="00D572D3" w:rsidP="00CF74AD">
            <w:pPr>
              <w:jc w:val="center"/>
              <w:rPr>
                <w:b/>
                <w:szCs w:val="22"/>
              </w:rPr>
            </w:pPr>
          </w:p>
        </w:tc>
      </w:tr>
      <w:tr w:rsidR="00D572D3" w:rsidRPr="00264CFC" w14:paraId="13511463" w14:textId="77777777" w:rsidTr="00CF74AD">
        <w:trPr>
          <w:cantSplit/>
        </w:trPr>
        <w:tc>
          <w:tcPr>
            <w:tcW w:w="4147" w:type="pct"/>
            <w:gridSpan w:val="4"/>
            <w:shd w:val="clear" w:color="auto" w:fill="auto"/>
            <w:vAlign w:val="center"/>
          </w:tcPr>
          <w:p w14:paraId="78FB3284" w14:textId="5FA555C5" w:rsidR="00D572D3" w:rsidRPr="00EB561B" w:rsidRDefault="00D572D3" w:rsidP="00CF74AD">
            <w:pPr>
              <w:jc w:val="center"/>
              <w:rPr>
                <w:szCs w:val="22"/>
              </w:rPr>
            </w:pPr>
            <w:r w:rsidRPr="00EB561B">
              <w:rPr>
                <w:szCs w:val="22"/>
              </w:rPr>
              <w:t>Liver disease associated with coagulopathy and clinically relevant bleeding risk</w:t>
            </w:r>
          </w:p>
        </w:tc>
        <w:tc>
          <w:tcPr>
            <w:tcW w:w="853" w:type="pct"/>
            <w:shd w:val="clear" w:color="auto" w:fill="F2F2F2" w:themeFill="background1" w:themeFillShade="F2"/>
            <w:vAlign w:val="center"/>
          </w:tcPr>
          <w:p w14:paraId="57CDF587" w14:textId="77777777" w:rsidR="00D572D3" w:rsidRPr="00264CFC" w:rsidRDefault="00D572D3" w:rsidP="00CF74AD">
            <w:pPr>
              <w:jc w:val="center"/>
              <w:rPr>
                <w:b/>
                <w:szCs w:val="22"/>
              </w:rPr>
            </w:pPr>
          </w:p>
        </w:tc>
      </w:tr>
      <w:tr w:rsidR="006B608D" w:rsidRPr="00264CFC" w14:paraId="3875D968" w14:textId="77777777" w:rsidTr="00E356F9">
        <w:trPr>
          <w:cantSplit/>
        </w:trPr>
        <w:tc>
          <w:tcPr>
            <w:tcW w:w="1279" w:type="pct"/>
            <w:shd w:val="clear" w:color="auto" w:fill="auto"/>
            <w:vAlign w:val="center"/>
          </w:tcPr>
          <w:p w14:paraId="323342E7" w14:textId="2D4EFC29" w:rsidR="006B608D" w:rsidRPr="00EB561B" w:rsidRDefault="00E356F9" w:rsidP="00CF74AD">
            <w:pPr>
              <w:jc w:val="center"/>
              <w:rPr>
                <w:b/>
                <w:szCs w:val="22"/>
              </w:rPr>
            </w:pPr>
            <w:r w:rsidRPr="0063606E">
              <w:rPr>
                <w:bCs/>
                <w:szCs w:val="22"/>
              </w:rPr>
              <w:t>Hepatic impairment or liver disease expected to have any impact on survival</w:t>
            </w:r>
          </w:p>
        </w:tc>
        <w:tc>
          <w:tcPr>
            <w:tcW w:w="2867" w:type="pct"/>
            <w:gridSpan w:val="3"/>
            <w:shd w:val="clear" w:color="auto" w:fill="auto"/>
            <w:vAlign w:val="center"/>
          </w:tcPr>
          <w:p w14:paraId="739A6338" w14:textId="46E53D5E" w:rsidR="006B608D" w:rsidRPr="00EB561B" w:rsidRDefault="006B608D" w:rsidP="00CF74AD">
            <w:pPr>
              <w:jc w:val="center"/>
              <w:rPr>
                <w:b/>
                <w:szCs w:val="22"/>
              </w:rPr>
            </w:pPr>
            <w:r w:rsidRPr="009E7902">
              <w:rPr>
                <w:bCs/>
                <w:szCs w:val="22"/>
              </w:rPr>
              <w:t>Hepatic disease associated with coagulopathy and clinically relevant bleeding risk</w:t>
            </w:r>
          </w:p>
        </w:tc>
        <w:tc>
          <w:tcPr>
            <w:tcW w:w="853" w:type="pct"/>
            <w:shd w:val="clear" w:color="auto" w:fill="F2F2F2" w:themeFill="background1" w:themeFillShade="F2"/>
            <w:vAlign w:val="center"/>
          </w:tcPr>
          <w:p w14:paraId="04DD4A3E" w14:textId="77777777" w:rsidR="006B608D" w:rsidRPr="00264CFC" w:rsidRDefault="006B608D" w:rsidP="00CF74AD">
            <w:pPr>
              <w:jc w:val="center"/>
              <w:rPr>
                <w:b/>
                <w:szCs w:val="22"/>
              </w:rPr>
            </w:pPr>
          </w:p>
        </w:tc>
      </w:tr>
      <w:tr w:rsidR="00F94D75" w:rsidRPr="00264CFC" w14:paraId="329A757B" w14:textId="77777777" w:rsidTr="00377FA5">
        <w:trPr>
          <w:cantSplit/>
        </w:trPr>
        <w:tc>
          <w:tcPr>
            <w:tcW w:w="1279" w:type="pct"/>
            <w:shd w:val="clear" w:color="auto" w:fill="F2F2F2" w:themeFill="background1" w:themeFillShade="F2"/>
            <w:vAlign w:val="center"/>
          </w:tcPr>
          <w:p w14:paraId="48A52A7B" w14:textId="77777777" w:rsidR="00F94D75" w:rsidRPr="00EB561B" w:rsidRDefault="00F94D75" w:rsidP="00CF74AD">
            <w:pPr>
              <w:jc w:val="center"/>
              <w:rPr>
                <w:b/>
                <w:szCs w:val="22"/>
              </w:rPr>
            </w:pPr>
          </w:p>
        </w:tc>
        <w:tc>
          <w:tcPr>
            <w:tcW w:w="972" w:type="pct"/>
            <w:shd w:val="clear" w:color="auto" w:fill="auto"/>
            <w:vAlign w:val="center"/>
          </w:tcPr>
          <w:p w14:paraId="035B9A09" w14:textId="38FD7F9E" w:rsidR="00F94D75" w:rsidRPr="00A52E80" w:rsidRDefault="00A52E80" w:rsidP="00CF74AD">
            <w:pPr>
              <w:jc w:val="center"/>
              <w:rPr>
                <w:bCs/>
                <w:szCs w:val="22"/>
              </w:rPr>
            </w:pPr>
            <w:r w:rsidRPr="00A52E80">
              <w:rPr>
                <w:bCs/>
                <w:szCs w:val="22"/>
              </w:rPr>
              <w:t>Pregnancy and breast-feeding</w:t>
            </w:r>
          </w:p>
        </w:tc>
        <w:tc>
          <w:tcPr>
            <w:tcW w:w="874" w:type="pct"/>
            <w:shd w:val="clear" w:color="auto" w:fill="F2F2F2" w:themeFill="background1" w:themeFillShade="F2"/>
            <w:vAlign w:val="center"/>
          </w:tcPr>
          <w:p w14:paraId="6C310D94" w14:textId="77777777" w:rsidR="00F94D75" w:rsidRPr="00A52E80" w:rsidRDefault="00F94D75" w:rsidP="00CF74AD">
            <w:pPr>
              <w:jc w:val="center"/>
              <w:rPr>
                <w:bCs/>
                <w:szCs w:val="22"/>
              </w:rPr>
            </w:pPr>
          </w:p>
        </w:tc>
        <w:tc>
          <w:tcPr>
            <w:tcW w:w="1021" w:type="pct"/>
            <w:shd w:val="clear" w:color="auto" w:fill="auto"/>
            <w:vAlign w:val="center"/>
          </w:tcPr>
          <w:p w14:paraId="30E2DD74" w14:textId="01AA01C1" w:rsidR="00F94D75" w:rsidRPr="00A52E80" w:rsidRDefault="00A52E80" w:rsidP="00CF74AD">
            <w:pPr>
              <w:jc w:val="center"/>
              <w:rPr>
                <w:bCs/>
                <w:szCs w:val="22"/>
              </w:rPr>
            </w:pPr>
            <w:r w:rsidRPr="00A52E80">
              <w:rPr>
                <w:bCs/>
                <w:szCs w:val="22"/>
              </w:rPr>
              <w:t>Pregnancy and breast-feeding</w:t>
            </w:r>
          </w:p>
        </w:tc>
        <w:tc>
          <w:tcPr>
            <w:tcW w:w="853" w:type="pct"/>
            <w:shd w:val="clear" w:color="auto" w:fill="auto"/>
            <w:vAlign w:val="center"/>
          </w:tcPr>
          <w:p w14:paraId="0A567A32" w14:textId="3749C089" w:rsidR="00F94D75" w:rsidRPr="00A52E80" w:rsidRDefault="00852FF0" w:rsidP="00CF74AD">
            <w:pPr>
              <w:jc w:val="center"/>
              <w:rPr>
                <w:color w:val="000000"/>
                <w:szCs w:val="22"/>
              </w:rPr>
            </w:pPr>
            <w:r w:rsidRPr="003F4BF0">
              <w:rPr>
                <w:color w:val="000000"/>
                <w:szCs w:val="22"/>
              </w:rPr>
              <w:t>Within 48 hours postpartum</w:t>
            </w:r>
            <w:r>
              <w:rPr>
                <w:color w:val="000000"/>
                <w:szCs w:val="22"/>
              </w:rPr>
              <w:t>,</w:t>
            </w:r>
            <w:r w:rsidRPr="003F4BF0">
              <w:rPr>
                <w:color w:val="000000"/>
                <w:szCs w:val="22"/>
              </w:rPr>
              <w:t xml:space="preserve"> </w:t>
            </w:r>
            <w:r w:rsidR="00A52E80" w:rsidRPr="003F4BF0">
              <w:rPr>
                <w:color w:val="000000"/>
                <w:szCs w:val="22"/>
              </w:rPr>
              <w:t>Pregnancy (first and third trimesters</w:t>
            </w:r>
            <w:r w:rsidR="00A52E80">
              <w:rPr>
                <w:color w:val="000000"/>
                <w:szCs w:val="22"/>
              </w:rPr>
              <w:t>)</w:t>
            </w:r>
          </w:p>
        </w:tc>
      </w:tr>
      <w:tr w:rsidR="00F94D75" w:rsidRPr="00264CFC" w14:paraId="6FCE7D16" w14:textId="77777777" w:rsidTr="00377FA5">
        <w:trPr>
          <w:cantSplit/>
        </w:trPr>
        <w:tc>
          <w:tcPr>
            <w:tcW w:w="1279" w:type="pct"/>
            <w:shd w:val="clear" w:color="auto" w:fill="F2F2F2" w:themeFill="background1" w:themeFillShade="F2"/>
            <w:vAlign w:val="center"/>
          </w:tcPr>
          <w:p w14:paraId="5DC14611" w14:textId="77777777" w:rsidR="00F94D75" w:rsidRPr="00EB561B" w:rsidRDefault="00F94D75" w:rsidP="00CF74AD">
            <w:pPr>
              <w:jc w:val="center"/>
              <w:rPr>
                <w:b/>
                <w:szCs w:val="22"/>
              </w:rPr>
            </w:pPr>
          </w:p>
        </w:tc>
        <w:tc>
          <w:tcPr>
            <w:tcW w:w="972" w:type="pct"/>
            <w:shd w:val="clear" w:color="auto" w:fill="F2F2F2" w:themeFill="background1" w:themeFillShade="F2"/>
            <w:vAlign w:val="center"/>
          </w:tcPr>
          <w:p w14:paraId="5AA9EB64" w14:textId="77777777" w:rsidR="00F94D75" w:rsidRPr="00EB561B" w:rsidRDefault="00F94D75" w:rsidP="00CF74AD">
            <w:pPr>
              <w:jc w:val="center"/>
              <w:rPr>
                <w:b/>
                <w:szCs w:val="22"/>
              </w:rPr>
            </w:pPr>
          </w:p>
        </w:tc>
        <w:tc>
          <w:tcPr>
            <w:tcW w:w="874" w:type="pct"/>
            <w:shd w:val="clear" w:color="auto" w:fill="F2F2F2" w:themeFill="background1" w:themeFillShade="F2"/>
            <w:vAlign w:val="center"/>
          </w:tcPr>
          <w:p w14:paraId="43B846C7" w14:textId="77777777" w:rsidR="00F94D75" w:rsidRPr="00EB561B" w:rsidRDefault="00F94D75" w:rsidP="00CF74AD">
            <w:pPr>
              <w:jc w:val="center"/>
              <w:rPr>
                <w:b/>
                <w:szCs w:val="22"/>
              </w:rPr>
            </w:pPr>
          </w:p>
        </w:tc>
        <w:tc>
          <w:tcPr>
            <w:tcW w:w="1021" w:type="pct"/>
            <w:shd w:val="clear" w:color="auto" w:fill="auto"/>
            <w:vAlign w:val="center"/>
          </w:tcPr>
          <w:p w14:paraId="0F8005E8" w14:textId="5046D50D" w:rsidR="00F94D75" w:rsidRPr="00F15063" w:rsidRDefault="00F15063" w:rsidP="00CF74AD">
            <w:pPr>
              <w:jc w:val="center"/>
              <w:rPr>
                <w:bCs/>
                <w:szCs w:val="22"/>
              </w:rPr>
            </w:pPr>
            <w:r w:rsidRPr="00F15063">
              <w:rPr>
                <w:bCs/>
                <w:szCs w:val="22"/>
              </w:rPr>
              <w:t>Uncontrolled severe hypertension</w:t>
            </w:r>
          </w:p>
        </w:tc>
        <w:tc>
          <w:tcPr>
            <w:tcW w:w="853" w:type="pct"/>
            <w:shd w:val="clear" w:color="auto" w:fill="F2F2F2" w:themeFill="background1" w:themeFillShade="F2"/>
            <w:vAlign w:val="center"/>
          </w:tcPr>
          <w:p w14:paraId="3D6F3EF1" w14:textId="77777777" w:rsidR="00F94D75" w:rsidRPr="00264CFC" w:rsidRDefault="00F94D75" w:rsidP="00CF74AD">
            <w:pPr>
              <w:jc w:val="center"/>
              <w:rPr>
                <w:b/>
                <w:szCs w:val="22"/>
              </w:rPr>
            </w:pPr>
          </w:p>
        </w:tc>
      </w:tr>
      <w:tr w:rsidR="00F15063" w:rsidRPr="00264CFC" w14:paraId="1DC20C5A" w14:textId="77777777" w:rsidTr="00377FA5">
        <w:trPr>
          <w:cantSplit/>
        </w:trPr>
        <w:tc>
          <w:tcPr>
            <w:tcW w:w="1279" w:type="pct"/>
            <w:shd w:val="clear" w:color="auto" w:fill="auto"/>
            <w:vAlign w:val="center"/>
          </w:tcPr>
          <w:p w14:paraId="144CF77E" w14:textId="6004A1C1" w:rsidR="00F15063" w:rsidRPr="00EB561B" w:rsidRDefault="005775CA" w:rsidP="00CF74AD">
            <w:pPr>
              <w:jc w:val="center"/>
              <w:rPr>
                <w:b/>
                <w:szCs w:val="22"/>
              </w:rPr>
            </w:pPr>
            <w:r w:rsidRPr="005775CA">
              <w:rPr>
                <w:bCs/>
                <w:szCs w:val="22"/>
              </w:rPr>
              <w:t>Severe renal impairment (CrC</w:t>
            </w:r>
            <w:r w:rsidR="00E356F9">
              <w:rPr>
                <w:bCs/>
                <w:szCs w:val="22"/>
              </w:rPr>
              <w:t>l</w:t>
            </w:r>
            <w:r w:rsidRPr="005775CA">
              <w:rPr>
                <w:bCs/>
                <w:szCs w:val="22"/>
              </w:rPr>
              <w:t xml:space="preserve"> &lt;30 mL/min) in adult patients</w:t>
            </w:r>
          </w:p>
        </w:tc>
        <w:tc>
          <w:tcPr>
            <w:tcW w:w="972" w:type="pct"/>
            <w:shd w:val="clear" w:color="auto" w:fill="F2F2F2" w:themeFill="background1" w:themeFillShade="F2"/>
            <w:vAlign w:val="center"/>
          </w:tcPr>
          <w:p w14:paraId="67BF4695" w14:textId="77777777" w:rsidR="00F15063" w:rsidRPr="00EB561B" w:rsidRDefault="00F15063" w:rsidP="00CF74AD">
            <w:pPr>
              <w:jc w:val="center"/>
              <w:rPr>
                <w:b/>
                <w:szCs w:val="22"/>
              </w:rPr>
            </w:pPr>
          </w:p>
        </w:tc>
        <w:tc>
          <w:tcPr>
            <w:tcW w:w="874" w:type="pct"/>
            <w:shd w:val="clear" w:color="auto" w:fill="F2F2F2" w:themeFill="background1" w:themeFillShade="F2"/>
            <w:vAlign w:val="center"/>
          </w:tcPr>
          <w:p w14:paraId="3003A99B" w14:textId="77777777" w:rsidR="00F15063" w:rsidRPr="00EB561B" w:rsidRDefault="00F15063" w:rsidP="00CF74AD">
            <w:pPr>
              <w:jc w:val="center"/>
              <w:rPr>
                <w:b/>
                <w:szCs w:val="22"/>
              </w:rPr>
            </w:pPr>
          </w:p>
        </w:tc>
        <w:tc>
          <w:tcPr>
            <w:tcW w:w="1021" w:type="pct"/>
            <w:shd w:val="clear" w:color="auto" w:fill="F2F2F2" w:themeFill="background1" w:themeFillShade="F2"/>
            <w:vAlign w:val="center"/>
          </w:tcPr>
          <w:p w14:paraId="178E733B" w14:textId="77777777" w:rsidR="00F15063" w:rsidRPr="00F15063" w:rsidRDefault="00F15063" w:rsidP="00CF74AD">
            <w:pPr>
              <w:jc w:val="center"/>
              <w:rPr>
                <w:bCs/>
                <w:szCs w:val="22"/>
              </w:rPr>
            </w:pPr>
          </w:p>
        </w:tc>
        <w:tc>
          <w:tcPr>
            <w:tcW w:w="853" w:type="pct"/>
            <w:shd w:val="clear" w:color="auto" w:fill="F2F2F2" w:themeFill="background1" w:themeFillShade="F2"/>
            <w:vAlign w:val="center"/>
          </w:tcPr>
          <w:p w14:paraId="4EE762B1" w14:textId="77777777" w:rsidR="00F15063" w:rsidRPr="00264CFC" w:rsidRDefault="00F15063" w:rsidP="00CF74AD">
            <w:pPr>
              <w:jc w:val="center"/>
              <w:rPr>
                <w:b/>
                <w:szCs w:val="22"/>
              </w:rPr>
            </w:pPr>
          </w:p>
        </w:tc>
      </w:tr>
      <w:tr w:rsidR="00F15063" w:rsidRPr="00264CFC" w14:paraId="3C5B19DE" w14:textId="77777777" w:rsidTr="00377FA5">
        <w:trPr>
          <w:cantSplit/>
        </w:trPr>
        <w:tc>
          <w:tcPr>
            <w:tcW w:w="1279" w:type="pct"/>
            <w:shd w:val="clear" w:color="auto" w:fill="auto"/>
            <w:vAlign w:val="center"/>
          </w:tcPr>
          <w:p w14:paraId="286DDB1D" w14:textId="6BA3D724" w:rsidR="00F15063" w:rsidRPr="00EB561B" w:rsidRDefault="00504C42" w:rsidP="00CF74AD">
            <w:pPr>
              <w:jc w:val="center"/>
              <w:rPr>
                <w:b/>
                <w:szCs w:val="22"/>
              </w:rPr>
            </w:pPr>
            <w:r w:rsidRPr="005775CA">
              <w:rPr>
                <w:bCs/>
                <w:szCs w:val="22"/>
              </w:rPr>
              <w:t>eGFR &lt;50 mL/min/1.73m</w:t>
            </w:r>
            <w:r w:rsidRPr="00D5293F">
              <w:rPr>
                <w:bCs/>
                <w:szCs w:val="22"/>
                <w:vertAlign w:val="superscript"/>
              </w:rPr>
              <w:t>2</w:t>
            </w:r>
            <w:r w:rsidRPr="005775CA">
              <w:rPr>
                <w:bCs/>
                <w:szCs w:val="22"/>
              </w:rPr>
              <w:t xml:space="preserve"> in paediatric patients</w:t>
            </w:r>
          </w:p>
        </w:tc>
        <w:tc>
          <w:tcPr>
            <w:tcW w:w="972" w:type="pct"/>
            <w:shd w:val="clear" w:color="auto" w:fill="F2F2F2" w:themeFill="background1" w:themeFillShade="F2"/>
            <w:vAlign w:val="center"/>
          </w:tcPr>
          <w:p w14:paraId="197BA654" w14:textId="77777777" w:rsidR="00F15063" w:rsidRPr="00EB561B" w:rsidRDefault="00F15063" w:rsidP="00CF74AD">
            <w:pPr>
              <w:jc w:val="center"/>
              <w:rPr>
                <w:b/>
                <w:szCs w:val="22"/>
              </w:rPr>
            </w:pPr>
          </w:p>
        </w:tc>
        <w:tc>
          <w:tcPr>
            <w:tcW w:w="874" w:type="pct"/>
            <w:shd w:val="clear" w:color="auto" w:fill="F2F2F2" w:themeFill="background1" w:themeFillShade="F2"/>
            <w:vAlign w:val="center"/>
          </w:tcPr>
          <w:p w14:paraId="37A8A03C" w14:textId="77777777" w:rsidR="00F15063" w:rsidRPr="00EB561B" w:rsidRDefault="00F15063" w:rsidP="00CF74AD">
            <w:pPr>
              <w:jc w:val="center"/>
              <w:rPr>
                <w:b/>
                <w:szCs w:val="22"/>
              </w:rPr>
            </w:pPr>
          </w:p>
        </w:tc>
        <w:tc>
          <w:tcPr>
            <w:tcW w:w="1021" w:type="pct"/>
            <w:shd w:val="clear" w:color="auto" w:fill="F2F2F2" w:themeFill="background1" w:themeFillShade="F2"/>
            <w:vAlign w:val="center"/>
          </w:tcPr>
          <w:p w14:paraId="5B17EEB8" w14:textId="77777777" w:rsidR="00F15063" w:rsidRPr="00F15063" w:rsidRDefault="00F15063" w:rsidP="00CF74AD">
            <w:pPr>
              <w:jc w:val="center"/>
              <w:rPr>
                <w:bCs/>
                <w:szCs w:val="22"/>
              </w:rPr>
            </w:pPr>
          </w:p>
        </w:tc>
        <w:tc>
          <w:tcPr>
            <w:tcW w:w="853" w:type="pct"/>
            <w:shd w:val="clear" w:color="auto" w:fill="F2F2F2" w:themeFill="background1" w:themeFillShade="F2"/>
            <w:vAlign w:val="center"/>
          </w:tcPr>
          <w:p w14:paraId="402DE947" w14:textId="77777777" w:rsidR="00F15063" w:rsidRPr="00264CFC" w:rsidRDefault="00F15063" w:rsidP="00CF74AD">
            <w:pPr>
              <w:jc w:val="center"/>
              <w:rPr>
                <w:b/>
                <w:szCs w:val="22"/>
              </w:rPr>
            </w:pPr>
          </w:p>
        </w:tc>
      </w:tr>
      <w:tr w:rsidR="008A5A25" w:rsidRPr="00264CFC" w14:paraId="6BBB535A" w14:textId="77777777" w:rsidTr="00377FA5">
        <w:trPr>
          <w:cantSplit/>
        </w:trPr>
        <w:tc>
          <w:tcPr>
            <w:tcW w:w="1279" w:type="pct"/>
            <w:shd w:val="clear" w:color="auto" w:fill="auto"/>
            <w:vAlign w:val="center"/>
          </w:tcPr>
          <w:p w14:paraId="75F2CC44" w14:textId="08BBD18B" w:rsidR="008A5A25" w:rsidRPr="00086304" w:rsidRDefault="00F26CA2" w:rsidP="00CF74AD">
            <w:pPr>
              <w:jc w:val="center"/>
              <w:rPr>
                <w:bCs/>
                <w:szCs w:val="22"/>
              </w:rPr>
            </w:pPr>
            <w:r w:rsidRPr="00F26CA2">
              <w:rPr>
                <w:bCs/>
                <w:szCs w:val="22"/>
              </w:rPr>
              <w:t>Prosthetic heart valves requiring anticoagulant treatment</w:t>
            </w:r>
          </w:p>
        </w:tc>
        <w:tc>
          <w:tcPr>
            <w:tcW w:w="972" w:type="pct"/>
            <w:shd w:val="clear" w:color="auto" w:fill="F2F2F2" w:themeFill="background1" w:themeFillShade="F2"/>
            <w:vAlign w:val="center"/>
          </w:tcPr>
          <w:p w14:paraId="7E934F99" w14:textId="77777777" w:rsidR="008A5A25" w:rsidRPr="00EB561B" w:rsidRDefault="008A5A25" w:rsidP="00CF74AD">
            <w:pPr>
              <w:jc w:val="center"/>
              <w:rPr>
                <w:b/>
                <w:szCs w:val="22"/>
              </w:rPr>
            </w:pPr>
          </w:p>
        </w:tc>
        <w:tc>
          <w:tcPr>
            <w:tcW w:w="874" w:type="pct"/>
            <w:shd w:val="clear" w:color="auto" w:fill="F2F2F2" w:themeFill="background1" w:themeFillShade="F2"/>
            <w:vAlign w:val="center"/>
          </w:tcPr>
          <w:p w14:paraId="7461AD5F" w14:textId="77777777" w:rsidR="008A5A25" w:rsidRPr="00EB561B" w:rsidRDefault="008A5A25" w:rsidP="00CF74AD">
            <w:pPr>
              <w:jc w:val="center"/>
              <w:rPr>
                <w:b/>
                <w:szCs w:val="22"/>
              </w:rPr>
            </w:pPr>
          </w:p>
        </w:tc>
        <w:tc>
          <w:tcPr>
            <w:tcW w:w="1021" w:type="pct"/>
            <w:shd w:val="clear" w:color="auto" w:fill="F2F2F2" w:themeFill="background1" w:themeFillShade="F2"/>
            <w:vAlign w:val="center"/>
          </w:tcPr>
          <w:p w14:paraId="6244FB0A" w14:textId="77777777" w:rsidR="008A5A25" w:rsidRPr="00F15063" w:rsidRDefault="008A5A25" w:rsidP="00CF74AD">
            <w:pPr>
              <w:jc w:val="center"/>
              <w:rPr>
                <w:bCs/>
                <w:szCs w:val="22"/>
              </w:rPr>
            </w:pPr>
          </w:p>
        </w:tc>
        <w:tc>
          <w:tcPr>
            <w:tcW w:w="853" w:type="pct"/>
            <w:shd w:val="clear" w:color="auto" w:fill="F2F2F2" w:themeFill="background1" w:themeFillShade="F2"/>
            <w:vAlign w:val="center"/>
          </w:tcPr>
          <w:p w14:paraId="0B5F8D45" w14:textId="77777777" w:rsidR="008A5A25" w:rsidRPr="00264CFC" w:rsidRDefault="008A5A25" w:rsidP="00CF74AD">
            <w:pPr>
              <w:jc w:val="center"/>
              <w:rPr>
                <w:b/>
                <w:szCs w:val="22"/>
              </w:rPr>
            </w:pPr>
          </w:p>
        </w:tc>
      </w:tr>
      <w:tr w:rsidR="008A5A25" w:rsidRPr="00264CFC" w14:paraId="3EFAF81C" w14:textId="77777777" w:rsidTr="00377FA5">
        <w:trPr>
          <w:cantSplit/>
        </w:trPr>
        <w:tc>
          <w:tcPr>
            <w:tcW w:w="1279" w:type="pct"/>
            <w:shd w:val="clear" w:color="auto" w:fill="auto"/>
            <w:vAlign w:val="center"/>
          </w:tcPr>
          <w:p w14:paraId="2BEFC8C8" w14:textId="4CE5C935" w:rsidR="008A5A25" w:rsidRPr="00086304" w:rsidRDefault="00072015" w:rsidP="00CF74AD">
            <w:pPr>
              <w:jc w:val="center"/>
              <w:rPr>
                <w:bCs/>
                <w:szCs w:val="22"/>
              </w:rPr>
            </w:pPr>
            <w:r w:rsidRPr="00072015">
              <w:rPr>
                <w:bCs/>
                <w:szCs w:val="22"/>
              </w:rPr>
              <w:lastRenderedPageBreak/>
              <w:t>Concomitant treatment with the following strong P-gp inhibitors: systemic ketoconazole, cyclosporine, itraconazole, dronedarone and the fixed-dose combination glecaprevir/pibrentasvir</w:t>
            </w:r>
          </w:p>
        </w:tc>
        <w:tc>
          <w:tcPr>
            <w:tcW w:w="972" w:type="pct"/>
            <w:shd w:val="clear" w:color="auto" w:fill="F2F2F2" w:themeFill="background1" w:themeFillShade="F2"/>
            <w:vAlign w:val="center"/>
          </w:tcPr>
          <w:p w14:paraId="28F6667E" w14:textId="77777777" w:rsidR="008A5A25" w:rsidRPr="00EB561B" w:rsidRDefault="008A5A25" w:rsidP="00CF74AD">
            <w:pPr>
              <w:jc w:val="center"/>
              <w:rPr>
                <w:b/>
                <w:szCs w:val="22"/>
              </w:rPr>
            </w:pPr>
          </w:p>
        </w:tc>
        <w:tc>
          <w:tcPr>
            <w:tcW w:w="874" w:type="pct"/>
            <w:shd w:val="clear" w:color="auto" w:fill="F2F2F2" w:themeFill="background1" w:themeFillShade="F2"/>
            <w:vAlign w:val="center"/>
          </w:tcPr>
          <w:p w14:paraId="0FC6C558" w14:textId="77777777" w:rsidR="008A5A25" w:rsidRPr="00EB561B" w:rsidRDefault="008A5A25" w:rsidP="00CF74AD">
            <w:pPr>
              <w:jc w:val="center"/>
              <w:rPr>
                <w:b/>
                <w:szCs w:val="22"/>
              </w:rPr>
            </w:pPr>
          </w:p>
        </w:tc>
        <w:tc>
          <w:tcPr>
            <w:tcW w:w="1021" w:type="pct"/>
            <w:shd w:val="clear" w:color="auto" w:fill="F2F2F2" w:themeFill="background1" w:themeFillShade="F2"/>
            <w:vAlign w:val="center"/>
          </w:tcPr>
          <w:p w14:paraId="578D8514" w14:textId="77777777" w:rsidR="008A5A25" w:rsidRPr="00F15063" w:rsidRDefault="008A5A25" w:rsidP="00CF74AD">
            <w:pPr>
              <w:jc w:val="center"/>
              <w:rPr>
                <w:bCs/>
                <w:szCs w:val="22"/>
              </w:rPr>
            </w:pPr>
          </w:p>
        </w:tc>
        <w:tc>
          <w:tcPr>
            <w:tcW w:w="853" w:type="pct"/>
            <w:shd w:val="clear" w:color="auto" w:fill="auto"/>
            <w:vAlign w:val="center"/>
          </w:tcPr>
          <w:p w14:paraId="6B372E60" w14:textId="37EE4387" w:rsidR="008A5A25" w:rsidRPr="00264CFC" w:rsidRDefault="00377FA5" w:rsidP="00CF74AD">
            <w:pPr>
              <w:jc w:val="center"/>
              <w:rPr>
                <w:b/>
                <w:szCs w:val="22"/>
              </w:rPr>
            </w:pPr>
            <w:r w:rsidRPr="003F4BF0">
              <w:rPr>
                <w:color w:val="000000"/>
                <w:szCs w:val="22"/>
              </w:rPr>
              <w:t>Drugs where interactions may lead to a significantly increased risk of bleeding</w:t>
            </w:r>
          </w:p>
        </w:tc>
      </w:tr>
    </w:tbl>
    <w:p w14:paraId="77363236" w14:textId="77777777" w:rsidR="00E03A48" w:rsidRPr="00EB561B" w:rsidRDefault="00E03A48">
      <w:pPr>
        <w:rPr>
          <w:rFonts w:asciiTheme="majorHAnsi" w:hAnsiTheme="majorHAnsi" w:cstheme="majorHAnsi"/>
          <w:szCs w:val="22"/>
        </w:rPr>
      </w:pPr>
    </w:p>
    <w:tbl>
      <w:tblPr>
        <w:tblStyle w:val="TableGrid"/>
        <w:tblW w:w="0" w:type="auto"/>
        <w:tblLook w:val="04A0" w:firstRow="1" w:lastRow="0" w:firstColumn="1" w:lastColumn="0" w:noHBand="0" w:noVBand="1"/>
      </w:tblPr>
      <w:tblGrid>
        <w:gridCol w:w="1663"/>
        <w:gridCol w:w="1894"/>
        <w:gridCol w:w="1894"/>
        <w:gridCol w:w="1894"/>
        <w:gridCol w:w="2390"/>
      </w:tblGrid>
      <w:tr w:rsidR="00FE5B68" w:rsidRPr="00EB561B" w14:paraId="603BCB04" w14:textId="390C734A" w:rsidTr="0005253C">
        <w:trPr>
          <w:cantSplit/>
        </w:trPr>
        <w:tc>
          <w:tcPr>
            <w:tcW w:w="0" w:type="auto"/>
            <w:gridSpan w:val="5"/>
            <w:shd w:val="clear" w:color="auto" w:fill="F2F2F2" w:themeFill="background1" w:themeFillShade="F2"/>
            <w:vAlign w:val="center"/>
          </w:tcPr>
          <w:p w14:paraId="2DAFB8FF" w14:textId="50527480" w:rsidR="00FE5B68" w:rsidRPr="00367CC8" w:rsidRDefault="001531DC" w:rsidP="00D5293F">
            <w:pPr>
              <w:pStyle w:val="Heading2"/>
            </w:pPr>
            <w:bookmarkStart w:id="112" w:name="_Toc365717739"/>
            <w:bookmarkStart w:id="113" w:name="_Toc96868260"/>
            <w:bookmarkStart w:id="114" w:name="_Toc104910467"/>
            <w:bookmarkStart w:id="115" w:name="_Toc106708914"/>
            <w:r w:rsidRPr="00367CC8">
              <w:t xml:space="preserve">Prosthetic </w:t>
            </w:r>
            <w:r w:rsidR="00FE5B68" w:rsidRPr="00367CC8">
              <w:t>heart valve</w:t>
            </w:r>
            <w:bookmarkEnd w:id="112"/>
            <w:bookmarkEnd w:id="113"/>
            <w:r w:rsidR="005D5C49" w:rsidRPr="00367CC8">
              <w:t>s</w:t>
            </w:r>
            <w:bookmarkEnd w:id="114"/>
            <w:bookmarkEnd w:id="115"/>
          </w:p>
        </w:tc>
      </w:tr>
      <w:tr w:rsidR="002537CD" w:rsidRPr="00EB561B" w14:paraId="34EDA889" w14:textId="4958E3AE" w:rsidTr="00CF74AD">
        <w:trPr>
          <w:cantSplit/>
        </w:trPr>
        <w:tc>
          <w:tcPr>
            <w:tcW w:w="0" w:type="auto"/>
            <w:shd w:val="clear" w:color="auto" w:fill="DBE5F1" w:themeFill="accent1" w:themeFillTint="33"/>
            <w:vAlign w:val="center"/>
          </w:tcPr>
          <w:p w14:paraId="70E843E6" w14:textId="77777777" w:rsidR="000C7431" w:rsidRPr="00EB561B" w:rsidRDefault="000C7431" w:rsidP="00CF74AD">
            <w:pPr>
              <w:jc w:val="center"/>
              <w:rPr>
                <w:szCs w:val="22"/>
              </w:rPr>
            </w:pPr>
            <w:r w:rsidRPr="00EB561B">
              <w:rPr>
                <w:b/>
                <w:szCs w:val="22"/>
              </w:rPr>
              <w:t>Dabigatran (Pradaxa</w:t>
            </w:r>
            <w:r w:rsidRPr="00EB561B">
              <w:rPr>
                <w:b/>
                <w:szCs w:val="22"/>
              </w:rPr>
              <w:sym w:font="Symbol" w:char="F0D2"/>
            </w:r>
            <w:r w:rsidRPr="00EB561B">
              <w:rPr>
                <w:b/>
                <w:szCs w:val="22"/>
              </w:rPr>
              <w:t>)</w:t>
            </w:r>
            <w:r w:rsidRPr="00EB561B">
              <w:rPr>
                <w:b/>
                <w:szCs w:val="22"/>
                <w:vertAlign w:val="superscript"/>
              </w:rPr>
              <w:t>1</w:t>
            </w:r>
          </w:p>
        </w:tc>
        <w:tc>
          <w:tcPr>
            <w:tcW w:w="0" w:type="auto"/>
            <w:shd w:val="clear" w:color="auto" w:fill="F2DBDB" w:themeFill="accent2" w:themeFillTint="33"/>
            <w:vAlign w:val="center"/>
          </w:tcPr>
          <w:p w14:paraId="1981BA87" w14:textId="4B7E38C0" w:rsidR="000C7431" w:rsidRPr="00EB561B" w:rsidRDefault="000C7431" w:rsidP="00CF74AD">
            <w:pPr>
              <w:jc w:val="center"/>
              <w:rPr>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p>
        </w:tc>
        <w:tc>
          <w:tcPr>
            <w:tcW w:w="0" w:type="auto"/>
            <w:shd w:val="clear" w:color="auto" w:fill="E5DFEC" w:themeFill="accent4" w:themeFillTint="33"/>
            <w:vAlign w:val="center"/>
          </w:tcPr>
          <w:p w14:paraId="20DD9D25" w14:textId="77777777" w:rsidR="000C7431" w:rsidRPr="00EB561B" w:rsidRDefault="000C7431" w:rsidP="00CF74AD">
            <w:pPr>
              <w:jc w:val="center"/>
              <w:rPr>
                <w:szCs w:val="22"/>
              </w:rPr>
            </w:pPr>
            <w:r w:rsidRPr="00EB561B">
              <w:rPr>
                <w:b/>
                <w:szCs w:val="22"/>
              </w:rPr>
              <w:t>Apixaban (Eliquis</w:t>
            </w:r>
            <w:r w:rsidRPr="00EB561B">
              <w:rPr>
                <w:b/>
                <w:szCs w:val="22"/>
              </w:rPr>
              <w:sym w:font="Symbol" w:char="F0D2"/>
            </w:r>
            <w:r w:rsidRPr="00EB561B">
              <w:rPr>
                <w:b/>
                <w:szCs w:val="22"/>
              </w:rPr>
              <w:t>)</w:t>
            </w:r>
            <w:r w:rsidRPr="00EB561B">
              <w:rPr>
                <w:b/>
                <w:szCs w:val="22"/>
                <w:vertAlign w:val="superscript"/>
              </w:rPr>
              <w:t>3</w:t>
            </w:r>
          </w:p>
        </w:tc>
        <w:tc>
          <w:tcPr>
            <w:tcW w:w="0" w:type="auto"/>
            <w:shd w:val="clear" w:color="auto" w:fill="FDE9D9" w:themeFill="accent6" w:themeFillTint="33"/>
            <w:vAlign w:val="center"/>
          </w:tcPr>
          <w:p w14:paraId="70E24E95" w14:textId="1037BBA4" w:rsidR="000C7431" w:rsidRPr="00EB561B" w:rsidRDefault="000C7431" w:rsidP="00CF74AD">
            <w:pPr>
              <w:jc w:val="center"/>
              <w:rPr>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0" w:type="auto"/>
            <w:shd w:val="clear" w:color="auto" w:fill="EAF1DD" w:themeFill="accent3" w:themeFillTint="33"/>
            <w:vAlign w:val="center"/>
          </w:tcPr>
          <w:p w14:paraId="72236A44" w14:textId="7EF1C8CF" w:rsidR="000C7431" w:rsidRPr="00EB561B" w:rsidRDefault="000C7431" w:rsidP="00CF74AD">
            <w:pPr>
              <w:jc w:val="center"/>
              <w:rPr>
                <w:b/>
                <w:szCs w:val="22"/>
              </w:rPr>
            </w:pPr>
            <w:r w:rsidRPr="00EB561B">
              <w:rPr>
                <w:b/>
                <w:szCs w:val="22"/>
              </w:rPr>
              <w:t>Warfarin</w:t>
            </w:r>
            <w:r w:rsidR="008223A7" w:rsidRPr="00EB561B">
              <w:rPr>
                <w:b/>
                <w:szCs w:val="22"/>
                <w:vertAlign w:val="superscript"/>
              </w:rPr>
              <w:t>5</w:t>
            </w:r>
          </w:p>
        </w:tc>
      </w:tr>
      <w:tr w:rsidR="008223A7" w:rsidRPr="00EB561B" w14:paraId="6A0AF9BE" w14:textId="53B0ADA9" w:rsidTr="00CF74AD">
        <w:trPr>
          <w:cantSplit/>
        </w:trPr>
        <w:tc>
          <w:tcPr>
            <w:tcW w:w="0" w:type="auto"/>
            <w:shd w:val="clear" w:color="auto" w:fill="auto"/>
            <w:vAlign w:val="center"/>
          </w:tcPr>
          <w:p w14:paraId="1C6753BB" w14:textId="77777777" w:rsidR="000C7431" w:rsidRPr="00EB561B" w:rsidRDefault="000C7431" w:rsidP="00CF74AD">
            <w:pPr>
              <w:jc w:val="center"/>
              <w:rPr>
                <w:szCs w:val="22"/>
              </w:rPr>
            </w:pPr>
            <w:r w:rsidRPr="00EB561B">
              <w:rPr>
                <w:szCs w:val="22"/>
              </w:rPr>
              <w:t>Contra-indicated</w:t>
            </w:r>
          </w:p>
        </w:tc>
        <w:tc>
          <w:tcPr>
            <w:tcW w:w="0" w:type="auto"/>
            <w:shd w:val="clear" w:color="auto" w:fill="auto"/>
            <w:vAlign w:val="center"/>
          </w:tcPr>
          <w:p w14:paraId="4303FD1B" w14:textId="77777777" w:rsidR="000C7431" w:rsidRPr="00EB561B" w:rsidRDefault="000C7431" w:rsidP="00CF74AD">
            <w:pPr>
              <w:jc w:val="center"/>
              <w:rPr>
                <w:szCs w:val="22"/>
              </w:rPr>
            </w:pPr>
            <w:r w:rsidRPr="00EB561B">
              <w:rPr>
                <w:szCs w:val="22"/>
              </w:rPr>
              <w:t>Not studied – not recommended</w:t>
            </w:r>
          </w:p>
        </w:tc>
        <w:tc>
          <w:tcPr>
            <w:tcW w:w="0" w:type="auto"/>
            <w:shd w:val="clear" w:color="auto" w:fill="auto"/>
            <w:vAlign w:val="center"/>
          </w:tcPr>
          <w:p w14:paraId="0B11DC4A" w14:textId="0C4C0DE0" w:rsidR="000C7431" w:rsidRPr="00EB561B" w:rsidRDefault="002537CD" w:rsidP="00CF74AD">
            <w:pPr>
              <w:jc w:val="center"/>
              <w:rPr>
                <w:szCs w:val="22"/>
              </w:rPr>
            </w:pPr>
            <w:r w:rsidRPr="00EB561B">
              <w:rPr>
                <w:szCs w:val="22"/>
              </w:rPr>
              <w:t xml:space="preserve">Not </w:t>
            </w:r>
            <w:r w:rsidR="000C7431" w:rsidRPr="00EB561B">
              <w:rPr>
                <w:szCs w:val="22"/>
              </w:rPr>
              <w:t>studied – not recommended</w:t>
            </w:r>
          </w:p>
        </w:tc>
        <w:tc>
          <w:tcPr>
            <w:tcW w:w="0" w:type="auto"/>
            <w:shd w:val="clear" w:color="auto" w:fill="auto"/>
            <w:vAlign w:val="center"/>
          </w:tcPr>
          <w:p w14:paraId="7E49A34F" w14:textId="4B8E1839" w:rsidR="000C7431" w:rsidRPr="00EB561B" w:rsidRDefault="000C7431" w:rsidP="00CF74AD">
            <w:pPr>
              <w:jc w:val="center"/>
              <w:rPr>
                <w:szCs w:val="22"/>
              </w:rPr>
            </w:pPr>
            <w:r w:rsidRPr="00EB561B">
              <w:rPr>
                <w:szCs w:val="22"/>
              </w:rPr>
              <w:t>Not studied – not recommended</w:t>
            </w:r>
          </w:p>
        </w:tc>
        <w:tc>
          <w:tcPr>
            <w:tcW w:w="0" w:type="auto"/>
            <w:vAlign w:val="center"/>
          </w:tcPr>
          <w:p w14:paraId="3C030915" w14:textId="328EA569" w:rsidR="000C7431" w:rsidRPr="00EB561B" w:rsidRDefault="00187A04" w:rsidP="00CF74AD">
            <w:pPr>
              <w:jc w:val="center"/>
              <w:rPr>
                <w:szCs w:val="22"/>
              </w:rPr>
            </w:pPr>
            <w:r w:rsidRPr="00EB561B">
              <w:rPr>
                <w:szCs w:val="22"/>
              </w:rPr>
              <w:t>Target INR 2.5 -</w:t>
            </w:r>
            <w:r w:rsidR="00FE5B68" w:rsidRPr="00EB561B">
              <w:rPr>
                <w:szCs w:val="22"/>
              </w:rPr>
              <w:t>Licensed for prophylaxis after insertion of prosthetic heart valves</w:t>
            </w:r>
          </w:p>
        </w:tc>
      </w:tr>
    </w:tbl>
    <w:p w14:paraId="11B2593A" w14:textId="47A8BE2A" w:rsidR="00EB01EB" w:rsidRPr="00EB561B" w:rsidRDefault="00EB01EB">
      <w:pPr>
        <w:rPr>
          <w:rFonts w:asciiTheme="majorHAnsi" w:hAnsiTheme="majorHAnsi" w:cstheme="majorHAnsi"/>
          <w:szCs w:val="22"/>
        </w:rPr>
      </w:pPr>
    </w:p>
    <w:p w14:paraId="2F941F56" w14:textId="34CAF739" w:rsidR="002E47F4" w:rsidRPr="00EB561B" w:rsidRDefault="002E47F4">
      <w:pPr>
        <w:rPr>
          <w:rFonts w:asciiTheme="majorHAnsi" w:hAnsiTheme="majorHAnsi" w:cstheme="majorHAnsi"/>
          <w:szCs w:val="22"/>
        </w:rPr>
      </w:pPr>
      <w:r w:rsidRPr="00EB561B">
        <w:rPr>
          <w:rFonts w:asciiTheme="majorHAnsi" w:hAnsiTheme="majorHAnsi" w:cstheme="majorHAnsi"/>
          <w:szCs w:val="22"/>
        </w:rPr>
        <w:br w:type="page"/>
      </w:r>
    </w:p>
    <w:tbl>
      <w:tblPr>
        <w:tblStyle w:val="TableGrid"/>
        <w:tblW w:w="5000" w:type="pct"/>
        <w:tblLook w:val="04A0" w:firstRow="1" w:lastRow="0" w:firstColumn="1" w:lastColumn="0" w:noHBand="0" w:noVBand="1"/>
      </w:tblPr>
      <w:tblGrid>
        <w:gridCol w:w="1695"/>
        <w:gridCol w:w="1702"/>
        <w:gridCol w:w="1844"/>
        <w:gridCol w:w="1702"/>
        <w:gridCol w:w="2792"/>
      </w:tblGrid>
      <w:tr w:rsidR="00187A04" w:rsidRPr="00EB561B" w14:paraId="38D52B5F" w14:textId="77777777" w:rsidTr="0005253C">
        <w:trPr>
          <w:cantSplit/>
        </w:trPr>
        <w:tc>
          <w:tcPr>
            <w:tcW w:w="5000" w:type="pct"/>
            <w:gridSpan w:val="5"/>
            <w:shd w:val="clear" w:color="auto" w:fill="F2F2F2" w:themeFill="background1" w:themeFillShade="F2"/>
            <w:vAlign w:val="center"/>
          </w:tcPr>
          <w:p w14:paraId="0B1B7E9E" w14:textId="262CE07E" w:rsidR="0075636C" w:rsidRPr="00D5293F" w:rsidRDefault="00187A04" w:rsidP="00D5293F">
            <w:pPr>
              <w:pStyle w:val="Heading2"/>
              <w:rPr>
                <w:szCs w:val="24"/>
              </w:rPr>
            </w:pPr>
            <w:bookmarkStart w:id="116" w:name="_Toc96868261"/>
            <w:bookmarkStart w:id="117" w:name="_Toc104910468"/>
            <w:bookmarkStart w:id="118" w:name="_Toc106708915"/>
            <w:r w:rsidRPr="00367CC8">
              <w:lastRenderedPageBreak/>
              <w:t>Antiphospholipid syndrome</w:t>
            </w:r>
            <w:bookmarkEnd w:id="116"/>
            <w:bookmarkEnd w:id="117"/>
            <w:bookmarkEnd w:id="118"/>
            <w:r w:rsidRPr="00367CC8">
              <w:t xml:space="preserve"> </w:t>
            </w:r>
          </w:p>
        </w:tc>
      </w:tr>
      <w:tr w:rsidR="00D5293F" w:rsidRPr="00EB561B" w14:paraId="45721089" w14:textId="77777777" w:rsidTr="00D5293F">
        <w:trPr>
          <w:cantSplit/>
        </w:trPr>
        <w:tc>
          <w:tcPr>
            <w:tcW w:w="5000" w:type="pct"/>
            <w:gridSpan w:val="5"/>
            <w:shd w:val="clear" w:color="auto" w:fill="auto"/>
            <w:vAlign w:val="center"/>
          </w:tcPr>
          <w:p w14:paraId="7BFA1E87" w14:textId="151C6B88" w:rsidR="00D5293F" w:rsidRPr="00D5293F" w:rsidRDefault="00D5293F" w:rsidP="00D5293F">
            <w:pPr>
              <w:rPr>
                <w:szCs w:val="22"/>
              </w:rPr>
            </w:pPr>
            <w:r w:rsidRPr="00EB561B">
              <w:rPr>
                <w:szCs w:val="22"/>
              </w:rPr>
              <w:t>The TRAPS trial compared rivaroxaban with warfarin in patients with antiphospholipid syndrome and a history of thrombosis. The study was terminated prematurely as there was an increased risk of recurrent thromboembolic events associated with rivaroxaban. Available data show that other DOACs may be associated with a similarly increased risk. Consequently, DOACs are not recommended in patients with antiphospholipid syndrome, particularly high-risk patients (those who test positive for all three antiphospholipid tests — lupus anticoagulant, anticardiolipin antibodies, and anti-beta 2 glycoprotein I antibodies).</w:t>
            </w:r>
            <w:r w:rsidRPr="00EB561B">
              <w:rPr>
                <w:szCs w:val="22"/>
                <w:vertAlign w:val="superscript"/>
              </w:rPr>
              <w:t>3</w:t>
            </w:r>
            <w:r w:rsidR="00377FA5">
              <w:rPr>
                <w:szCs w:val="22"/>
                <w:vertAlign w:val="superscript"/>
              </w:rPr>
              <w:t>3</w:t>
            </w:r>
          </w:p>
        </w:tc>
      </w:tr>
      <w:tr w:rsidR="00187A04" w:rsidRPr="00EB561B" w14:paraId="3218052B" w14:textId="77777777" w:rsidTr="00CF74AD">
        <w:trPr>
          <w:cantSplit/>
        </w:trPr>
        <w:tc>
          <w:tcPr>
            <w:tcW w:w="871" w:type="pct"/>
            <w:shd w:val="clear" w:color="auto" w:fill="DBE5F1" w:themeFill="accent1" w:themeFillTint="33"/>
            <w:vAlign w:val="center"/>
          </w:tcPr>
          <w:p w14:paraId="64EDA949" w14:textId="77777777" w:rsidR="00187A04" w:rsidRPr="00EB561B" w:rsidRDefault="00187A04" w:rsidP="00CF74AD">
            <w:pPr>
              <w:jc w:val="center"/>
              <w:rPr>
                <w:szCs w:val="22"/>
              </w:rPr>
            </w:pPr>
            <w:r w:rsidRPr="00EB561B">
              <w:rPr>
                <w:b/>
                <w:szCs w:val="22"/>
              </w:rPr>
              <w:t>Dabigatran (Pradaxa</w:t>
            </w:r>
            <w:r w:rsidRPr="00EB561B">
              <w:rPr>
                <w:b/>
                <w:szCs w:val="22"/>
              </w:rPr>
              <w:sym w:font="Symbol" w:char="F0D2"/>
            </w:r>
            <w:r w:rsidRPr="00EB561B">
              <w:rPr>
                <w:b/>
                <w:szCs w:val="22"/>
              </w:rPr>
              <w:t>)</w:t>
            </w:r>
            <w:r w:rsidRPr="00EB561B">
              <w:rPr>
                <w:b/>
                <w:szCs w:val="22"/>
                <w:vertAlign w:val="superscript"/>
              </w:rPr>
              <w:t>1</w:t>
            </w:r>
          </w:p>
        </w:tc>
        <w:tc>
          <w:tcPr>
            <w:tcW w:w="874" w:type="pct"/>
            <w:shd w:val="clear" w:color="auto" w:fill="F2DBDB" w:themeFill="accent2" w:themeFillTint="33"/>
            <w:vAlign w:val="center"/>
          </w:tcPr>
          <w:p w14:paraId="0C844431" w14:textId="77777777" w:rsidR="00187A04" w:rsidRPr="00EB561B" w:rsidRDefault="00187A04" w:rsidP="00CF74AD">
            <w:pPr>
              <w:jc w:val="center"/>
              <w:rPr>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p>
        </w:tc>
        <w:tc>
          <w:tcPr>
            <w:tcW w:w="947" w:type="pct"/>
            <w:shd w:val="clear" w:color="auto" w:fill="E5DFEC" w:themeFill="accent4" w:themeFillTint="33"/>
            <w:vAlign w:val="center"/>
          </w:tcPr>
          <w:p w14:paraId="4938CA24" w14:textId="77777777" w:rsidR="00187A04" w:rsidRPr="00EB561B" w:rsidRDefault="00187A04" w:rsidP="00CF74AD">
            <w:pPr>
              <w:jc w:val="center"/>
              <w:rPr>
                <w:szCs w:val="22"/>
              </w:rPr>
            </w:pPr>
            <w:r w:rsidRPr="00EB561B">
              <w:rPr>
                <w:b/>
                <w:szCs w:val="22"/>
              </w:rPr>
              <w:t>Apixaban (Eliquis</w:t>
            </w:r>
            <w:r w:rsidRPr="00EB561B">
              <w:rPr>
                <w:b/>
                <w:szCs w:val="22"/>
              </w:rPr>
              <w:sym w:font="Symbol" w:char="F0D2"/>
            </w:r>
            <w:r w:rsidRPr="00EB561B">
              <w:rPr>
                <w:b/>
                <w:szCs w:val="22"/>
              </w:rPr>
              <w:t>)</w:t>
            </w:r>
            <w:r w:rsidRPr="00EB561B">
              <w:rPr>
                <w:b/>
                <w:szCs w:val="22"/>
                <w:vertAlign w:val="superscript"/>
              </w:rPr>
              <w:t>3</w:t>
            </w:r>
          </w:p>
        </w:tc>
        <w:tc>
          <w:tcPr>
            <w:tcW w:w="874" w:type="pct"/>
            <w:shd w:val="clear" w:color="auto" w:fill="FDE9D9" w:themeFill="accent6" w:themeFillTint="33"/>
            <w:vAlign w:val="center"/>
          </w:tcPr>
          <w:p w14:paraId="22AFA5B7" w14:textId="45263109" w:rsidR="00187A04" w:rsidRPr="00EB561B" w:rsidRDefault="00187A04" w:rsidP="00CF74AD">
            <w:pPr>
              <w:jc w:val="center"/>
              <w:rPr>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1434" w:type="pct"/>
            <w:shd w:val="clear" w:color="auto" w:fill="EAF1DD" w:themeFill="accent3" w:themeFillTint="33"/>
            <w:vAlign w:val="center"/>
          </w:tcPr>
          <w:p w14:paraId="7376DD63" w14:textId="523CF900" w:rsidR="00187A04" w:rsidRPr="00EB561B" w:rsidRDefault="002D6351" w:rsidP="00CF74AD">
            <w:pPr>
              <w:jc w:val="center"/>
              <w:rPr>
                <w:b/>
                <w:szCs w:val="22"/>
              </w:rPr>
            </w:pPr>
            <w:r w:rsidRPr="00EB561B">
              <w:rPr>
                <w:b/>
                <w:szCs w:val="22"/>
              </w:rPr>
              <w:t>Warfarin</w:t>
            </w:r>
            <w:r w:rsidRPr="00EB561B">
              <w:rPr>
                <w:b/>
                <w:szCs w:val="22"/>
                <w:vertAlign w:val="superscript"/>
              </w:rPr>
              <w:t>5</w:t>
            </w:r>
            <w:r w:rsidR="000673E5" w:rsidRPr="00EB561B">
              <w:rPr>
                <w:b/>
                <w:szCs w:val="22"/>
                <w:vertAlign w:val="superscript"/>
              </w:rPr>
              <w:t>,6</w:t>
            </w:r>
          </w:p>
        </w:tc>
      </w:tr>
      <w:tr w:rsidR="00187A04" w:rsidRPr="00EB561B" w14:paraId="4E8FEA5D" w14:textId="77777777" w:rsidTr="00CF74AD">
        <w:trPr>
          <w:cantSplit/>
        </w:trPr>
        <w:tc>
          <w:tcPr>
            <w:tcW w:w="871" w:type="pct"/>
            <w:shd w:val="clear" w:color="auto" w:fill="auto"/>
            <w:vAlign w:val="center"/>
          </w:tcPr>
          <w:p w14:paraId="5E8B132B" w14:textId="5F1BA38D" w:rsidR="00187A04" w:rsidRPr="00EB561B" w:rsidRDefault="00187A04" w:rsidP="00CF74AD">
            <w:pPr>
              <w:jc w:val="center"/>
              <w:rPr>
                <w:szCs w:val="22"/>
              </w:rPr>
            </w:pPr>
            <w:r w:rsidRPr="00EB561B">
              <w:rPr>
                <w:szCs w:val="22"/>
              </w:rPr>
              <w:t>Not recommended</w:t>
            </w:r>
          </w:p>
        </w:tc>
        <w:tc>
          <w:tcPr>
            <w:tcW w:w="874" w:type="pct"/>
            <w:shd w:val="clear" w:color="auto" w:fill="auto"/>
            <w:vAlign w:val="center"/>
          </w:tcPr>
          <w:p w14:paraId="186B3C94" w14:textId="59F713AA" w:rsidR="00187A04" w:rsidRPr="00EB561B" w:rsidRDefault="00187A04" w:rsidP="00CF74AD">
            <w:pPr>
              <w:jc w:val="center"/>
              <w:rPr>
                <w:szCs w:val="22"/>
              </w:rPr>
            </w:pPr>
            <w:r w:rsidRPr="00EB561B">
              <w:rPr>
                <w:szCs w:val="22"/>
              </w:rPr>
              <w:t>Not recommended</w:t>
            </w:r>
          </w:p>
        </w:tc>
        <w:tc>
          <w:tcPr>
            <w:tcW w:w="947" w:type="pct"/>
            <w:shd w:val="clear" w:color="auto" w:fill="auto"/>
            <w:vAlign w:val="center"/>
          </w:tcPr>
          <w:p w14:paraId="64FFB914" w14:textId="76BA49CE" w:rsidR="00187A04" w:rsidRPr="00EB561B" w:rsidRDefault="00187A04" w:rsidP="00CF74AD">
            <w:pPr>
              <w:jc w:val="center"/>
              <w:rPr>
                <w:szCs w:val="22"/>
              </w:rPr>
            </w:pPr>
            <w:r w:rsidRPr="00EB561B">
              <w:rPr>
                <w:szCs w:val="22"/>
              </w:rPr>
              <w:t>Not recommended</w:t>
            </w:r>
          </w:p>
        </w:tc>
        <w:tc>
          <w:tcPr>
            <w:tcW w:w="874" w:type="pct"/>
            <w:shd w:val="clear" w:color="auto" w:fill="auto"/>
            <w:vAlign w:val="center"/>
          </w:tcPr>
          <w:p w14:paraId="6C31B347" w14:textId="63AE6277" w:rsidR="00187A04" w:rsidRPr="00EB561B" w:rsidRDefault="00187A04" w:rsidP="00CF74AD">
            <w:pPr>
              <w:jc w:val="center"/>
              <w:rPr>
                <w:szCs w:val="22"/>
              </w:rPr>
            </w:pPr>
            <w:r w:rsidRPr="00EB561B">
              <w:rPr>
                <w:szCs w:val="22"/>
              </w:rPr>
              <w:t>Not recommended</w:t>
            </w:r>
          </w:p>
        </w:tc>
        <w:tc>
          <w:tcPr>
            <w:tcW w:w="1434" w:type="pct"/>
            <w:vAlign w:val="center"/>
          </w:tcPr>
          <w:p w14:paraId="6E8C0C63" w14:textId="774BF3DF" w:rsidR="00EB01EB" w:rsidRPr="00EB561B" w:rsidRDefault="00EB01EB" w:rsidP="00CF74AD">
            <w:pPr>
              <w:jc w:val="center"/>
              <w:rPr>
                <w:szCs w:val="22"/>
              </w:rPr>
            </w:pPr>
            <w:r w:rsidRPr="00EB561B">
              <w:rPr>
                <w:szCs w:val="22"/>
              </w:rPr>
              <w:t xml:space="preserve">Target </w:t>
            </w:r>
            <w:r w:rsidR="00187A04" w:rsidRPr="00EB561B">
              <w:rPr>
                <w:szCs w:val="22"/>
              </w:rPr>
              <w:t>INR 2.5</w:t>
            </w:r>
          </w:p>
          <w:p w14:paraId="21C99CC5" w14:textId="01774BF6" w:rsidR="00187A04" w:rsidRPr="00EB561B" w:rsidRDefault="00187A04" w:rsidP="00CF74AD">
            <w:pPr>
              <w:jc w:val="center"/>
              <w:rPr>
                <w:szCs w:val="22"/>
              </w:rPr>
            </w:pPr>
            <w:r w:rsidRPr="00EB561B">
              <w:rPr>
                <w:szCs w:val="22"/>
              </w:rPr>
              <w:t xml:space="preserve">Suitable for </w:t>
            </w:r>
            <w:r w:rsidR="00EB01EB" w:rsidRPr="00EB561B">
              <w:rPr>
                <w:szCs w:val="22"/>
              </w:rPr>
              <w:t>t</w:t>
            </w:r>
            <w:r w:rsidRPr="00EB561B">
              <w:rPr>
                <w:szCs w:val="22"/>
              </w:rPr>
              <w:t>reatment of deep-vein thrombosis or pulmonary embolism (including those associated with antiphospholipid syndrome)</w:t>
            </w:r>
          </w:p>
        </w:tc>
      </w:tr>
    </w:tbl>
    <w:p w14:paraId="7717CF0B" w14:textId="77777777" w:rsidR="006214C2" w:rsidRPr="00EB561B" w:rsidRDefault="006214C2">
      <w:pPr>
        <w:rPr>
          <w:rFonts w:asciiTheme="majorHAnsi" w:hAnsiTheme="majorHAnsi" w:cstheme="majorHAnsi"/>
          <w:szCs w:val="22"/>
        </w:rPr>
      </w:pPr>
    </w:p>
    <w:tbl>
      <w:tblPr>
        <w:tblStyle w:val="TableGrid"/>
        <w:tblW w:w="5000" w:type="pct"/>
        <w:tblLook w:val="04A0" w:firstRow="1" w:lastRow="0" w:firstColumn="1" w:lastColumn="0" w:noHBand="0" w:noVBand="1"/>
      </w:tblPr>
      <w:tblGrid>
        <w:gridCol w:w="1695"/>
        <w:gridCol w:w="1844"/>
        <w:gridCol w:w="1842"/>
        <w:gridCol w:w="1702"/>
        <w:gridCol w:w="2652"/>
      </w:tblGrid>
      <w:tr w:rsidR="0005253C" w:rsidRPr="00EB561B" w14:paraId="7BCDA5C9" w14:textId="3F70BE7B" w:rsidTr="0005253C">
        <w:trPr>
          <w:cantSplit/>
        </w:trPr>
        <w:tc>
          <w:tcPr>
            <w:tcW w:w="5000" w:type="pct"/>
            <w:gridSpan w:val="5"/>
            <w:shd w:val="clear" w:color="auto" w:fill="F2F2F2" w:themeFill="background1" w:themeFillShade="F2"/>
            <w:vAlign w:val="center"/>
          </w:tcPr>
          <w:p w14:paraId="63484707" w14:textId="76071733" w:rsidR="0005253C" w:rsidRPr="00367CC8" w:rsidRDefault="0005253C" w:rsidP="00D5293F">
            <w:pPr>
              <w:pStyle w:val="Heading2"/>
            </w:pPr>
            <w:bookmarkStart w:id="119" w:name="_Toc96868268"/>
            <w:bookmarkStart w:id="120" w:name="_Toc104910469"/>
            <w:bookmarkStart w:id="121" w:name="_Toc106708916"/>
            <w:r w:rsidRPr="00367CC8">
              <w:t>Compliance aids</w:t>
            </w:r>
            <w:bookmarkEnd w:id="119"/>
            <w:bookmarkEnd w:id="120"/>
            <w:bookmarkEnd w:id="121"/>
          </w:p>
        </w:tc>
      </w:tr>
      <w:tr w:rsidR="000C7431" w:rsidRPr="00EB561B" w14:paraId="057B1E32" w14:textId="66D9C948" w:rsidTr="00CF74AD">
        <w:trPr>
          <w:cantSplit/>
        </w:trPr>
        <w:tc>
          <w:tcPr>
            <w:tcW w:w="871" w:type="pct"/>
            <w:shd w:val="clear" w:color="auto" w:fill="DBE5F1" w:themeFill="accent1" w:themeFillTint="33"/>
            <w:vAlign w:val="center"/>
          </w:tcPr>
          <w:p w14:paraId="1B5E1984" w14:textId="77777777" w:rsidR="000C7431" w:rsidRPr="00EB561B" w:rsidRDefault="000C7431" w:rsidP="00CF74AD">
            <w:pPr>
              <w:jc w:val="center"/>
              <w:rPr>
                <w:szCs w:val="22"/>
              </w:rPr>
            </w:pPr>
            <w:r w:rsidRPr="00EB561B">
              <w:rPr>
                <w:b/>
                <w:szCs w:val="22"/>
              </w:rPr>
              <w:t>Dabigatran (Pradaxa</w:t>
            </w:r>
            <w:r w:rsidRPr="00EB561B">
              <w:rPr>
                <w:b/>
                <w:szCs w:val="22"/>
              </w:rPr>
              <w:sym w:font="Symbol" w:char="F0D2"/>
            </w:r>
            <w:r w:rsidRPr="00EB561B">
              <w:rPr>
                <w:b/>
                <w:szCs w:val="22"/>
              </w:rPr>
              <w:t>)</w:t>
            </w:r>
            <w:r w:rsidRPr="00EB561B">
              <w:rPr>
                <w:b/>
                <w:szCs w:val="22"/>
                <w:vertAlign w:val="superscript"/>
              </w:rPr>
              <w:t>1</w:t>
            </w:r>
          </w:p>
        </w:tc>
        <w:tc>
          <w:tcPr>
            <w:tcW w:w="947" w:type="pct"/>
            <w:shd w:val="clear" w:color="auto" w:fill="F2DBDB" w:themeFill="accent2" w:themeFillTint="33"/>
            <w:vAlign w:val="center"/>
          </w:tcPr>
          <w:p w14:paraId="04059C6C" w14:textId="78FC425C" w:rsidR="000C7431" w:rsidRPr="00EB561B" w:rsidRDefault="000C7431" w:rsidP="00CF74AD">
            <w:pPr>
              <w:jc w:val="center"/>
              <w:rPr>
                <w:szCs w:val="22"/>
              </w:rPr>
            </w:pPr>
            <w:r w:rsidRPr="00EB561B">
              <w:rPr>
                <w:b/>
                <w:szCs w:val="22"/>
              </w:rPr>
              <w:t>Rivaroxaban (Xarelto</w:t>
            </w:r>
            <w:r w:rsidRPr="00EB561B">
              <w:rPr>
                <w:b/>
                <w:szCs w:val="22"/>
              </w:rPr>
              <w:sym w:font="Symbol" w:char="F0D2"/>
            </w:r>
            <w:r w:rsidRPr="00EB561B">
              <w:rPr>
                <w:rFonts w:cs="Arial"/>
                <w:szCs w:val="22"/>
              </w:rPr>
              <w:t>▼</w:t>
            </w:r>
            <w:r w:rsidRPr="00EB561B">
              <w:rPr>
                <w:b/>
                <w:szCs w:val="22"/>
              </w:rPr>
              <w:t>)</w:t>
            </w:r>
            <w:r w:rsidRPr="00EB561B">
              <w:rPr>
                <w:b/>
                <w:szCs w:val="22"/>
                <w:vertAlign w:val="superscript"/>
              </w:rPr>
              <w:t>2</w:t>
            </w:r>
          </w:p>
        </w:tc>
        <w:tc>
          <w:tcPr>
            <w:tcW w:w="946" w:type="pct"/>
            <w:shd w:val="clear" w:color="auto" w:fill="E5DFEC" w:themeFill="accent4" w:themeFillTint="33"/>
            <w:vAlign w:val="center"/>
          </w:tcPr>
          <w:p w14:paraId="664E88F0" w14:textId="77777777" w:rsidR="000C7431" w:rsidRPr="00EB561B" w:rsidRDefault="000C7431" w:rsidP="00CF74AD">
            <w:pPr>
              <w:jc w:val="center"/>
              <w:rPr>
                <w:szCs w:val="22"/>
              </w:rPr>
            </w:pPr>
            <w:r w:rsidRPr="00EB561B">
              <w:rPr>
                <w:b/>
                <w:szCs w:val="22"/>
              </w:rPr>
              <w:t>Apixaban (Eliquis</w:t>
            </w:r>
            <w:r w:rsidRPr="00EB561B">
              <w:rPr>
                <w:b/>
                <w:szCs w:val="22"/>
              </w:rPr>
              <w:sym w:font="Symbol" w:char="F0D2"/>
            </w:r>
            <w:r w:rsidRPr="00EB561B">
              <w:rPr>
                <w:b/>
                <w:szCs w:val="22"/>
              </w:rPr>
              <w:t>)</w:t>
            </w:r>
            <w:r w:rsidRPr="00EB561B">
              <w:rPr>
                <w:b/>
                <w:szCs w:val="22"/>
                <w:vertAlign w:val="superscript"/>
              </w:rPr>
              <w:t>3</w:t>
            </w:r>
          </w:p>
        </w:tc>
        <w:tc>
          <w:tcPr>
            <w:tcW w:w="874" w:type="pct"/>
            <w:shd w:val="clear" w:color="auto" w:fill="FDE9D9" w:themeFill="accent6" w:themeFillTint="33"/>
            <w:vAlign w:val="center"/>
          </w:tcPr>
          <w:p w14:paraId="6DE857BF" w14:textId="6533F16C" w:rsidR="000C7431" w:rsidRPr="00EB561B" w:rsidRDefault="000C7431" w:rsidP="00CF74AD">
            <w:pPr>
              <w:jc w:val="center"/>
              <w:rPr>
                <w:szCs w:val="22"/>
              </w:rPr>
            </w:pPr>
            <w:r w:rsidRPr="00EB561B">
              <w:rPr>
                <w:b/>
                <w:szCs w:val="22"/>
              </w:rPr>
              <w:t>Edoxaban (Lixiana</w:t>
            </w:r>
            <w:r w:rsidRPr="00EB561B">
              <w:rPr>
                <w:b/>
                <w:szCs w:val="22"/>
              </w:rPr>
              <w:sym w:font="Symbol" w:char="F0D2"/>
            </w:r>
            <w:r w:rsidRPr="00EB561B">
              <w:rPr>
                <w:b/>
                <w:szCs w:val="22"/>
              </w:rPr>
              <w:t>)</w:t>
            </w:r>
            <w:r w:rsidRPr="00EB561B">
              <w:rPr>
                <w:b/>
                <w:szCs w:val="22"/>
                <w:vertAlign w:val="superscript"/>
              </w:rPr>
              <w:t>4</w:t>
            </w:r>
          </w:p>
        </w:tc>
        <w:tc>
          <w:tcPr>
            <w:tcW w:w="1362" w:type="pct"/>
            <w:shd w:val="clear" w:color="auto" w:fill="EAF1DD" w:themeFill="accent3" w:themeFillTint="33"/>
            <w:vAlign w:val="center"/>
          </w:tcPr>
          <w:p w14:paraId="4C0BC505" w14:textId="44A95AF7" w:rsidR="000C7431" w:rsidRPr="00EB561B" w:rsidRDefault="000C7431" w:rsidP="00CF74AD">
            <w:pPr>
              <w:jc w:val="center"/>
              <w:rPr>
                <w:b/>
                <w:szCs w:val="22"/>
                <w:vertAlign w:val="superscript"/>
              </w:rPr>
            </w:pPr>
            <w:r w:rsidRPr="00EB561B">
              <w:rPr>
                <w:b/>
                <w:szCs w:val="22"/>
              </w:rPr>
              <w:t>Warfarin</w:t>
            </w:r>
            <w:r w:rsidR="005E5D45" w:rsidRPr="00EB561B">
              <w:rPr>
                <w:b/>
                <w:szCs w:val="22"/>
                <w:vertAlign w:val="superscript"/>
              </w:rPr>
              <w:t>5,6</w:t>
            </w:r>
          </w:p>
        </w:tc>
      </w:tr>
      <w:tr w:rsidR="000C7431" w:rsidRPr="00EB561B" w14:paraId="69B50941" w14:textId="7A921FF0" w:rsidTr="00CF74AD">
        <w:trPr>
          <w:cantSplit/>
          <w:trHeight w:val="1084"/>
        </w:trPr>
        <w:tc>
          <w:tcPr>
            <w:tcW w:w="871" w:type="pct"/>
            <w:shd w:val="clear" w:color="auto" w:fill="auto"/>
            <w:vAlign w:val="center"/>
          </w:tcPr>
          <w:p w14:paraId="5F42158A" w14:textId="1144D3E9" w:rsidR="000C7431" w:rsidRPr="00EB561B" w:rsidRDefault="006978F0" w:rsidP="00CF74AD">
            <w:pPr>
              <w:jc w:val="center"/>
              <w:rPr>
                <w:szCs w:val="22"/>
              </w:rPr>
            </w:pPr>
            <w:r>
              <w:rPr>
                <w:szCs w:val="22"/>
              </w:rPr>
              <w:t>Store in the original package in order to protect from moisture</w:t>
            </w:r>
          </w:p>
        </w:tc>
        <w:tc>
          <w:tcPr>
            <w:tcW w:w="947" w:type="pct"/>
            <w:shd w:val="clear" w:color="auto" w:fill="auto"/>
            <w:vAlign w:val="center"/>
          </w:tcPr>
          <w:p w14:paraId="054143E0" w14:textId="3F5BF1CB" w:rsidR="000C7431" w:rsidRPr="00EB561B" w:rsidRDefault="000C7431" w:rsidP="00CF74AD">
            <w:pPr>
              <w:jc w:val="center"/>
              <w:rPr>
                <w:szCs w:val="22"/>
              </w:rPr>
            </w:pPr>
            <w:r w:rsidRPr="00EB561B">
              <w:rPr>
                <w:szCs w:val="22"/>
              </w:rPr>
              <w:t>No special precautions for storage</w:t>
            </w:r>
          </w:p>
        </w:tc>
        <w:tc>
          <w:tcPr>
            <w:tcW w:w="946" w:type="pct"/>
            <w:shd w:val="clear" w:color="auto" w:fill="auto"/>
            <w:vAlign w:val="center"/>
          </w:tcPr>
          <w:p w14:paraId="33D59BB4" w14:textId="034EB1E1" w:rsidR="000C7431" w:rsidRPr="00EB561B" w:rsidRDefault="000C7431" w:rsidP="00CF74AD">
            <w:pPr>
              <w:jc w:val="center"/>
              <w:rPr>
                <w:szCs w:val="22"/>
              </w:rPr>
            </w:pPr>
            <w:r w:rsidRPr="00EB561B">
              <w:rPr>
                <w:szCs w:val="22"/>
              </w:rPr>
              <w:t>No special precautions for storage</w:t>
            </w:r>
          </w:p>
        </w:tc>
        <w:tc>
          <w:tcPr>
            <w:tcW w:w="874" w:type="pct"/>
            <w:shd w:val="clear" w:color="auto" w:fill="auto"/>
            <w:vAlign w:val="center"/>
          </w:tcPr>
          <w:p w14:paraId="24C30C21" w14:textId="2032D42D" w:rsidR="000C7431" w:rsidRPr="00EB561B" w:rsidRDefault="000C7431" w:rsidP="00CF74AD">
            <w:pPr>
              <w:jc w:val="center"/>
              <w:rPr>
                <w:szCs w:val="22"/>
              </w:rPr>
            </w:pPr>
            <w:r w:rsidRPr="00EB561B">
              <w:rPr>
                <w:szCs w:val="22"/>
              </w:rPr>
              <w:t>No special precautions for storage</w:t>
            </w:r>
          </w:p>
        </w:tc>
        <w:tc>
          <w:tcPr>
            <w:tcW w:w="1362" w:type="pct"/>
            <w:vAlign w:val="center"/>
          </w:tcPr>
          <w:p w14:paraId="52E03332" w14:textId="7859F36F" w:rsidR="000C7431" w:rsidRPr="00EB561B" w:rsidRDefault="00952AC8" w:rsidP="00CF74AD">
            <w:pPr>
              <w:jc w:val="center"/>
              <w:rPr>
                <w:szCs w:val="22"/>
              </w:rPr>
            </w:pPr>
            <w:r w:rsidRPr="00EB561B">
              <w:rPr>
                <w:szCs w:val="22"/>
              </w:rPr>
              <w:t>Not recommended for compliance aid as dose may vary depending on test results</w:t>
            </w:r>
          </w:p>
        </w:tc>
      </w:tr>
    </w:tbl>
    <w:p w14:paraId="17F7AA76" w14:textId="77777777" w:rsidR="00354719" w:rsidRPr="00EB561B" w:rsidRDefault="00354719">
      <w:pPr>
        <w:rPr>
          <w:rFonts w:asciiTheme="majorHAnsi" w:hAnsiTheme="majorHAnsi" w:cstheme="majorHAnsi"/>
          <w:b/>
          <w:szCs w:val="22"/>
        </w:rPr>
      </w:pPr>
    </w:p>
    <w:tbl>
      <w:tblPr>
        <w:tblStyle w:val="TableGrid"/>
        <w:tblW w:w="5000" w:type="pct"/>
        <w:tblLook w:val="04A0" w:firstRow="1" w:lastRow="0" w:firstColumn="1" w:lastColumn="0" w:noHBand="0" w:noVBand="1"/>
      </w:tblPr>
      <w:tblGrid>
        <w:gridCol w:w="1947"/>
        <w:gridCol w:w="1947"/>
        <w:gridCol w:w="1947"/>
        <w:gridCol w:w="1947"/>
        <w:gridCol w:w="1947"/>
      </w:tblGrid>
      <w:tr w:rsidR="00276DAF" w:rsidRPr="00EB561B" w14:paraId="1861AF10" w14:textId="289FBBA6" w:rsidTr="00276DAF">
        <w:trPr>
          <w:cantSplit/>
        </w:trPr>
        <w:tc>
          <w:tcPr>
            <w:tcW w:w="5000" w:type="pct"/>
            <w:gridSpan w:val="5"/>
            <w:shd w:val="clear" w:color="auto" w:fill="F2F2F2" w:themeFill="background1" w:themeFillShade="F2"/>
            <w:vAlign w:val="center"/>
          </w:tcPr>
          <w:p w14:paraId="12EE9F2E" w14:textId="46960771" w:rsidR="00276DAF" w:rsidRPr="00EB561B" w:rsidRDefault="00276DAF" w:rsidP="00413C8F">
            <w:pPr>
              <w:pStyle w:val="Heading2"/>
            </w:pPr>
            <w:bookmarkStart w:id="122" w:name="_Toc96868269"/>
            <w:bookmarkStart w:id="123" w:name="_Toc106708917"/>
            <w:bookmarkStart w:id="124" w:name="_Toc104910470"/>
            <w:r w:rsidRPr="00367CC8">
              <w:t>Cost per 28 days</w:t>
            </w:r>
            <w:r w:rsidRPr="00EB561B">
              <w:t xml:space="preserve"> </w:t>
            </w:r>
            <w:r w:rsidRPr="00367CC8">
              <w:t>at dose stated</w:t>
            </w:r>
            <w:bookmarkEnd w:id="122"/>
            <w:r w:rsidR="00C224CA" w:rsidRPr="00367CC8">
              <w:rPr>
                <w:vertAlign w:val="superscript"/>
              </w:rPr>
              <w:t>3</w:t>
            </w:r>
            <w:r w:rsidR="00377FA5">
              <w:rPr>
                <w:vertAlign w:val="superscript"/>
              </w:rPr>
              <w:t>4</w:t>
            </w:r>
            <w:bookmarkEnd w:id="123"/>
            <w:r w:rsidR="00830234" w:rsidRPr="00367CC8">
              <w:t xml:space="preserve"> </w:t>
            </w:r>
            <w:bookmarkEnd w:id="124"/>
          </w:p>
        </w:tc>
      </w:tr>
      <w:tr w:rsidR="00413C8F" w:rsidRPr="00EB561B" w14:paraId="308EEF22" w14:textId="77777777" w:rsidTr="00413C8F">
        <w:trPr>
          <w:cantSplit/>
        </w:trPr>
        <w:tc>
          <w:tcPr>
            <w:tcW w:w="5000" w:type="pct"/>
            <w:gridSpan w:val="5"/>
            <w:shd w:val="clear" w:color="auto" w:fill="auto"/>
            <w:vAlign w:val="center"/>
          </w:tcPr>
          <w:p w14:paraId="24BAE279" w14:textId="166A06CC" w:rsidR="00413C8F" w:rsidRPr="00367CC8" w:rsidRDefault="00413C8F" w:rsidP="00413C8F">
            <w:r w:rsidRPr="00EB561B">
              <w:rPr>
                <w:highlight w:val="yellow"/>
              </w:rPr>
              <w:t>(This is the</w:t>
            </w:r>
            <w:r w:rsidRPr="00EB561B">
              <w:t xml:space="preserve"> </w:t>
            </w:r>
            <w:r w:rsidRPr="00EB561B">
              <w:rPr>
                <w:highlight w:val="yellow"/>
              </w:rPr>
              <w:t>NHS List price and not the nationally commissioned discounted or local rebate price. These can be inserted locally below</w:t>
            </w:r>
            <w:r w:rsidRPr="00EB561B">
              <w:t>)</w:t>
            </w:r>
          </w:p>
        </w:tc>
      </w:tr>
      <w:tr w:rsidR="000C7431" w:rsidRPr="00EB561B" w14:paraId="38721C06" w14:textId="675D7350" w:rsidTr="00CF74AD">
        <w:trPr>
          <w:cantSplit/>
        </w:trPr>
        <w:tc>
          <w:tcPr>
            <w:tcW w:w="1000" w:type="pct"/>
            <w:shd w:val="clear" w:color="auto" w:fill="DBE5F1" w:themeFill="accent1" w:themeFillTint="33"/>
            <w:vAlign w:val="center"/>
          </w:tcPr>
          <w:p w14:paraId="3995DFAD" w14:textId="77777777" w:rsidR="000C7431" w:rsidRPr="00EB561B" w:rsidRDefault="000C7431" w:rsidP="00CF74AD">
            <w:pPr>
              <w:jc w:val="center"/>
              <w:rPr>
                <w:b/>
                <w:vertAlign w:val="superscript"/>
              </w:rPr>
            </w:pPr>
            <w:r w:rsidRPr="00EB561B">
              <w:rPr>
                <w:b/>
              </w:rPr>
              <w:t>Dabigatran (Pradaxa</w:t>
            </w:r>
            <w:r w:rsidRPr="00EB561B">
              <w:rPr>
                <w:b/>
              </w:rPr>
              <w:sym w:font="Symbol" w:char="F0D2"/>
            </w:r>
            <w:r w:rsidRPr="00EB561B">
              <w:rPr>
                <w:b/>
              </w:rPr>
              <w:t>)</w:t>
            </w:r>
            <w:r w:rsidRPr="00EB561B">
              <w:rPr>
                <w:b/>
                <w:vertAlign w:val="superscript"/>
              </w:rPr>
              <w:t>1</w:t>
            </w:r>
          </w:p>
          <w:p w14:paraId="7685C370" w14:textId="5EB992A5" w:rsidR="000C7431" w:rsidRPr="00EB561B" w:rsidRDefault="000C7431" w:rsidP="00CF74AD">
            <w:pPr>
              <w:jc w:val="center"/>
            </w:pPr>
            <w:r w:rsidRPr="00EB561B">
              <w:rPr>
                <w:b/>
              </w:rPr>
              <w:t>150mg twice daily</w:t>
            </w:r>
          </w:p>
        </w:tc>
        <w:tc>
          <w:tcPr>
            <w:tcW w:w="1000" w:type="pct"/>
            <w:shd w:val="clear" w:color="auto" w:fill="F2DBDB" w:themeFill="accent2" w:themeFillTint="33"/>
            <w:vAlign w:val="center"/>
          </w:tcPr>
          <w:p w14:paraId="04A79C99" w14:textId="2F17AE3C" w:rsidR="000C7431" w:rsidRPr="00EB561B" w:rsidRDefault="000C7431" w:rsidP="00CF74AD">
            <w:pPr>
              <w:jc w:val="center"/>
            </w:pPr>
            <w:r w:rsidRPr="00EB561B">
              <w:rPr>
                <w:b/>
              </w:rPr>
              <w:t>Rivaroxaban (Xarelto</w:t>
            </w:r>
            <w:r w:rsidRPr="00EB561B">
              <w:rPr>
                <w:b/>
              </w:rPr>
              <w:sym w:font="Symbol" w:char="F0D2"/>
            </w:r>
            <w:r w:rsidRPr="00EB561B">
              <w:rPr>
                <w:rFonts w:cs="Arial"/>
              </w:rPr>
              <w:t>▼</w:t>
            </w:r>
            <w:r w:rsidRPr="00EB561B">
              <w:rPr>
                <w:b/>
              </w:rPr>
              <w:t>)</w:t>
            </w:r>
            <w:r w:rsidRPr="00EB561B">
              <w:rPr>
                <w:b/>
                <w:vertAlign w:val="superscript"/>
              </w:rPr>
              <w:t xml:space="preserve">2 </w:t>
            </w:r>
            <w:r w:rsidRPr="00EB561B">
              <w:rPr>
                <w:b/>
              </w:rPr>
              <w:t>20mg once daily</w:t>
            </w:r>
          </w:p>
        </w:tc>
        <w:tc>
          <w:tcPr>
            <w:tcW w:w="1000" w:type="pct"/>
            <w:shd w:val="clear" w:color="auto" w:fill="E5DFEC" w:themeFill="accent4" w:themeFillTint="33"/>
            <w:vAlign w:val="center"/>
          </w:tcPr>
          <w:p w14:paraId="1E81ED80" w14:textId="7261A723" w:rsidR="000C7431" w:rsidRPr="00EB561B" w:rsidRDefault="000C7431" w:rsidP="00CF74AD">
            <w:pPr>
              <w:jc w:val="center"/>
              <w:rPr>
                <w:b/>
                <w:vertAlign w:val="superscript"/>
              </w:rPr>
            </w:pPr>
            <w:r w:rsidRPr="00EB561B">
              <w:rPr>
                <w:b/>
              </w:rPr>
              <w:t>Apixaban (Eliquis</w:t>
            </w:r>
            <w:r w:rsidRPr="00EB561B">
              <w:rPr>
                <w:b/>
              </w:rPr>
              <w:sym w:font="Symbol" w:char="F0D2"/>
            </w:r>
            <w:r w:rsidRPr="00EB561B">
              <w:rPr>
                <w:b/>
              </w:rPr>
              <w:t>)</w:t>
            </w:r>
            <w:r w:rsidRPr="00EB561B">
              <w:rPr>
                <w:b/>
                <w:vertAlign w:val="superscript"/>
              </w:rPr>
              <w:t>3</w:t>
            </w:r>
          </w:p>
          <w:p w14:paraId="2D2F4544" w14:textId="0E4F97DF" w:rsidR="000C7431" w:rsidRPr="00EB561B" w:rsidRDefault="000C7431" w:rsidP="00CF74AD">
            <w:pPr>
              <w:jc w:val="center"/>
            </w:pPr>
            <w:r w:rsidRPr="00EB561B">
              <w:rPr>
                <w:b/>
              </w:rPr>
              <w:t>5mg twice daily</w:t>
            </w:r>
          </w:p>
        </w:tc>
        <w:tc>
          <w:tcPr>
            <w:tcW w:w="1000" w:type="pct"/>
            <w:shd w:val="clear" w:color="auto" w:fill="FDE9D9" w:themeFill="accent6" w:themeFillTint="33"/>
            <w:vAlign w:val="center"/>
          </w:tcPr>
          <w:p w14:paraId="68538A83" w14:textId="14C19D32" w:rsidR="000C7431" w:rsidRPr="00EB561B" w:rsidRDefault="000C7431" w:rsidP="00CF74AD">
            <w:pPr>
              <w:jc w:val="center"/>
              <w:rPr>
                <w:b/>
                <w:vertAlign w:val="superscript"/>
              </w:rPr>
            </w:pPr>
            <w:r w:rsidRPr="00EB561B">
              <w:rPr>
                <w:b/>
              </w:rPr>
              <w:t>Edoxaban (Lixiana</w:t>
            </w:r>
            <w:r w:rsidRPr="00EB561B">
              <w:rPr>
                <w:b/>
              </w:rPr>
              <w:sym w:font="Symbol" w:char="F0D2"/>
            </w:r>
            <w:r w:rsidRPr="00EB561B">
              <w:rPr>
                <w:b/>
              </w:rPr>
              <w:t>)</w:t>
            </w:r>
            <w:r w:rsidRPr="00EB561B">
              <w:rPr>
                <w:b/>
                <w:vertAlign w:val="superscript"/>
              </w:rPr>
              <w:t>4</w:t>
            </w:r>
          </w:p>
          <w:p w14:paraId="09811793" w14:textId="2C3E65D0" w:rsidR="000C7431" w:rsidRPr="00EB561B" w:rsidRDefault="000C7431" w:rsidP="00CF74AD">
            <w:pPr>
              <w:jc w:val="center"/>
            </w:pPr>
            <w:r w:rsidRPr="00EB561B">
              <w:rPr>
                <w:b/>
              </w:rPr>
              <w:t>60mg once daily</w:t>
            </w:r>
          </w:p>
        </w:tc>
        <w:tc>
          <w:tcPr>
            <w:tcW w:w="1000" w:type="pct"/>
            <w:shd w:val="clear" w:color="auto" w:fill="DAEEF3" w:themeFill="accent5" w:themeFillTint="33"/>
            <w:vAlign w:val="center"/>
          </w:tcPr>
          <w:p w14:paraId="796FDB5C" w14:textId="35D3FC09" w:rsidR="000C7431" w:rsidRPr="00EB561B" w:rsidRDefault="002D6351" w:rsidP="00CF74AD">
            <w:pPr>
              <w:jc w:val="center"/>
              <w:rPr>
                <w:b/>
                <w:vertAlign w:val="superscript"/>
              </w:rPr>
            </w:pPr>
            <w:r w:rsidRPr="00EB561B">
              <w:rPr>
                <w:b/>
              </w:rPr>
              <w:t>Warfarin</w:t>
            </w:r>
            <w:r w:rsidRPr="00EB561B">
              <w:rPr>
                <w:b/>
                <w:vertAlign w:val="superscript"/>
              </w:rPr>
              <w:t>5</w:t>
            </w:r>
            <w:r w:rsidR="008D6C7C" w:rsidRPr="00EB561B">
              <w:rPr>
                <w:b/>
                <w:vertAlign w:val="superscript"/>
              </w:rPr>
              <w:t>,6</w:t>
            </w:r>
          </w:p>
          <w:p w14:paraId="071DA878" w14:textId="4995C732" w:rsidR="006877A8" w:rsidRPr="00EB561B" w:rsidRDefault="006877A8" w:rsidP="00CF74AD">
            <w:pPr>
              <w:jc w:val="center"/>
              <w:rPr>
                <w:b/>
              </w:rPr>
            </w:pPr>
            <w:r w:rsidRPr="00EB561B">
              <w:rPr>
                <w:b/>
              </w:rPr>
              <w:t>3mg daily</w:t>
            </w:r>
          </w:p>
        </w:tc>
      </w:tr>
      <w:tr w:rsidR="000C7431" w:rsidRPr="00EB561B" w14:paraId="17C0A061" w14:textId="17D4C65C" w:rsidTr="00CF74AD">
        <w:trPr>
          <w:cantSplit/>
          <w:trHeight w:val="850"/>
        </w:trPr>
        <w:tc>
          <w:tcPr>
            <w:tcW w:w="1000" w:type="pct"/>
            <w:shd w:val="clear" w:color="auto" w:fill="auto"/>
            <w:vAlign w:val="center"/>
          </w:tcPr>
          <w:p w14:paraId="0CA9DFCF" w14:textId="24C09989" w:rsidR="000C7431" w:rsidRPr="00EB561B" w:rsidRDefault="000C7431" w:rsidP="00CF74AD">
            <w:pPr>
              <w:jc w:val="center"/>
            </w:pPr>
            <w:r w:rsidRPr="00EB561B">
              <w:t>£47.60</w:t>
            </w:r>
          </w:p>
        </w:tc>
        <w:tc>
          <w:tcPr>
            <w:tcW w:w="1000" w:type="pct"/>
            <w:shd w:val="clear" w:color="auto" w:fill="auto"/>
            <w:vAlign w:val="center"/>
          </w:tcPr>
          <w:p w14:paraId="6BFBC291" w14:textId="109F3013" w:rsidR="000C7431" w:rsidRPr="00EB561B" w:rsidRDefault="000C7431" w:rsidP="00CF74AD">
            <w:pPr>
              <w:jc w:val="center"/>
            </w:pPr>
            <w:r w:rsidRPr="00EB561B">
              <w:t>£50.40</w:t>
            </w:r>
          </w:p>
        </w:tc>
        <w:tc>
          <w:tcPr>
            <w:tcW w:w="1000" w:type="pct"/>
            <w:shd w:val="clear" w:color="auto" w:fill="auto"/>
            <w:vAlign w:val="center"/>
          </w:tcPr>
          <w:p w14:paraId="3464219F" w14:textId="20D393F9" w:rsidR="000C7431" w:rsidRPr="00EB561B" w:rsidRDefault="000C7431" w:rsidP="00CF74AD">
            <w:pPr>
              <w:jc w:val="center"/>
            </w:pPr>
            <w:r w:rsidRPr="00EB561B">
              <w:t>£53.20</w:t>
            </w:r>
          </w:p>
        </w:tc>
        <w:tc>
          <w:tcPr>
            <w:tcW w:w="1000" w:type="pct"/>
            <w:shd w:val="clear" w:color="auto" w:fill="auto"/>
            <w:vAlign w:val="center"/>
          </w:tcPr>
          <w:p w14:paraId="006AAECD" w14:textId="6B1D012A" w:rsidR="000C7431" w:rsidRPr="00EB561B" w:rsidRDefault="000C7431" w:rsidP="00CF74AD">
            <w:pPr>
              <w:jc w:val="center"/>
            </w:pPr>
            <w:r w:rsidRPr="00EB561B">
              <w:t>£49.00</w:t>
            </w:r>
          </w:p>
        </w:tc>
        <w:tc>
          <w:tcPr>
            <w:tcW w:w="1000" w:type="pct"/>
            <w:vAlign w:val="center"/>
          </w:tcPr>
          <w:p w14:paraId="58CA64D4" w14:textId="3A82C0DB" w:rsidR="00CB181F" w:rsidRPr="00EB561B" w:rsidRDefault="0080272F" w:rsidP="00CF74AD">
            <w:pPr>
              <w:jc w:val="center"/>
            </w:pPr>
            <w:r w:rsidRPr="00EB561B">
              <w:t>£0.7</w:t>
            </w:r>
            <w:r w:rsidR="006877A8" w:rsidRPr="00EB561B">
              <w:t>3</w:t>
            </w:r>
            <w:r w:rsidR="00E253CD" w:rsidRPr="00EB561B">
              <w:t xml:space="preserve"> + monitoring</w:t>
            </w:r>
          </w:p>
        </w:tc>
      </w:tr>
      <w:tr w:rsidR="00D85B3C" w:rsidRPr="00EB561B" w14:paraId="727FC989" w14:textId="77777777" w:rsidTr="00CF74AD">
        <w:trPr>
          <w:cantSplit/>
          <w:trHeight w:val="850"/>
        </w:trPr>
        <w:tc>
          <w:tcPr>
            <w:tcW w:w="1000" w:type="pct"/>
            <w:shd w:val="clear" w:color="auto" w:fill="auto"/>
            <w:vAlign w:val="center"/>
          </w:tcPr>
          <w:p w14:paraId="0F925A62" w14:textId="3D8DC2A1" w:rsidR="00D85B3C" w:rsidRPr="00EB561B" w:rsidRDefault="00D85B3C" w:rsidP="00CF74AD">
            <w:pPr>
              <w:jc w:val="center"/>
            </w:pPr>
            <w:r w:rsidRPr="00EB561B">
              <w:t>£47.60</w:t>
            </w:r>
          </w:p>
        </w:tc>
        <w:tc>
          <w:tcPr>
            <w:tcW w:w="1000" w:type="pct"/>
            <w:shd w:val="clear" w:color="auto" w:fill="auto"/>
            <w:vAlign w:val="center"/>
          </w:tcPr>
          <w:p w14:paraId="7CA21094" w14:textId="7F3ADA91" w:rsidR="00D85B3C" w:rsidRPr="00EB561B" w:rsidRDefault="00D85B3C" w:rsidP="00CF74AD">
            <w:pPr>
              <w:jc w:val="center"/>
              <w:rPr>
                <w:highlight w:val="yellow"/>
              </w:rPr>
            </w:pPr>
            <w:r w:rsidRPr="00EB561B">
              <w:rPr>
                <w:highlight w:val="yellow"/>
              </w:rPr>
              <w:t>£Nationally commissioned cost</w:t>
            </w:r>
          </w:p>
        </w:tc>
        <w:tc>
          <w:tcPr>
            <w:tcW w:w="1000" w:type="pct"/>
            <w:shd w:val="clear" w:color="auto" w:fill="auto"/>
            <w:vAlign w:val="center"/>
          </w:tcPr>
          <w:p w14:paraId="7062F9B2" w14:textId="0FDFF580" w:rsidR="00D85B3C" w:rsidRPr="00EB561B" w:rsidRDefault="00D85B3C" w:rsidP="00CF74AD">
            <w:pPr>
              <w:jc w:val="center"/>
              <w:rPr>
                <w:highlight w:val="yellow"/>
              </w:rPr>
            </w:pPr>
            <w:r w:rsidRPr="00EB561B">
              <w:rPr>
                <w:highlight w:val="yellow"/>
              </w:rPr>
              <w:t>£Nationally commissioned cost</w:t>
            </w:r>
          </w:p>
        </w:tc>
        <w:tc>
          <w:tcPr>
            <w:tcW w:w="1000" w:type="pct"/>
            <w:shd w:val="clear" w:color="auto" w:fill="auto"/>
            <w:vAlign w:val="center"/>
          </w:tcPr>
          <w:p w14:paraId="20120C4A" w14:textId="1DD9D6B1" w:rsidR="00D85B3C" w:rsidRPr="00EB561B" w:rsidRDefault="00D85B3C" w:rsidP="00CF74AD">
            <w:pPr>
              <w:jc w:val="center"/>
              <w:rPr>
                <w:highlight w:val="yellow"/>
              </w:rPr>
            </w:pPr>
            <w:r w:rsidRPr="00EB561B">
              <w:rPr>
                <w:highlight w:val="yellow"/>
              </w:rPr>
              <w:t>£Nationally commissioned cost</w:t>
            </w:r>
          </w:p>
        </w:tc>
        <w:tc>
          <w:tcPr>
            <w:tcW w:w="1000" w:type="pct"/>
            <w:vAlign w:val="center"/>
          </w:tcPr>
          <w:p w14:paraId="6F6E38A3" w14:textId="1DC7D8CC" w:rsidR="00D85B3C" w:rsidRPr="00EB561B" w:rsidRDefault="00D85B3C" w:rsidP="00CF74AD">
            <w:pPr>
              <w:jc w:val="center"/>
              <w:rPr>
                <w:highlight w:val="yellow"/>
              </w:rPr>
            </w:pPr>
            <w:r w:rsidRPr="00EB561B">
              <w:t>£0.73 + monitoring</w:t>
            </w:r>
          </w:p>
        </w:tc>
      </w:tr>
    </w:tbl>
    <w:p w14:paraId="0EB2F7E2" w14:textId="77777777" w:rsidR="00527C91" w:rsidRPr="00EB561B" w:rsidRDefault="00527C91" w:rsidP="00527C91">
      <w:pPr>
        <w:rPr>
          <w:rFonts w:asciiTheme="majorHAnsi" w:hAnsiTheme="majorHAnsi" w:cstheme="majorHAnsi"/>
          <w:bCs/>
          <w:szCs w:val="22"/>
        </w:rPr>
      </w:pPr>
    </w:p>
    <w:p w14:paraId="75722243" w14:textId="18148923" w:rsidR="00B56A72" w:rsidRDefault="00B56A72" w:rsidP="00413C8F">
      <w:pPr>
        <w:pStyle w:val="Heading2"/>
      </w:pPr>
      <w:bookmarkStart w:id="125" w:name="_Toc104910471"/>
      <w:bookmarkStart w:id="126" w:name="_Toc106708918"/>
      <w:bookmarkStart w:id="127" w:name="_Hlk106705924"/>
      <w:r w:rsidRPr="00367CC8">
        <w:t>References</w:t>
      </w:r>
      <w:bookmarkEnd w:id="125"/>
      <w:bookmarkEnd w:id="126"/>
    </w:p>
    <w:p w14:paraId="09BB60BC" w14:textId="77777777" w:rsidR="00377FA5" w:rsidRPr="00413C8F" w:rsidRDefault="00377FA5" w:rsidP="00377FA5">
      <w:pPr>
        <w:pStyle w:val="ListParagraph"/>
        <w:numPr>
          <w:ilvl w:val="0"/>
          <w:numId w:val="29"/>
        </w:numPr>
        <w:contextualSpacing w:val="0"/>
        <w:rPr>
          <w:u w:val="single"/>
        </w:rPr>
      </w:pPr>
      <w:r w:rsidRPr="00B56A72">
        <w:t xml:space="preserve">Summary of Product Characteristics - Pradaxa 150mg hard capsules, Boehringer Ingelheim Limited. Date of revision of the text 01/01/2021. </w:t>
      </w:r>
      <w:hyperlink r:id="rId16" w:history="1">
        <w:r w:rsidRPr="007D4F98">
          <w:rPr>
            <w:rStyle w:val="Hyperlink"/>
            <w:rFonts w:cs="Arial"/>
            <w:szCs w:val="22"/>
          </w:rPr>
          <w:t>https://www.medicines.org.uk/emc/product/4703</w:t>
        </w:r>
      </w:hyperlink>
      <w:r>
        <w:t xml:space="preserve"> </w:t>
      </w:r>
    </w:p>
    <w:p w14:paraId="747AD054" w14:textId="77777777" w:rsidR="00377FA5" w:rsidRPr="00413C8F" w:rsidRDefault="00377FA5" w:rsidP="00377FA5">
      <w:pPr>
        <w:pStyle w:val="ListParagraph"/>
        <w:numPr>
          <w:ilvl w:val="0"/>
          <w:numId w:val="29"/>
        </w:numPr>
        <w:contextualSpacing w:val="0"/>
        <w:rPr>
          <w:u w:val="single"/>
        </w:rPr>
      </w:pPr>
      <w:r w:rsidRPr="00B56A72">
        <w:t>Summary of Product Characteristics – Xarelto 15mg film-coated tablets, Bayer plc. Date of revision of the text September 2021</w:t>
      </w:r>
      <w:r>
        <w:t>.</w:t>
      </w:r>
      <w:r w:rsidRPr="00B56A72">
        <w:t xml:space="preserve"> </w:t>
      </w:r>
      <w:hyperlink r:id="rId17" w:history="1">
        <w:r w:rsidRPr="00413C8F">
          <w:rPr>
            <w:color w:val="0563C1"/>
            <w:u w:val="single"/>
          </w:rPr>
          <w:t>https://www.medicines.org.uk/emc/product/2794</w:t>
        </w:r>
      </w:hyperlink>
      <w:r w:rsidRPr="00413C8F">
        <w:rPr>
          <w:u w:val="single"/>
        </w:rPr>
        <w:t xml:space="preserve"> </w:t>
      </w:r>
    </w:p>
    <w:p w14:paraId="26972406" w14:textId="77777777" w:rsidR="00377FA5" w:rsidRPr="00413C8F" w:rsidRDefault="00377FA5" w:rsidP="00377FA5">
      <w:pPr>
        <w:pStyle w:val="ListParagraph"/>
        <w:numPr>
          <w:ilvl w:val="0"/>
          <w:numId w:val="29"/>
        </w:numPr>
        <w:contextualSpacing w:val="0"/>
        <w:rPr>
          <w:u w:val="single"/>
        </w:rPr>
      </w:pPr>
      <w:r w:rsidRPr="00B56A72">
        <w:t xml:space="preserve">Summary of Product Characteristics – Eliquis 2.5mg film-coated tablets, Bristol-Myers Squibb-Pfizer. Date of revision of the text 16/02/22. </w:t>
      </w:r>
      <w:hyperlink r:id="rId18" w:history="1">
        <w:r w:rsidRPr="00413C8F">
          <w:rPr>
            <w:color w:val="0563C1"/>
            <w:u w:val="single"/>
          </w:rPr>
          <w:t>https://www.medicines.org.uk/emc/product/4756</w:t>
        </w:r>
      </w:hyperlink>
      <w:r w:rsidRPr="00413C8F">
        <w:rPr>
          <w:u w:val="single"/>
        </w:rPr>
        <w:t xml:space="preserve"> </w:t>
      </w:r>
    </w:p>
    <w:p w14:paraId="0F4DB740" w14:textId="77777777" w:rsidR="00377FA5" w:rsidRPr="00413C8F" w:rsidRDefault="00377FA5" w:rsidP="00377FA5">
      <w:pPr>
        <w:pStyle w:val="ListParagraph"/>
        <w:numPr>
          <w:ilvl w:val="0"/>
          <w:numId w:val="29"/>
        </w:numPr>
        <w:contextualSpacing w:val="0"/>
        <w:rPr>
          <w:u w:val="single"/>
        </w:rPr>
      </w:pPr>
      <w:r w:rsidRPr="00B56A72">
        <w:t>Summary of Product Characteristics – Lixiana 30mg film-coated tablets, Daiichi Sankyo UK Limited.</w:t>
      </w:r>
      <w:r>
        <w:t xml:space="preserve"> </w:t>
      </w:r>
      <w:r w:rsidRPr="00B56A72">
        <w:t>Date of revision of the text 6/11/20.</w:t>
      </w:r>
      <w:r>
        <w:t xml:space="preserve"> </w:t>
      </w:r>
      <w:hyperlink r:id="rId19" w:history="1">
        <w:r w:rsidRPr="00413C8F">
          <w:rPr>
            <w:color w:val="0563C1"/>
            <w:u w:val="single"/>
          </w:rPr>
          <w:t>https://www.medicines.org.uk/emc/product/6906</w:t>
        </w:r>
      </w:hyperlink>
      <w:r w:rsidRPr="00413C8F">
        <w:rPr>
          <w:u w:val="single"/>
        </w:rPr>
        <w:t xml:space="preserve"> </w:t>
      </w:r>
    </w:p>
    <w:p w14:paraId="337BC727" w14:textId="77777777" w:rsidR="00377FA5" w:rsidRPr="00413C8F" w:rsidRDefault="00377FA5" w:rsidP="00377FA5">
      <w:pPr>
        <w:pStyle w:val="ListParagraph"/>
        <w:numPr>
          <w:ilvl w:val="0"/>
          <w:numId w:val="29"/>
        </w:numPr>
        <w:contextualSpacing w:val="0"/>
        <w:rPr>
          <w:u w:val="single"/>
        </w:rPr>
      </w:pPr>
      <w:r w:rsidRPr="00B56A72">
        <w:t xml:space="preserve">Summary of Product Characteristics – Warfarin 0.5mg tablets. Ranbaxy (UK) Limited a Sun Pharmaceutical Company. Date of revision of the text 07/12/21. </w:t>
      </w:r>
      <w:hyperlink r:id="rId20" w:history="1">
        <w:r w:rsidRPr="00413C8F">
          <w:rPr>
            <w:color w:val="0563C1"/>
            <w:u w:val="single"/>
          </w:rPr>
          <w:t>https://www.medicines.org.uk/emc/product/3064</w:t>
        </w:r>
      </w:hyperlink>
      <w:r w:rsidRPr="00B56A72">
        <w:t xml:space="preserve"> </w:t>
      </w:r>
    </w:p>
    <w:p w14:paraId="2E93DFC9" w14:textId="77777777" w:rsidR="00377FA5" w:rsidRPr="00413C8F" w:rsidRDefault="00377FA5" w:rsidP="00377FA5">
      <w:pPr>
        <w:pStyle w:val="ListParagraph"/>
        <w:numPr>
          <w:ilvl w:val="0"/>
          <w:numId w:val="29"/>
        </w:numPr>
        <w:contextualSpacing w:val="0"/>
        <w:rPr>
          <w:lang w:val="en"/>
        </w:rPr>
      </w:pPr>
      <w:r w:rsidRPr="00B56A72">
        <w:t xml:space="preserve">Joint Formulary Committee. British National Formulary (online) London: BMJ Group and Pharmaceutical Press. </w:t>
      </w:r>
      <w:hyperlink r:id="rId21" w:history="1">
        <w:r w:rsidRPr="00413C8F">
          <w:rPr>
            <w:color w:val="0563C1"/>
            <w:u w:val="single"/>
          </w:rPr>
          <w:t>https://www.medicinescomplete.com/</w:t>
        </w:r>
      </w:hyperlink>
      <w:r w:rsidRPr="00B56A72">
        <w:t xml:space="preserve"> Accessed February 2022.</w:t>
      </w:r>
    </w:p>
    <w:p w14:paraId="79FCF9D5" w14:textId="77777777" w:rsidR="00377FA5" w:rsidRPr="00B56A72" w:rsidRDefault="00377FA5" w:rsidP="00377FA5">
      <w:pPr>
        <w:pStyle w:val="ListParagraph"/>
        <w:numPr>
          <w:ilvl w:val="0"/>
          <w:numId w:val="29"/>
        </w:numPr>
        <w:contextualSpacing w:val="0"/>
      </w:pPr>
      <w:r w:rsidRPr="00B56A72">
        <w:t>NICE. Dabigatran etexilate for the prevention of stroke and systemic embolism in atrial fibrillation.</w:t>
      </w:r>
      <w:r>
        <w:t xml:space="preserve"> </w:t>
      </w:r>
      <w:r w:rsidRPr="00B56A72">
        <w:t xml:space="preserve">Technology Appraisal guidance [TA249]. Published March 2012, last updated July 2021. </w:t>
      </w:r>
      <w:hyperlink r:id="rId22" w:history="1">
        <w:r w:rsidRPr="00413C8F">
          <w:rPr>
            <w:color w:val="0563C1"/>
            <w:u w:val="single"/>
          </w:rPr>
          <w:t>www.nice.org.uk/guidance/ta249</w:t>
        </w:r>
      </w:hyperlink>
      <w:r w:rsidRPr="00413C8F">
        <w:rPr>
          <w:color w:val="0563C1"/>
          <w:u w:val="single"/>
        </w:rPr>
        <w:t xml:space="preserve"> </w:t>
      </w:r>
    </w:p>
    <w:p w14:paraId="79095C15" w14:textId="77777777" w:rsidR="00377FA5" w:rsidRPr="00B56A72" w:rsidRDefault="00377FA5" w:rsidP="00377FA5">
      <w:pPr>
        <w:pStyle w:val="ListParagraph"/>
        <w:numPr>
          <w:ilvl w:val="0"/>
          <w:numId w:val="29"/>
        </w:numPr>
        <w:contextualSpacing w:val="0"/>
      </w:pPr>
      <w:r w:rsidRPr="00B56A72">
        <w:t xml:space="preserve">NICE. Rivaroxaban for the prevention of stroke and systemic embolism in people with atrial fibrillation. Technology appraisal guidance </w:t>
      </w:r>
      <w:r>
        <w:t>[</w:t>
      </w:r>
      <w:r w:rsidRPr="00B56A72">
        <w:t xml:space="preserve">TA256]. Published May 2012, last updated July 2021. </w:t>
      </w:r>
      <w:hyperlink r:id="rId23" w:history="1">
        <w:r w:rsidRPr="00413C8F">
          <w:rPr>
            <w:color w:val="0563C1"/>
            <w:u w:val="single"/>
          </w:rPr>
          <w:t>www.nice.org.uk/guidance/ta256</w:t>
        </w:r>
      </w:hyperlink>
      <w:r w:rsidRPr="00413C8F">
        <w:rPr>
          <w:color w:val="0563C1"/>
          <w:u w:val="single"/>
        </w:rPr>
        <w:t xml:space="preserve"> </w:t>
      </w:r>
    </w:p>
    <w:p w14:paraId="771E8DA2" w14:textId="77777777" w:rsidR="00377FA5" w:rsidRPr="00B56A72" w:rsidRDefault="00377FA5" w:rsidP="00377FA5">
      <w:pPr>
        <w:pStyle w:val="ListParagraph"/>
        <w:numPr>
          <w:ilvl w:val="0"/>
          <w:numId w:val="29"/>
        </w:numPr>
        <w:contextualSpacing w:val="0"/>
      </w:pPr>
      <w:r w:rsidRPr="00B56A72">
        <w:t>NICE. Apixaban for preventing stroke and systemic embolism in people with non-valvular atrial fibrillation. Technology appraisal guidance [TA275]. Published Feb 2013, last updated July 2021.</w:t>
      </w:r>
      <w:r>
        <w:t xml:space="preserve"> </w:t>
      </w:r>
      <w:hyperlink r:id="rId24" w:history="1">
        <w:r w:rsidRPr="00413C8F">
          <w:rPr>
            <w:color w:val="0563C1"/>
            <w:u w:val="single"/>
          </w:rPr>
          <w:t>www.nice.org.uk/guidance/ta275</w:t>
        </w:r>
      </w:hyperlink>
      <w:r w:rsidRPr="00413C8F">
        <w:rPr>
          <w:color w:val="0563C1"/>
          <w:u w:val="single"/>
        </w:rPr>
        <w:t xml:space="preserve"> </w:t>
      </w:r>
      <w:r>
        <w:t xml:space="preserve"> </w:t>
      </w:r>
    </w:p>
    <w:p w14:paraId="6A2C715E" w14:textId="77777777" w:rsidR="00377FA5" w:rsidRPr="00B56A72" w:rsidRDefault="00377FA5" w:rsidP="00377FA5">
      <w:pPr>
        <w:pStyle w:val="ListParagraph"/>
        <w:numPr>
          <w:ilvl w:val="0"/>
          <w:numId w:val="29"/>
        </w:numPr>
        <w:contextualSpacing w:val="0"/>
      </w:pPr>
      <w:r w:rsidRPr="00B56A72">
        <w:t xml:space="preserve">NICE. Edoxaban for preventing stroke and systemic embolism in people with non-valvular atrial fibrillation. Technology appraisal guidance [TA355]. Published Sep 2015, last updated July 2021. </w:t>
      </w:r>
      <w:hyperlink r:id="rId25" w:history="1">
        <w:r w:rsidRPr="00413C8F">
          <w:rPr>
            <w:color w:val="0563C1"/>
            <w:u w:val="single"/>
          </w:rPr>
          <w:t>www.nice.org.uk/guidance/ta355</w:t>
        </w:r>
      </w:hyperlink>
      <w:r w:rsidRPr="00413C8F">
        <w:rPr>
          <w:color w:val="0563C1"/>
          <w:u w:val="single"/>
        </w:rPr>
        <w:t xml:space="preserve"> </w:t>
      </w:r>
      <w:r>
        <w:t xml:space="preserve"> </w:t>
      </w:r>
    </w:p>
    <w:p w14:paraId="4606042E" w14:textId="77777777" w:rsidR="00377FA5" w:rsidRPr="00B56A72" w:rsidRDefault="00377FA5" w:rsidP="00377FA5">
      <w:pPr>
        <w:pStyle w:val="ListParagraph"/>
        <w:numPr>
          <w:ilvl w:val="0"/>
          <w:numId w:val="29"/>
        </w:numPr>
        <w:contextualSpacing w:val="0"/>
      </w:pPr>
      <w:r w:rsidRPr="00B56A72">
        <w:t xml:space="preserve">NICE. Dabigatran etexilate for the treatment and secondary prevention of deep vein thrombosis and/or pulmonary embolism. Technology appraisal guidance [TA327]. Published December 2014. </w:t>
      </w:r>
      <w:hyperlink r:id="rId26" w:history="1">
        <w:r w:rsidRPr="00413C8F">
          <w:rPr>
            <w:color w:val="0563C1"/>
            <w:u w:val="single"/>
          </w:rPr>
          <w:t>www.nice.org.uk/guidance/ta327</w:t>
        </w:r>
      </w:hyperlink>
      <w:r w:rsidRPr="00413C8F">
        <w:rPr>
          <w:color w:val="0563C1"/>
          <w:u w:val="single"/>
        </w:rPr>
        <w:t xml:space="preserve"> </w:t>
      </w:r>
      <w:r w:rsidRPr="00B56A72">
        <w:t xml:space="preserve"> </w:t>
      </w:r>
    </w:p>
    <w:p w14:paraId="6FDB3B2A" w14:textId="77777777" w:rsidR="00377FA5" w:rsidRPr="00B56A72" w:rsidRDefault="00377FA5" w:rsidP="00377FA5">
      <w:pPr>
        <w:pStyle w:val="ListParagraph"/>
        <w:numPr>
          <w:ilvl w:val="0"/>
          <w:numId w:val="29"/>
        </w:numPr>
        <w:contextualSpacing w:val="0"/>
      </w:pPr>
      <w:r w:rsidRPr="00B56A72">
        <w:t xml:space="preserve">NICE. Rivaroxaban for the treatment of deep vein thrombosis and prevention of recurrent deep vein thrombosis and pulmonary embolism. Technology appraisal guidance [TA261]. Published July 2012. </w:t>
      </w:r>
      <w:hyperlink r:id="rId27" w:history="1">
        <w:r w:rsidRPr="00413C8F">
          <w:rPr>
            <w:color w:val="0563C1"/>
            <w:u w:val="single"/>
          </w:rPr>
          <w:t>www.nice.org.uk/guidance/ta261</w:t>
        </w:r>
      </w:hyperlink>
      <w:r w:rsidRPr="00413C8F">
        <w:rPr>
          <w:color w:val="0563C1"/>
          <w:u w:val="single"/>
        </w:rPr>
        <w:t xml:space="preserve"> </w:t>
      </w:r>
      <w:r w:rsidRPr="00B56A72">
        <w:t xml:space="preserve"> </w:t>
      </w:r>
    </w:p>
    <w:p w14:paraId="4879AE06" w14:textId="77777777" w:rsidR="00377FA5" w:rsidRPr="00B56A72" w:rsidRDefault="00377FA5" w:rsidP="00377FA5">
      <w:pPr>
        <w:pStyle w:val="ListParagraph"/>
        <w:numPr>
          <w:ilvl w:val="0"/>
          <w:numId w:val="29"/>
        </w:numPr>
        <w:contextualSpacing w:val="0"/>
      </w:pPr>
      <w:r w:rsidRPr="00B56A72">
        <w:t xml:space="preserve">NICE. Rivaroxaban for treating pulmonary embolism and preventing recurrent venous thromboembolism. Technology appraisal guidance [TA287]. Published June 2013. </w:t>
      </w:r>
      <w:hyperlink r:id="rId28" w:history="1">
        <w:r w:rsidRPr="00413C8F">
          <w:rPr>
            <w:color w:val="0563C1"/>
            <w:u w:val="single"/>
          </w:rPr>
          <w:t>www.nice.org.uk/guidance/ta287</w:t>
        </w:r>
      </w:hyperlink>
      <w:r w:rsidRPr="00413C8F">
        <w:rPr>
          <w:color w:val="0563C1"/>
          <w:u w:val="single"/>
        </w:rPr>
        <w:t xml:space="preserve"> </w:t>
      </w:r>
      <w:r w:rsidRPr="00B56A72">
        <w:t xml:space="preserve"> </w:t>
      </w:r>
    </w:p>
    <w:p w14:paraId="7F15E814" w14:textId="77777777" w:rsidR="00377FA5" w:rsidRPr="00B56A72" w:rsidRDefault="00377FA5" w:rsidP="00377FA5">
      <w:pPr>
        <w:pStyle w:val="ListParagraph"/>
        <w:numPr>
          <w:ilvl w:val="0"/>
          <w:numId w:val="29"/>
        </w:numPr>
        <w:contextualSpacing w:val="0"/>
      </w:pPr>
      <w:r w:rsidRPr="00B56A72">
        <w:t>NICE. Apixaban for the treatment and secondary prevention of deep vein thrombosis and/or pulmonary embolism. Technology appraisal guidance [TA341]. Published June 2015.</w:t>
      </w:r>
      <w:r>
        <w:t xml:space="preserve"> </w:t>
      </w:r>
      <w:hyperlink r:id="rId29" w:history="1">
        <w:r w:rsidRPr="00413C8F">
          <w:rPr>
            <w:color w:val="0563C1"/>
            <w:u w:val="single"/>
          </w:rPr>
          <w:t>https://www.nice.org.uk/guidance/ta341</w:t>
        </w:r>
      </w:hyperlink>
      <w:r w:rsidRPr="00413C8F">
        <w:rPr>
          <w:color w:val="0563C1"/>
          <w:u w:val="single"/>
        </w:rPr>
        <w:t xml:space="preserve"> </w:t>
      </w:r>
      <w:r w:rsidRPr="00B56A72">
        <w:t xml:space="preserve"> </w:t>
      </w:r>
    </w:p>
    <w:p w14:paraId="0675478C" w14:textId="77777777" w:rsidR="00377FA5" w:rsidRPr="00B56A72" w:rsidRDefault="00377FA5" w:rsidP="00377FA5">
      <w:pPr>
        <w:pStyle w:val="ListParagraph"/>
        <w:numPr>
          <w:ilvl w:val="0"/>
          <w:numId w:val="29"/>
        </w:numPr>
        <w:contextualSpacing w:val="0"/>
      </w:pPr>
      <w:r w:rsidRPr="00B56A72">
        <w:t xml:space="preserve">NICE. Edoxaban for treating and for preventing deep vein thrombosis and pulmonary embolism. Technology appraisal guidance [TA354]. Published August 2015. </w:t>
      </w:r>
      <w:hyperlink r:id="rId30" w:history="1">
        <w:r w:rsidRPr="00413C8F">
          <w:rPr>
            <w:color w:val="0563C1"/>
            <w:u w:val="single"/>
          </w:rPr>
          <w:t>www.nice.org.uk/guidance/ta354</w:t>
        </w:r>
      </w:hyperlink>
      <w:r w:rsidRPr="00413C8F">
        <w:rPr>
          <w:color w:val="0563C1"/>
          <w:u w:val="single"/>
        </w:rPr>
        <w:t xml:space="preserve"> </w:t>
      </w:r>
      <w:r w:rsidRPr="00B56A72">
        <w:t xml:space="preserve"> </w:t>
      </w:r>
    </w:p>
    <w:p w14:paraId="5C467823" w14:textId="77777777" w:rsidR="00377FA5" w:rsidRPr="00B56A72" w:rsidRDefault="00377FA5" w:rsidP="00377FA5">
      <w:pPr>
        <w:pStyle w:val="ListParagraph"/>
        <w:numPr>
          <w:ilvl w:val="0"/>
          <w:numId w:val="29"/>
        </w:numPr>
        <w:contextualSpacing w:val="0"/>
      </w:pPr>
      <w:r w:rsidRPr="00B56A72">
        <w:t xml:space="preserve">NICE. Dabigatran etexilate for the prevention of venous thromboembolism after hip or knee replacement surgery in adults. Technology appraisal guidance [TA157]. Published September 2008. </w:t>
      </w:r>
      <w:hyperlink r:id="rId31" w:history="1">
        <w:r w:rsidRPr="00413C8F">
          <w:rPr>
            <w:color w:val="0563C1"/>
            <w:u w:val="single"/>
          </w:rPr>
          <w:t>www.nice.org.uk/guidance/ta157</w:t>
        </w:r>
      </w:hyperlink>
      <w:r w:rsidRPr="00413C8F">
        <w:rPr>
          <w:color w:val="0563C1"/>
          <w:u w:val="single"/>
        </w:rPr>
        <w:t xml:space="preserve"> </w:t>
      </w:r>
      <w:r w:rsidRPr="00B56A72">
        <w:t xml:space="preserve"> </w:t>
      </w:r>
    </w:p>
    <w:p w14:paraId="167BABFC" w14:textId="77777777" w:rsidR="00377FA5" w:rsidRPr="00B56A72" w:rsidRDefault="00377FA5" w:rsidP="00377FA5">
      <w:pPr>
        <w:pStyle w:val="ListParagraph"/>
        <w:numPr>
          <w:ilvl w:val="0"/>
          <w:numId w:val="29"/>
        </w:numPr>
        <w:contextualSpacing w:val="0"/>
      </w:pPr>
      <w:r w:rsidRPr="00B56A72">
        <w:lastRenderedPageBreak/>
        <w:t xml:space="preserve">NICE. Rivaroxaban for the prevention of venous thromboembolism after total hip or total knee replacement in adults. Technology appraisal guidance [TA170]. Published April 2009. </w:t>
      </w:r>
      <w:hyperlink r:id="rId32" w:history="1">
        <w:r>
          <w:rPr>
            <w:color w:val="0563C1"/>
            <w:u w:val="single"/>
          </w:rPr>
          <w:t>www.nice.org.uk/guidance/ta170</w:t>
        </w:r>
      </w:hyperlink>
      <w:r w:rsidRPr="00413C8F">
        <w:rPr>
          <w:u w:val="single"/>
        </w:rPr>
        <w:t xml:space="preserve"> </w:t>
      </w:r>
      <w:r>
        <w:t xml:space="preserve"> </w:t>
      </w:r>
    </w:p>
    <w:p w14:paraId="2181B126" w14:textId="77777777" w:rsidR="00377FA5" w:rsidRPr="00B56A72" w:rsidRDefault="00377FA5" w:rsidP="00377FA5">
      <w:pPr>
        <w:pStyle w:val="ListParagraph"/>
        <w:numPr>
          <w:ilvl w:val="0"/>
          <w:numId w:val="29"/>
        </w:numPr>
        <w:contextualSpacing w:val="0"/>
      </w:pPr>
      <w:r w:rsidRPr="00B56A72">
        <w:t>NICE. Apixaban for the prevention of venous thromboembolism after total hip or knee replacement in adults. Technology appraisal guidance [TA245]</w:t>
      </w:r>
      <w:r>
        <w:t>. Published</w:t>
      </w:r>
      <w:r w:rsidRPr="00B56A72">
        <w:t xml:space="preserve"> January 2012. </w:t>
      </w:r>
      <w:hyperlink r:id="rId33" w:history="1">
        <w:r w:rsidRPr="00413C8F">
          <w:rPr>
            <w:color w:val="0563C1"/>
            <w:u w:val="single"/>
          </w:rPr>
          <w:t>www.nice.org.uk/guidance/ta245</w:t>
        </w:r>
      </w:hyperlink>
      <w:r w:rsidRPr="00413C8F">
        <w:rPr>
          <w:color w:val="0563C1"/>
          <w:u w:val="single"/>
        </w:rPr>
        <w:t xml:space="preserve"> </w:t>
      </w:r>
    </w:p>
    <w:p w14:paraId="0775C70A" w14:textId="77777777" w:rsidR="00377FA5" w:rsidRPr="00B56A72" w:rsidRDefault="00377FA5" w:rsidP="00377FA5">
      <w:pPr>
        <w:pStyle w:val="ListParagraph"/>
        <w:numPr>
          <w:ilvl w:val="0"/>
          <w:numId w:val="29"/>
        </w:numPr>
        <w:contextualSpacing w:val="0"/>
      </w:pPr>
      <w:r w:rsidRPr="00B56A72">
        <w:t>NICE. Rivaroxaban for preventing adverse outcomes after acute management of acute coronary syndrome</w:t>
      </w:r>
      <w:r>
        <w:t>. Technology appraisal guidance</w:t>
      </w:r>
      <w:r w:rsidRPr="00B56A72">
        <w:t xml:space="preserve"> [TA335]. Published March 2015. </w:t>
      </w:r>
      <w:hyperlink r:id="rId34" w:history="1">
        <w:r w:rsidRPr="00413C8F">
          <w:rPr>
            <w:color w:val="0563C1"/>
            <w:u w:val="single"/>
          </w:rPr>
          <w:t>https://www.nice.org.uk/guidance/ta335</w:t>
        </w:r>
      </w:hyperlink>
      <w:r>
        <w:t xml:space="preserve"> </w:t>
      </w:r>
    </w:p>
    <w:p w14:paraId="4C618201" w14:textId="77777777" w:rsidR="00377FA5" w:rsidRPr="009C1F93" w:rsidRDefault="00377FA5" w:rsidP="00377FA5">
      <w:pPr>
        <w:pStyle w:val="ListParagraph"/>
        <w:numPr>
          <w:ilvl w:val="0"/>
          <w:numId w:val="29"/>
        </w:numPr>
        <w:contextualSpacing w:val="0"/>
      </w:pPr>
      <w:r w:rsidRPr="00B56A72">
        <w:t xml:space="preserve">NICE. Rivaroxaban for preventing atherothrombotic events in people with coronary or peripheral artery disease. Technology appraisal guidance [TA607]. Published October 2019. </w:t>
      </w:r>
      <w:hyperlink r:id="rId35" w:history="1">
        <w:r w:rsidRPr="00413C8F">
          <w:rPr>
            <w:color w:val="0563C1"/>
            <w:u w:val="single"/>
          </w:rPr>
          <w:t>https://www.nice.org.uk/guidance/ta607</w:t>
        </w:r>
      </w:hyperlink>
      <w:r w:rsidRPr="00413C8F">
        <w:rPr>
          <w:color w:val="0563C1"/>
          <w:u w:val="single"/>
        </w:rPr>
        <w:t xml:space="preserve"> </w:t>
      </w:r>
    </w:p>
    <w:p w14:paraId="53C5431E" w14:textId="77777777" w:rsidR="00377FA5" w:rsidRPr="00B56A72" w:rsidRDefault="00377FA5" w:rsidP="00377FA5">
      <w:pPr>
        <w:pStyle w:val="ListParagraph"/>
        <w:numPr>
          <w:ilvl w:val="0"/>
          <w:numId w:val="29"/>
        </w:numPr>
        <w:contextualSpacing w:val="0"/>
      </w:pPr>
      <w:r>
        <w:t xml:space="preserve">Summary of Product Characteristics  </w:t>
      </w:r>
      <w:r w:rsidRPr="00B56A72">
        <w:t xml:space="preserve">– Warfarin </w:t>
      </w:r>
      <w:r>
        <w:t xml:space="preserve">Sodium 1mg/ml oral solution. Rosemont Pharmaceuticals Limited. </w:t>
      </w:r>
      <w:r w:rsidRPr="00B56A72">
        <w:t xml:space="preserve">Date of revision of the text </w:t>
      </w:r>
      <w:r>
        <w:t>25/01/2022</w:t>
      </w:r>
      <w:r w:rsidRPr="00B56A72">
        <w:t>.</w:t>
      </w:r>
      <w:r>
        <w:t xml:space="preserve"> </w:t>
      </w:r>
      <w:hyperlink r:id="rId36" w:history="1">
        <w:r w:rsidRPr="00FC36B5">
          <w:rPr>
            <w:rStyle w:val="Hyperlink"/>
          </w:rPr>
          <w:t>https://www.medicines.org.uk/emc/product/5766/smpc</w:t>
        </w:r>
      </w:hyperlink>
      <w:r>
        <w:t xml:space="preserve">  </w:t>
      </w:r>
    </w:p>
    <w:p w14:paraId="51ACBF2C" w14:textId="77777777" w:rsidR="00377FA5" w:rsidRPr="00413C8F" w:rsidRDefault="00377FA5" w:rsidP="00377FA5">
      <w:pPr>
        <w:pStyle w:val="ListParagraph"/>
        <w:numPr>
          <w:ilvl w:val="0"/>
          <w:numId w:val="29"/>
        </w:numPr>
        <w:contextualSpacing w:val="0"/>
        <w:rPr>
          <w:color w:val="0563C1"/>
          <w:u w:val="single"/>
        </w:rPr>
      </w:pPr>
      <w:r w:rsidRPr="00B56A72">
        <w:t>NICE Clinical Knowledge Summary. Anticoagulation – oral.</w:t>
      </w:r>
      <w:r>
        <w:t xml:space="preserve"> </w:t>
      </w:r>
      <w:r w:rsidRPr="00B56A72">
        <w:t>Last revised Ma</w:t>
      </w:r>
      <w:r>
        <w:t>y</w:t>
      </w:r>
      <w:r w:rsidRPr="00B56A72">
        <w:t xml:space="preserve"> 2022.</w:t>
      </w:r>
      <w:r>
        <w:t xml:space="preserve"> </w:t>
      </w:r>
      <w:hyperlink r:id="rId37" w:history="1">
        <w:r w:rsidRPr="00413C8F">
          <w:rPr>
            <w:color w:val="0563C1"/>
            <w:u w:val="single"/>
          </w:rPr>
          <w:t>https://cks.nice.org.uk/topics/anticoagulation-oral/</w:t>
        </w:r>
      </w:hyperlink>
      <w:r w:rsidRPr="00413C8F">
        <w:rPr>
          <w:color w:val="0563C1"/>
          <w:u w:val="single"/>
        </w:rPr>
        <w:t xml:space="preserve"> </w:t>
      </w:r>
    </w:p>
    <w:p w14:paraId="6B2EDCB0" w14:textId="77777777" w:rsidR="00377FA5" w:rsidRPr="00B56A72" w:rsidRDefault="00377FA5" w:rsidP="00377FA5">
      <w:pPr>
        <w:pStyle w:val="ListParagraph"/>
        <w:numPr>
          <w:ilvl w:val="0"/>
          <w:numId w:val="29"/>
        </w:numPr>
        <w:contextualSpacing w:val="0"/>
      </w:pPr>
      <w:r w:rsidRPr="00B56A72">
        <w:t xml:space="preserve">MD+CALC. Creatinine clearance (Cockcroft-Gault equation). </w:t>
      </w:r>
      <w:hyperlink r:id="rId38" w:history="1">
        <w:r w:rsidRPr="00413C8F">
          <w:rPr>
            <w:color w:val="0563C1"/>
            <w:u w:val="single"/>
          </w:rPr>
          <w:t>https://www.mdcalc.com/creatinine-clearance-cockcroft-gault-equation</w:t>
        </w:r>
      </w:hyperlink>
      <w:r w:rsidRPr="00B56A72">
        <w:t xml:space="preserve"> </w:t>
      </w:r>
    </w:p>
    <w:p w14:paraId="7FD546BE" w14:textId="77777777" w:rsidR="00377FA5" w:rsidRPr="00B56A72" w:rsidRDefault="00377FA5" w:rsidP="00377FA5">
      <w:pPr>
        <w:pStyle w:val="ListParagraph"/>
        <w:numPr>
          <w:ilvl w:val="0"/>
          <w:numId w:val="29"/>
        </w:numPr>
        <w:contextualSpacing w:val="0"/>
      </w:pPr>
      <w:r w:rsidRPr="00B56A72">
        <w:t xml:space="preserve">NICE. Atrial fibrillation: diagnosis and management. NICE guideline [NG196]. Published April 2021, last updated June 2021. </w:t>
      </w:r>
      <w:hyperlink r:id="rId39" w:history="1">
        <w:r w:rsidRPr="00413C8F">
          <w:rPr>
            <w:color w:val="0563C1"/>
            <w:u w:val="single"/>
          </w:rPr>
          <w:t>https://www.nice.org.uk/guidance/ng196</w:t>
        </w:r>
      </w:hyperlink>
      <w:r w:rsidRPr="00413C8F">
        <w:rPr>
          <w:color w:val="0563C1"/>
          <w:u w:val="single"/>
        </w:rPr>
        <w:t xml:space="preserve"> </w:t>
      </w:r>
    </w:p>
    <w:p w14:paraId="3407DC23" w14:textId="77777777" w:rsidR="00377FA5" w:rsidRPr="00B56A72" w:rsidRDefault="00377FA5" w:rsidP="00377FA5">
      <w:pPr>
        <w:pStyle w:val="ListParagraph"/>
        <w:numPr>
          <w:ilvl w:val="0"/>
          <w:numId w:val="29"/>
        </w:numPr>
        <w:contextualSpacing w:val="0"/>
      </w:pPr>
      <w:r w:rsidRPr="00B56A72">
        <w:t xml:space="preserve">NICE. Venous thromboembolic diseases: diagnosis, management and thrombophilia testing. NICE guideline [NG158]. Published March 2020. </w:t>
      </w:r>
      <w:hyperlink r:id="rId40" w:history="1">
        <w:r w:rsidRPr="00413C8F">
          <w:rPr>
            <w:color w:val="0563C1"/>
            <w:u w:val="single"/>
          </w:rPr>
          <w:t>https://www.nice.org.uk/guidance/ng158</w:t>
        </w:r>
      </w:hyperlink>
      <w:r w:rsidRPr="00413C8F">
        <w:rPr>
          <w:color w:val="0563C1"/>
          <w:u w:val="single"/>
        </w:rPr>
        <w:t xml:space="preserve"> </w:t>
      </w:r>
    </w:p>
    <w:p w14:paraId="2C9500F5" w14:textId="77777777" w:rsidR="00377FA5" w:rsidRPr="00B56A72" w:rsidRDefault="00377FA5" w:rsidP="00377FA5">
      <w:pPr>
        <w:pStyle w:val="ListParagraph"/>
        <w:numPr>
          <w:ilvl w:val="0"/>
          <w:numId w:val="29"/>
        </w:numPr>
        <w:contextualSpacing w:val="0"/>
      </w:pPr>
      <w:r w:rsidRPr="00B56A72">
        <w:t xml:space="preserve">NICE. Chronic kidney disease: assessment and management. NICE guideline [NG203]. Published August 2021, last updated November 2021. </w:t>
      </w:r>
      <w:hyperlink r:id="rId41" w:history="1">
        <w:r w:rsidRPr="00413C8F">
          <w:rPr>
            <w:color w:val="0563C1"/>
            <w:u w:val="single"/>
          </w:rPr>
          <w:t>https://www.nice.org.uk/guidance/ng203</w:t>
        </w:r>
      </w:hyperlink>
      <w:r>
        <w:t xml:space="preserve"> </w:t>
      </w:r>
    </w:p>
    <w:p w14:paraId="6B529377" w14:textId="77777777" w:rsidR="00377FA5" w:rsidRPr="00B56A72" w:rsidRDefault="00377FA5" w:rsidP="00377FA5">
      <w:pPr>
        <w:pStyle w:val="ListParagraph"/>
        <w:numPr>
          <w:ilvl w:val="0"/>
          <w:numId w:val="29"/>
        </w:numPr>
        <w:contextualSpacing w:val="0"/>
      </w:pPr>
      <w:r w:rsidRPr="00B56A72">
        <w:t xml:space="preserve">DOAC dose adjustment in renal impairment. Drug and Therapeutics Bulletin 2020; 58(9): 131. </w:t>
      </w:r>
      <w:hyperlink r:id="rId42" w:history="1">
        <w:r w:rsidRPr="007D4F98">
          <w:rPr>
            <w:color w:val="0070C0"/>
            <w:u w:val="single"/>
          </w:rPr>
          <w:t>https://dtb.bmj.com/content/early/2020/06/15/dtb.2020.000038</w:t>
        </w:r>
      </w:hyperlink>
    </w:p>
    <w:p w14:paraId="59F01B9D" w14:textId="77777777" w:rsidR="00377FA5" w:rsidRPr="00B56A72" w:rsidRDefault="00377FA5" w:rsidP="00377FA5">
      <w:pPr>
        <w:pStyle w:val="ListParagraph"/>
        <w:numPr>
          <w:ilvl w:val="0"/>
          <w:numId w:val="29"/>
        </w:numPr>
        <w:contextualSpacing w:val="0"/>
      </w:pPr>
      <w:r w:rsidRPr="00B56A72">
        <w:t xml:space="preserve">Summary of Product Characteristics - </w:t>
      </w:r>
      <w:proofErr w:type="spellStart"/>
      <w:r w:rsidRPr="00B56A72">
        <w:t>Praxbind</w:t>
      </w:r>
      <w:proofErr w:type="spellEnd"/>
      <w:r w:rsidRPr="00B56A72">
        <w:t xml:space="preserve"> 2.5g/50mL solution for injection/infusion. Boehringer Ingelheim Limited. Date of revision of the text September 2020.</w:t>
      </w:r>
      <w:r>
        <w:t xml:space="preserve"> </w:t>
      </w:r>
      <w:hyperlink r:id="rId43" w:history="1">
        <w:r w:rsidRPr="00413C8F">
          <w:rPr>
            <w:color w:val="0563C1"/>
            <w:u w:val="single"/>
          </w:rPr>
          <w:t>https://www.medicines.org.uk/emc/product/5073</w:t>
        </w:r>
      </w:hyperlink>
      <w:r w:rsidRPr="00413C8F">
        <w:rPr>
          <w:color w:val="0563C1"/>
          <w:u w:val="single"/>
        </w:rPr>
        <w:t xml:space="preserve"> </w:t>
      </w:r>
    </w:p>
    <w:p w14:paraId="6B6038B7" w14:textId="77777777" w:rsidR="00377FA5" w:rsidRPr="00413C8F" w:rsidRDefault="00377FA5" w:rsidP="00377FA5">
      <w:pPr>
        <w:pStyle w:val="ListParagraph"/>
        <w:numPr>
          <w:ilvl w:val="0"/>
          <w:numId w:val="29"/>
        </w:numPr>
        <w:contextualSpacing w:val="0"/>
        <w:rPr>
          <w:u w:val="single"/>
        </w:rPr>
      </w:pPr>
      <w:r w:rsidRPr="00B56A72">
        <w:t xml:space="preserve">Summary of Product Characteristics - </w:t>
      </w:r>
      <w:proofErr w:type="spellStart"/>
      <w:r w:rsidRPr="00B56A72">
        <w:t>Ondexxya</w:t>
      </w:r>
      <w:proofErr w:type="spellEnd"/>
      <w:r w:rsidRPr="00B56A72">
        <w:t xml:space="preserve"> 200mg powder for solution for infusion.</w:t>
      </w:r>
      <w:r>
        <w:t xml:space="preserve"> </w:t>
      </w:r>
      <w:r w:rsidRPr="00B56A72">
        <w:t>A</w:t>
      </w:r>
      <w:r>
        <w:t>straZeneca</w:t>
      </w:r>
      <w:r w:rsidRPr="00B56A72">
        <w:t xml:space="preserve"> UK Limited. Date of revision of the text 1</w:t>
      </w:r>
      <w:r>
        <w:t xml:space="preserve"> June </w:t>
      </w:r>
      <w:r w:rsidRPr="00B56A72">
        <w:t>202</w:t>
      </w:r>
      <w:r>
        <w:t>2</w:t>
      </w:r>
      <w:r w:rsidRPr="00B56A72">
        <w:t>.</w:t>
      </w:r>
      <w:r>
        <w:t xml:space="preserve"> </w:t>
      </w:r>
      <w:hyperlink r:id="rId44" w:history="1">
        <w:r w:rsidRPr="00413C8F">
          <w:rPr>
            <w:color w:val="0563C1"/>
            <w:u w:val="single"/>
          </w:rPr>
          <w:t>https://www.medicines.org.uk/emc/product/10933/</w:t>
        </w:r>
      </w:hyperlink>
      <w:r w:rsidRPr="00B56A72">
        <w:t xml:space="preserve"> </w:t>
      </w:r>
    </w:p>
    <w:p w14:paraId="656CA6C9" w14:textId="77777777" w:rsidR="00377FA5" w:rsidRPr="00B56A72" w:rsidRDefault="00377FA5" w:rsidP="00377FA5">
      <w:pPr>
        <w:pStyle w:val="ListParagraph"/>
        <w:numPr>
          <w:ilvl w:val="0"/>
          <w:numId w:val="29"/>
        </w:numPr>
        <w:contextualSpacing w:val="0"/>
      </w:pPr>
      <w:r w:rsidRPr="00B56A72">
        <w:t xml:space="preserve">NICE. Reversal of the anticoagulant effect of dabigatran: </w:t>
      </w:r>
      <w:proofErr w:type="spellStart"/>
      <w:r w:rsidRPr="00B56A72">
        <w:t>idarucizumab</w:t>
      </w:r>
      <w:proofErr w:type="spellEnd"/>
      <w:r w:rsidRPr="00B56A72">
        <w:t>.</w:t>
      </w:r>
      <w:r>
        <w:t xml:space="preserve"> </w:t>
      </w:r>
      <w:r w:rsidRPr="00B56A72">
        <w:t xml:space="preserve">Evidence Summary [ESNM73]. Published May 2016. </w:t>
      </w:r>
      <w:hyperlink r:id="rId45" w:history="1">
        <w:r w:rsidRPr="00413C8F">
          <w:rPr>
            <w:color w:val="0563C1"/>
            <w:u w:val="single"/>
          </w:rPr>
          <w:t>https://www.nice.org.uk/advice/esnm73/chapter/Key-points-from-the-evidence</w:t>
        </w:r>
      </w:hyperlink>
      <w:r w:rsidRPr="00413C8F">
        <w:rPr>
          <w:color w:val="0563C1"/>
          <w:u w:val="single"/>
        </w:rPr>
        <w:t xml:space="preserve"> </w:t>
      </w:r>
    </w:p>
    <w:p w14:paraId="144752DA" w14:textId="77777777" w:rsidR="00377FA5" w:rsidRPr="008200F4" w:rsidRDefault="00377FA5" w:rsidP="00377FA5">
      <w:pPr>
        <w:pStyle w:val="ListParagraph"/>
        <w:numPr>
          <w:ilvl w:val="0"/>
          <w:numId w:val="29"/>
        </w:numPr>
        <w:contextualSpacing w:val="0"/>
      </w:pPr>
      <w:r w:rsidRPr="00B56A72">
        <w:t>NICE. Andexanet alfa for reversing anticoagulation from apixaban or rivaroxaban. Technology appraisal guidance [TA697]. Published May 2021.</w:t>
      </w:r>
      <w:r>
        <w:t xml:space="preserve"> </w:t>
      </w:r>
      <w:hyperlink r:id="rId46" w:history="1">
        <w:r w:rsidRPr="000C6025">
          <w:rPr>
            <w:rStyle w:val="Hyperlink"/>
          </w:rPr>
          <w:t>https://www.nice.org.uk/guidance/ta697</w:t>
        </w:r>
      </w:hyperlink>
      <w:r w:rsidRPr="00A324C9">
        <w:rPr>
          <w:color w:val="0563C1"/>
          <w:u w:val="single"/>
        </w:rPr>
        <w:t xml:space="preserve"> </w:t>
      </w:r>
    </w:p>
    <w:p w14:paraId="0F4222E8" w14:textId="77777777" w:rsidR="00377FA5" w:rsidRPr="00B56A72" w:rsidRDefault="00377FA5" w:rsidP="00377FA5">
      <w:pPr>
        <w:pStyle w:val="ListParagraph"/>
        <w:numPr>
          <w:ilvl w:val="0"/>
          <w:numId w:val="29"/>
        </w:numPr>
        <w:contextualSpacing w:val="0"/>
      </w:pPr>
      <w:r>
        <w:t xml:space="preserve">Patient Leaflet - Warfarin 0.5mg tablets. Ranbaxy (UK) Limited a Sun Pharmaceutical Company. Last updated on </w:t>
      </w:r>
      <w:proofErr w:type="spellStart"/>
      <w:r>
        <w:t>emc</w:t>
      </w:r>
      <w:proofErr w:type="spellEnd"/>
      <w:r>
        <w:t xml:space="preserve"> 09 Dec 2021. </w:t>
      </w:r>
      <w:hyperlink r:id="rId47" w:history="1">
        <w:r w:rsidRPr="00FC36B5">
          <w:rPr>
            <w:rStyle w:val="Hyperlink"/>
          </w:rPr>
          <w:t>https://www.medicines.org.uk/emc/product/3064/pil</w:t>
        </w:r>
      </w:hyperlink>
      <w:r>
        <w:t xml:space="preserve"> </w:t>
      </w:r>
    </w:p>
    <w:p w14:paraId="7741CA1C" w14:textId="77777777" w:rsidR="00377FA5" w:rsidRPr="00EB561B" w:rsidRDefault="00377FA5" w:rsidP="00377FA5">
      <w:pPr>
        <w:pStyle w:val="ListParagraph"/>
        <w:numPr>
          <w:ilvl w:val="0"/>
          <w:numId w:val="29"/>
        </w:numPr>
        <w:contextualSpacing w:val="0"/>
      </w:pPr>
      <w:r w:rsidRPr="00EB561B">
        <w:t>Drug Safety Update. Direct-acting oral anticoagulants (DOACs): increased risk of recurrent thrombotic events in patients with antiphospholipid syndrome. Published June 2019.</w:t>
      </w:r>
      <w:r>
        <w:t xml:space="preserve"> </w:t>
      </w:r>
      <w:hyperlink r:id="rId48" w:history="1">
        <w:r w:rsidRPr="007D4F98">
          <w:rPr>
            <w:rStyle w:val="Hyperlink"/>
            <w:rFonts w:cs="Arial"/>
            <w:szCs w:val="22"/>
          </w:rPr>
          <w:t>https://www.gov.uk/drug-safety-update/direct-acting-oral-anticoagulants-doacs-increased-risk-of-recurrent-thrombotic-events-in-patients-with-antiphospholipid-syndrome</w:t>
        </w:r>
      </w:hyperlink>
    </w:p>
    <w:p w14:paraId="104F1FD5" w14:textId="509A1F9A" w:rsidR="00D905A1" w:rsidRPr="00377FA5" w:rsidRDefault="00377FA5" w:rsidP="00881742">
      <w:pPr>
        <w:pStyle w:val="ListParagraph"/>
        <w:numPr>
          <w:ilvl w:val="0"/>
          <w:numId w:val="29"/>
        </w:numPr>
        <w:rPr>
          <w:rFonts w:asciiTheme="majorHAnsi" w:hAnsiTheme="majorHAnsi" w:cstheme="majorHAnsi"/>
          <w:szCs w:val="22"/>
        </w:rPr>
      </w:pPr>
      <w:r w:rsidRPr="00B56A72">
        <w:t xml:space="preserve">NHS Business Services Authority. Drug Tariff </w:t>
      </w:r>
      <w:r>
        <w:t>June</w:t>
      </w:r>
      <w:r w:rsidRPr="00B56A72">
        <w:t xml:space="preserve"> 2022. </w:t>
      </w:r>
      <w:hyperlink r:id="rId49" w:history="1">
        <w:r w:rsidRPr="00377FA5">
          <w:rPr>
            <w:color w:val="0563C1"/>
            <w:u w:val="single"/>
          </w:rPr>
          <w:t>https://www.nhsbsa.nhs.uk/pharmacies-gp-practices-and-appliance-contractors/drug-tariff</w:t>
        </w:r>
      </w:hyperlink>
      <w:bookmarkEnd w:id="127"/>
    </w:p>
    <w:sectPr w:rsidR="00D905A1" w:rsidRPr="00377FA5" w:rsidSect="009636BE">
      <w:pgSz w:w="11900" w:h="16840"/>
      <w:pgMar w:top="1134" w:right="1021"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B315B" w14:textId="77777777" w:rsidR="005A6D26" w:rsidRDefault="005A6D26" w:rsidP="00760761">
      <w:r>
        <w:separator/>
      </w:r>
    </w:p>
  </w:endnote>
  <w:endnote w:type="continuationSeparator" w:id="0">
    <w:p w14:paraId="02D47B3C" w14:textId="77777777" w:rsidR="005A6D26" w:rsidRDefault="005A6D26" w:rsidP="00760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B6C0" w14:textId="397DCAFE" w:rsidR="00DC288E" w:rsidRPr="00AE42BE" w:rsidRDefault="00DC288E" w:rsidP="00AE42BE">
    <w:pPr>
      <w:pStyle w:val="Footer"/>
      <w:jc w:val="right"/>
    </w:pPr>
    <w:r w:rsidRPr="00AE42BE">
      <w:rPr>
        <w:caps/>
      </w:rPr>
      <w:fldChar w:fldCharType="begin"/>
    </w:r>
    <w:r w:rsidRPr="00AE42BE">
      <w:rPr>
        <w:caps/>
      </w:rPr>
      <w:instrText xml:space="preserve"> PAGE   \* MERGEFORMAT </w:instrText>
    </w:r>
    <w:r w:rsidRPr="00AE42BE">
      <w:rPr>
        <w:caps/>
      </w:rPr>
      <w:fldChar w:fldCharType="separate"/>
    </w:r>
    <w:r>
      <w:rPr>
        <w:caps/>
        <w:noProof/>
      </w:rPr>
      <w:t>12</w:t>
    </w:r>
    <w:r w:rsidRPr="00AE42BE">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CF87E" w14:textId="77777777" w:rsidR="005A6D26" w:rsidRDefault="005A6D26" w:rsidP="00760761">
      <w:r>
        <w:separator/>
      </w:r>
    </w:p>
  </w:footnote>
  <w:footnote w:type="continuationSeparator" w:id="0">
    <w:p w14:paraId="35AE6113" w14:textId="77777777" w:rsidR="005A6D26" w:rsidRDefault="005A6D26" w:rsidP="00760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B08"/>
    <w:multiLevelType w:val="hybridMultilevel"/>
    <w:tmpl w:val="E67A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6493E"/>
    <w:multiLevelType w:val="hybridMultilevel"/>
    <w:tmpl w:val="1F7EA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0078C5"/>
    <w:multiLevelType w:val="hybridMultilevel"/>
    <w:tmpl w:val="ED185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20289"/>
    <w:multiLevelType w:val="hybridMultilevel"/>
    <w:tmpl w:val="569C073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7148C8"/>
    <w:multiLevelType w:val="hybridMultilevel"/>
    <w:tmpl w:val="D960B54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A6229"/>
    <w:multiLevelType w:val="hybridMultilevel"/>
    <w:tmpl w:val="063C75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F8767B"/>
    <w:multiLevelType w:val="hybridMultilevel"/>
    <w:tmpl w:val="22A09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274E1B"/>
    <w:multiLevelType w:val="hybridMultilevel"/>
    <w:tmpl w:val="6D7E1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4C440E"/>
    <w:multiLevelType w:val="hybridMultilevel"/>
    <w:tmpl w:val="40EC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6333A"/>
    <w:multiLevelType w:val="hybridMultilevel"/>
    <w:tmpl w:val="C5EED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D0304"/>
    <w:multiLevelType w:val="hybridMultilevel"/>
    <w:tmpl w:val="DEFA9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2A63E6"/>
    <w:multiLevelType w:val="hybridMultilevel"/>
    <w:tmpl w:val="9048A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7771EF"/>
    <w:multiLevelType w:val="hybridMultilevel"/>
    <w:tmpl w:val="6DEEA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BF4B25"/>
    <w:multiLevelType w:val="hybridMultilevel"/>
    <w:tmpl w:val="0890E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D80231"/>
    <w:multiLevelType w:val="hybridMultilevel"/>
    <w:tmpl w:val="95904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D8154B"/>
    <w:multiLevelType w:val="hybridMultilevel"/>
    <w:tmpl w:val="3D32127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E56456"/>
    <w:multiLevelType w:val="hybridMultilevel"/>
    <w:tmpl w:val="1F8CB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0031E1"/>
    <w:multiLevelType w:val="hybridMultilevel"/>
    <w:tmpl w:val="79264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AE209D"/>
    <w:multiLevelType w:val="hybridMultilevel"/>
    <w:tmpl w:val="B66E2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B66D4A"/>
    <w:multiLevelType w:val="hybridMultilevel"/>
    <w:tmpl w:val="95427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A34E3C"/>
    <w:multiLevelType w:val="hybridMultilevel"/>
    <w:tmpl w:val="3DB84CAE"/>
    <w:lvl w:ilvl="0" w:tplc="59D262C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78D7BBD"/>
    <w:multiLevelType w:val="hybridMultilevel"/>
    <w:tmpl w:val="DE0E663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1C1B2B"/>
    <w:multiLevelType w:val="hybridMultilevel"/>
    <w:tmpl w:val="0E9A90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C6737D"/>
    <w:multiLevelType w:val="hybridMultilevel"/>
    <w:tmpl w:val="C3CE2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005B32"/>
    <w:multiLevelType w:val="hybridMultilevel"/>
    <w:tmpl w:val="3D5A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FEE7577"/>
    <w:multiLevelType w:val="hybridMultilevel"/>
    <w:tmpl w:val="6E425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316F84"/>
    <w:multiLevelType w:val="hybridMultilevel"/>
    <w:tmpl w:val="E304A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5773CC"/>
    <w:multiLevelType w:val="hybridMultilevel"/>
    <w:tmpl w:val="48487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7D473A"/>
    <w:multiLevelType w:val="hybridMultilevel"/>
    <w:tmpl w:val="78721AA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86239953">
    <w:abstractNumId w:val="2"/>
  </w:num>
  <w:num w:numId="2" w16cid:durableId="515268234">
    <w:abstractNumId w:val="24"/>
  </w:num>
  <w:num w:numId="3" w16cid:durableId="829566650">
    <w:abstractNumId w:val="5"/>
  </w:num>
  <w:num w:numId="4" w16cid:durableId="1187208227">
    <w:abstractNumId w:val="28"/>
  </w:num>
  <w:num w:numId="5" w16cid:durableId="635524809">
    <w:abstractNumId w:val="21"/>
  </w:num>
  <w:num w:numId="6" w16cid:durableId="741760235">
    <w:abstractNumId w:val="15"/>
  </w:num>
  <w:num w:numId="7" w16cid:durableId="740762234">
    <w:abstractNumId w:val="3"/>
  </w:num>
  <w:num w:numId="8" w16cid:durableId="1952079789">
    <w:abstractNumId w:val="22"/>
  </w:num>
  <w:num w:numId="9" w16cid:durableId="1644309163">
    <w:abstractNumId w:val="0"/>
  </w:num>
  <w:num w:numId="10" w16cid:durableId="568225165">
    <w:abstractNumId w:val="10"/>
  </w:num>
  <w:num w:numId="11" w16cid:durableId="30686751">
    <w:abstractNumId w:val="9"/>
  </w:num>
  <w:num w:numId="12" w16cid:durableId="1616132504">
    <w:abstractNumId w:val="4"/>
  </w:num>
  <w:num w:numId="13" w16cid:durableId="139350074">
    <w:abstractNumId w:val="27"/>
  </w:num>
  <w:num w:numId="14" w16cid:durableId="1173958212">
    <w:abstractNumId w:val="8"/>
  </w:num>
  <w:num w:numId="15" w16cid:durableId="443690651">
    <w:abstractNumId w:val="12"/>
  </w:num>
  <w:num w:numId="16" w16cid:durableId="272709472">
    <w:abstractNumId w:val="20"/>
  </w:num>
  <w:num w:numId="17" w16cid:durableId="663164817">
    <w:abstractNumId w:val="18"/>
  </w:num>
  <w:num w:numId="18" w16cid:durableId="1201239903">
    <w:abstractNumId w:val="13"/>
  </w:num>
  <w:num w:numId="19" w16cid:durableId="1821771959">
    <w:abstractNumId w:val="6"/>
  </w:num>
  <w:num w:numId="20" w16cid:durableId="1333141210">
    <w:abstractNumId w:val="16"/>
  </w:num>
  <w:num w:numId="21" w16cid:durableId="2112582590">
    <w:abstractNumId w:val="1"/>
  </w:num>
  <w:num w:numId="22" w16cid:durableId="898782611">
    <w:abstractNumId w:val="14"/>
  </w:num>
  <w:num w:numId="23" w16cid:durableId="1077286820">
    <w:abstractNumId w:val="11"/>
  </w:num>
  <w:num w:numId="24" w16cid:durableId="1686860721">
    <w:abstractNumId w:val="7"/>
  </w:num>
  <w:num w:numId="25" w16cid:durableId="1315260722">
    <w:abstractNumId w:val="19"/>
  </w:num>
  <w:num w:numId="26" w16cid:durableId="1998417872">
    <w:abstractNumId w:val="17"/>
  </w:num>
  <w:num w:numId="27" w16cid:durableId="1972594637">
    <w:abstractNumId w:val="26"/>
  </w:num>
  <w:num w:numId="28" w16cid:durableId="1490054820">
    <w:abstractNumId w:val="23"/>
  </w:num>
  <w:num w:numId="29" w16cid:durableId="87277110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61"/>
    <w:rsid w:val="00002D71"/>
    <w:rsid w:val="000037E2"/>
    <w:rsid w:val="000145DE"/>
    <w:rsid w:val="00016E13"/>
    <w:rsid w:val="000207A7"/>
    <w:rsid w:val="000334B2"/>
    <w:rsid w:val="000367F3"/>
    <w:rsid w:val="0003754A"/>
    <w:rsid w:val="00043B1D"/>
    <w:rsid w:val="0005070A"/>
    <w:rsid w:val="00052451"/>
    <w:rsid w:val="0005253C"/>
    <w:rsid w:val="0006486F"/>
    <w:rsid w:val="000665BE"/>
    <w:rsid w:val="000673E5"/>
    <w:rsid w:val="00071806"/>
    <w:rsid w:val="00072015"/>
    <w:rsid w:val="000724A8"/>
    <w:rsid w:val="0007660E"/>
    <w:rsid w:val="0008180A"/>
    <w:rsid w:val="000828CD"/>
    <w:rsid w:val="00086304"/>
    <w:rsid w:val="000864AE"/>
    <w:rsid w:val="000A17E9"/>
    <w:rsid w:val="000A4BA2"/>
    <w:rsid w:val="000A500E"/>
    <w:rsid w:val="000A50C7"/>
    <w:rsid w:val="000A6686"/>
    <w:rsid w:val="000B365B"/>
    <w:rsid w:val="000B4CB2"/>
    <w:rsid w:val="000B7B54"/>
    <w:rsid w:val="000C1651"/>
    <w:rsid w:val="000C2334"/>
    <w:rsid w:val="000C386B"/>
    <w:rsid w:val="000C4E11"/>
    <w:rsid w:val="000C5876"/>
    <w:rsid w:val="000C7431"/>
    <w:rsid w:val="000C7763"/>
    <w:rsid w:val="000D0924"/>
    <w:rsid w:val="000D0DF1"/>
    <w:rsid w:val="000D1173"/>
    <w:rsid w:val="000D561D"/>
    <w:rsid w:val="000E09A3"/>
    <w:rsid w:val="000E10CF"/>
    <w:rsid w:val="000E3B80"/>
    <w:rsid w:val="000E45C9"/>
    <w:rsid w:val="000E4F0F"/>
    <w:rsid w:val="000E50CB"/>
    <w:rsid w:val="000E569C"/>
    <w:rsid w:val="000E58B4"/>
    <w:rsid w:val="000E7B6B"/>
    <w:rsid w:val="000F2903"/>
    <w:rsid w:val="000F3D09"/>
    <w:rsid w:val="000F7F87"/>
    <w:rsid w:val="00100734"/>
    <w:rsid w:val="0010300C"/>
    <w:rsid w:val="0010338F"/>
    <w:rsid w:val="00105B3E"/>
    <w:rsid w:val="001133BE"/>
    <w:rsid w:val="001144B9"/>
    <w:rsid w:val="00114D48"/>
    <w:rsid w:val="00117717"/>
    <w:rsid w:val="00121637"/>
    <w:rsid w:val="00124F42"/>
    <w:rsid w:val="001269EF"/>
    <w:rsid w:val="001271A3"/>
    <w:rsid w:val="00130D6C"/>
    <w:rsid w:val="00131223"/>
    <w:rsid w:val="00140699"/>
    <w:rsid w:val="00141087"/>
    <w:rsid w:val="00141400"/>
    <w:rsid w:val="001423E8"/>
    <w:rsid w:val="00142A71"/>
    <w:rsid w:val="0014329A"/>
    <w:rsid w:val="00143671"/>
    <w:rsid w:val="001436FD"/>
    <w:rsid w:val="001474F5"/>
    <w:rsid w:val="001531DC"/>
    <w:rsid w:val="00156B2D"/>
    <w:rsid w:val="0016108B"/>
    <w:rsid w:val="00164899"/>
    <w:rsid w:val="00164AB2"/>
    <w:rsid w:val="00165CDB"/>
    <w:rsid w:val="00167840"/>
    <w:rsid w:val="00172937"/>
    <w:rsid w:val="00173297"/>
    <w:rsid w:val="001756B0"/>
    <w:rsid w:val="00177156"/>
    <w:rsid w:val="00177D7D"/>
    <w:rsid w:val="00177E47"/>
    <w:rsid w:val="00181595"/>
    <w:rsid w:val="001854BB"/>
    <w:rsid w:val="00186A80"/>
    <w:rsid w:val="00187A04"/>
    <w:rsid w:val="00187D8E"/>
    <w:rsid w:val="00190565"/>
    <w:rsid w:val="00192380"/>
    <w:rsid w:val="00192515"/>
    <w:rsid w:val="00193458"/>
    <w:rsid w:val="00193E43"/>
    <w:rsid w:val="001A4EAC"/>
    <w:rsid w:val="001B06CE"/>
    <w:rsid w:val="001B252D"/>
    <w:rsid w:val="001B4586"/>
    <w:rsid w:val="001B520C"/>
    <w:rsid w:val="001B6D09"/>
    <w:rsid w:val="001B7667"/>
    <w:rsid w:val="001C1C0A"/>
    <w:rsid w:val="001C530C"/>
    <w:rsid w:val="001D0AFD"/>
    <w:rsid w:val="001D429A"/>
    <w:rsid w:val="001D4561"/>
    <w:rsid w:val="001D5737"/>
    <w:rsid w:val="001E42E2"/>
    <w:rsid w:val="001E761F"/>
    <w:rsid w:val="001F118C"/>
    <w:rsid w:val="001F3B99"/>
    <w:rsid w:val="001F4FC0"/>
    <w:rsid w:val="001F7F36"/>
    <w:rsid w:val="00200253"/>
    <w:rsid w:val="00204BEB"/>
    <w:rsid w:val="00206C76"/>
    <w:rsid w:val="00211576"/>
    <w:rsid w:val="002129F2"/>
    <w:rsid w:val="002133F0"/>
    <w:rsid w:val="002142AD"/>
    <w:rsid w:val="00215B05"/>
    <w:rsid w:val="00216C78"/>
    <w:rsid w:val="002211A3"/>
    <w:rsid w:val="00225DF2"/>
    <w:rsid w:val="0022685B"/>
    <w:rsid w:val="002307F8"/>
    <w:rsid w:val="00231022"/>
    <w:rsid w:val="002315F1"/>
    <w:rsid w:val="00243C28"/>
    <w:rsid w:val="00244490"/>
    <w:rsid w:val="00244FE6"/>
    <w:rsid w:val="002461B6"/>
    <w:rsid w:val="00246BE8"/>
    <w:rsid w:val="00246F02"/>
    <w:rsid w:val="00247A53"/>
    <w:rsid w:val="002516D4"/>
    <w:rsid w:val="00252C83"/>
    <w:rsid w:val="0025370F"/>
    <w:rsid w:val="002537CD"/>
    <w:rsid w:val="00253839"/>
    <w:rsid w:val="0025434D"/>
    <w:rsid w:val="00254AB5"/>
    <w:rsid w:val="00255DDD"/>
    <w:rsid w:val="0025647C"/>
    <w:rsid w:val="00257759"/>
    <w:rsid w:val="002579BC"/>
    <w:rsid w:val="00260DE2"/>
    <w:rsid w:val="002641A6"/>
    <w:rsid w:val="00264A8C"/>
    <w:rsid w:val="00264CFC"/>
    <w:rsid w:val="0026684B"/>
    <w:rsid w:val="00276DAF"/>
    <w:rsid w:val="00284C0B"/>
    <w:rsid w:val="0028778A"/>
    <w:rsid w:val="002902E7"/>
    <w:rsid w:val="00290814"/>
    <w:rsid w:val="00291DB1"/>
    <w:rsid w:val="00293DAF"/>
    <w:rsid w:val="002946B0"/>
    <w:rsid w:val="002956D6"/>
    <w:rsid w:val="00295A52"/>
    <w:rsid w:val="00295CD9"/>
    <w:rsid w:val="002968E0"/>
    <w:rsid w:val="002A0BBA"/>
    <w:rsid w:val="002A48CB"/>
    <w:rsid w:val="002A6F03"/>
    <w:rsid w:val="002B2F0E"/>
    <w:rsid w:val="002B6BFD"/>
    <w:rsid w:val="002C174B"/>
    <w:rsid w:val="002C3BE2"/>
    <w:rsid w:val="002D580A"/>
    <w:rsid w:val="002D6351"/>
    <w:rsid w:val="002D653E"/>
    <w:rsid w:val="002E05FA"/>
    <w:rsid w:val="002E0A78"/>
    <w:rsid w:val="002E1FB8"/>
    <w:rsid w:val="002E3E57"/>
    <w:rsid w:val="002E437E"/>
    <w:rsid w:val="002E4695"/>
    <w:rsid w:val="002E47F4"/>
    <w:rsid w:val="002F1AE5"/>
    <w:rsid w:val="002F63FA"/>
    <w:rsid w:val="002F7727"/>
    <w:rsid w:val="002F77A8"/>
    <w:rsid w:val="003042D5"/>
    <w:rsid w:val="00306867"/>
    <w:rsid w:val="00306F69"/>
    <w:rsid w:val="00307029"/>
    <w:rsid w:val="0031377E"/>
    <w:rsid w:val="00313AC5"/>
    <w:rsid w:val="00314515"/>
    <w:rsid w:val="00331A86"/>
    <w:rsid w:val="003331CC"/>
    <w:rsid w:val="0033487B"/>
    <w:rsid w:val="00340DBA"/>
    <w:rsid w:val="00342BFF"/>
    <w:rsid w:val="0034513B"/>
    <w:rsid w:val="0035154C"/>
    <w:rsid w:val="00353BB9"/>
    <w:rsid w:val="00354719"/>
    <w:rsid w:val="00354B02"/>
    <w:rsid w:val="00361018"/>
    <w:rsid w:val="00362A02"/>
    <w:rsid w:val="003660C9"/>
    <w:rsid w:val="0036702A"/>
    <w:rsid w:val="0036736F"/>
    <w:rsid w:val="00367CC8"/>
    <w:rsid w:val="00370735"/>
    <w:rsid w:val="00374620"/>
    <w:rsid w:val="00376B74"/>
    <w:rsid w:val="0037725F"/>
    <w:rsid w:val="00377FA5"/>
    <w:rsid w:val="00382637"/>
    <w:rsid w:val="00387107"/>
    <w:rsid w:val="0038775B"/>
    <w:rsid w:val="00393CB9"/>
    <w:rsid w:val="003944F2"/>
    <w:rsid w:val="003A6A57"/>
    <w:rsid w:val="003A7FC9"/>
    <w:rsid w:val="003B0EEE"/>
    <w:rsid w:val="003B1017"/>
    <w:rsid w:val="003B32F1"/>
    <w:rsid w:val="003B4BA4"/>
    <w:rsid w:val="003B4CBC"/>
    <w:rsid w:val="003C0C6B"/>
    <w:rsid w:val="003C0C82"/>
    <w:rsid w:val="003C170E"/>
    <w:rsid w:val="003C1917"/>
    <w:rsid w:val="003C48FF"/>
    <w:rsid w:val="003C638F"/>
    <w:rsid w:val="003D022E"/>
    <w:rsid w:val="003D36F3"/>
    <w:rsid w:val="003D4170"/>
    <w:rsid w:val="003D479A"/>
    <w:rsid w:val="003D7271"/>
    <w:rsid w:val="003E034D"/>
    <w:rsid w:val="003E3209"/>
    <w:rsid w:val="003E33BF"/>
    <w:rsid w:val="003E5F8E"/>
    <w:rsid w:val="003F0DE1"/>
    <w:rsid w:val="003F2B62"/>
    <w:rsid w:val="003F4BF0"/>
    <w:rsid w:val="003F6E26"/>
    <w:rsid w:val="004001CA"/>
    <w:rsid w:val="00411546"/>
    <w:rsid w:val="004137AE"/>
    <w:rsid w:val="00413C8F"/>
    <w:rsid w:val="00416D06"/>
    <w:rsid w:val="00422CC1"/>
    <w:rsid w:val="0042616B"/>
    <w:rsid w:val="004319C9"/>
    <w:rsid w:val="004323FC"/>
    <w:rsid w:val="00434CA9"/>
    <w:rsid w:val="004350D5"/>
    <w:rsid w:val="00437FA3"/>
    <w:rsid w:val="00445D03"/>
    <w:rsid w:val="00451BCE"/>
    <w:rsid w:val="00453318"/>
    <w:rsid w:val="0045700C"/>
    <w:rsid w:val="00461AB6"/>
    <w:rsid w:val="00462CFC"/>
    <w:rsid w:val="00463612"/>
    <w:rsid w:val="004645B2"/>
    <w:rsid w:val="0046541A"/>
    <w:rsid w:val="004655BB"/>
    <w:rsid w:val="00466A36"/>
    <w:rsid w:val="004704D7"/>
    <w:rsid w:val="00471057"/>
    <w:rsid w:val="00474616"/>
    <w:rsid w:val="00477596"/>
    <w:rsid w:val="004809D6"/>
    <w:rsid w:val="004814F5"/>
    <w:rsid w:val="00481EAC"/>
    <w:rsid w:val="00483318"/>
    <w:rsid w:val="00483DA7"/>
    <w:rsid w:val="0048742D"/>
    <w:rsid w:val="0048785F"/>
    <w:rsid w:val="00491D81"/>
    <w:rsid w:val="00492ED8"/>
    <w:rsid w:val="00496183"/>
    <w:rsid w:val="00497480"/>
    <w:rsid w:val="00497E27"/>
    <w:rsid w:val="004A207E"/>
    <w:rsid w:val="004A6DC6"/>
    <w:rsid w:val="004B2933"/>
    <w:rsid w:val="004B36EB"/>
    <w:rsid w:val="004B3F6C"/>
    <w:rsid w:val="004B7BBA"/>
    <w:rsid w:val="004C0810"/>
    <w:rsid w:val="004C22C0"/>
    <w:rsid w:val="004C52A2"/>
    <w:rsid w:val="004D1FEB"/>
    <w:rsid w:val="004D5112"/>
    <w:rsid w:val="004D6522"/>
    <w:rsid w:val="004E1D6C"/>
    <w:rsid w:val="004E1F83"/>
    <w:rsid w:val="004E2F87"/>
    <w:rsid w:val="004E34C9"/>
    <w:rsid w:val="004E382A"/>
    <w:rsid w:val="004E5ECD"/>
    <w:rsid w:val="004E7371"/>
    <w:rsid w:val="004F110A"/>
    <w:rsid w:val="004F529A"/>
    <w:rsid w:val="004F756F"/>
    <w:rsid w:val="0050027C"/>
    <w:rsid w:val="0050070D"/>
    <w:rsid w:val="0050083F"/>
    <w:rsid w:val="00501A7E"/>
    <w:rsid w:val="00502179"/>
    <w:rsid w:val="00502AAF"/>
    <w:rsid w:val="00504B25"/>
    <w:rsid w:val="00504C42"/>
    <w:rsid w:val="005057BC"/>
    <w:rsid w:val="005067AC"/>
    <w:rsid w:val="00507356"/>
    <w:rsid w:val="00510F83"/>
    <w:rsid w:val="00527388"/>
    <w:rsid w:val="00527C91"/>
    <w:rsid w:val="005327B9"/>
    <w:rsid w:val="00532FDE"/>
    <w:rsid w:val="00535019"/>
    <w:rsid w:val="00535C1A"/>
    <w:rsid w:val="00537578"/>
    <w:rsid w:val="00540C2B"/>
    <w:rsid w:val="00544874"/>
    <w:rsid w:val="00545F31"/>
    <w:rsid w:val="005461DE"/>
    <w:rsid w:val="00546375"/>
    <w:rsid w:val="005467EF"/>
    <w:rsid w:val="00547FD6"/>
    <w:rsid w:val="00555316"/>
    <w:rsid w:val="00562E05"/>
    <w:rsid w:val="005666B7"/>
    <w:rsid w:val="00572FFF"/>
    <w:rsid w:val="00574370"/>
    <w:rsid w:val="005775CA"/>
    <w:rsid w:val="00585C00"/>
    <w:rsid w:val="005866E0"/>
    <w:rsid w:val="00587AD0"/>
    <w:rsid w:val="00590F14"/>
    <w:rsid w:val="0059202C"/>
    <w:rsid w:val="005924AC"/>
    <w:rsid w:val="00595FB9"/>
    <w:rsid w:val="005A0E86"/>
    <w:rsid w:val="005A1AA9"/>
    <w:rsid w:val="005A64F7"/>
    <w:rsid w:val="005A6D26"/>
    <w:rsid w:val="005B0D25"/>
    <w:rsid w:val="005B63D4"/>
    <w:rsid w:val="005B6506"/>
    <w:rsid w:val="005B7152"/>
    <w:rsid w:val="005B72E4"/>
    <w:rsid w:val="005C358F"/>
    <w:rsid w:val="005C38D5"/>
    <w:rsid w:val="005C6DEC"/>
    <w:rsid w:val="005D3910"/>
    <w:rsid w:val="005D5945"/>
    <w:rsid w:val="005D5C49"/>
    <w:rsid w:val="005D5ED8"/>
    <w:rsid w:val="005D6DBC"/>
    <w:rsid w:val="005E22B8"/>
    <w:rsid w:val="005E4A69"/>
    <w:rsid w:val="005E5D45"/>
    <w:rsid w:val="005E6091"/>
    <w:rsid w:val="005F19A4"/>
    <w:rsid w:val="005F34F6"/>
    <w:rsid w:val="005F4E75"/>
    <w:rsid w:val="005F58A9"/>
    <w:rsid w:val="005F7628"/>
    <w:rsid w:val="005F77E0"/>
    <w:rsid w:val="005F7845"/>
    <w:rsid w:val="00601248"/>
    <w:rsid w:val="0060241C"/>
    <w:rsid w:val="0061340C"/>
    <w:rsid w:val="006201F6"/>
    <w:rsid w:val="006214C2"/>
    <w:rsid w:val="006235B2"/>
    <w:rsid w:val="0062431E"/>
    <w:rsid w:val="00625207"/>
    <w:rsid w:val="00627E2C"/>
    <w:rsid w:val="00630122"/>
    <w:rsid w:val="006352E6"/>
    <w:rsid w:val="0063606E"/>
    <w:rsid w:val="00636979"/>
    <w:rsid w:val="00636C92"/>
    <w:rsid w:val="00640A82"/>
    <w:rsid w:val="00643742"/>
    <w:rsid w:val="006457B8"/>
    <w:rsid w:val="00646521"/>
    <w:rsid w:val="0064677F"/>
    <w:rsid w:val="0065085D"/>
    <w:rsid w:val="006527BA"/>
    <w:rsid w:val="006551DF"/>
    <w:rsid w:val="006619D6"/>
    <w:rsid w:val="006650A6"/>
    <w:rsid w:val="006659A4"/>
    <w:rsid w:val="006774B3"/>
    <w:rsid w:val="00680DBC"/>
    <w:rsid w:val="00681F17"/>
    <w:rsid w:val="006821A5"/>
    <w:rsid w:val="006865DC"/>
    <w:rsid w:val="006877A8"/>
    <w:rsid w:val="0069267A"/>
    <w:rsid w:val="00694283"/>
    <w:rsid w:val="006945DA"/>
    <w:rsid w:val="00696313"/>
    <w:rsid w:val="00697662"/>
    <w:rsid w:val="006978F0"/>
    <w:rsid w:val="006A00B8"/>
    <w:rsid w:val="006A2467"/>
    <w:rsid w:val="006A4BC9"/>
    <w:rsid w:val="006B1B0E"/>
    <w:rsid w:val="006B32CB"/>
    <w:rsid w:val="006B383E"/>
    <w:rsid w:val="006B608D"/>
    <w:rsid w:val="006C12C6"/>
    <w:rsid w:val="006C5495"/>
    <w:rsid w:val="006C7266"/>
    <w:rsid w:val="006D16C8"/>
    <w:rsid w:val="006D21C5"/>
    <w:rsid w:val="006D6890"/>
    <w:rsid w:val="006E03F8"/>
    <w:rsid w:val="006E2658"/>
    <w:rsid w:val="006E33F5"/>
    <w:rsid w:val="006E3673"/>
    <w:rsid w:val="006E40D3"/>
    <w:rsid w:val="006E5C0A"/>
    <w:rsid w:val="006F1B95"/>
    <w:rsid w:val="006F2996"/>
    <w:rsid w:val="00700586"/>
    <w:rsid w:val="00702527"/>
    <w:rsid w:val="0070336F"/>
    <w:rsid w:val="007129A9"/>
    <w:rsid w:val="00714024"/>
    <w:rsid w:val="00717D53"/>
    <w:rsid w:val="00721BE4"/>
    <w:rsid w:val="00732C02"/>
    <w:rsid w:val="00735E20"/>
    <w:rsid w:val="00736FAA"/>
    <w:rsid w:val="007415C5"/>
    <w:rsid w:val="00741842"/>
    <w:rsid w:val="00745971"/>
    <w:rsid w:val="00746422"/>
    <w:rsid w:val="0075075C"/>
    <w:rsid w:val="007558FA"/>
    <w:rsid w:val="0075636C"/>
    <w:rsid w:val="00757641"/>
    <w:rsid w:val="00760761"/>
    <w:rsid w:val="00760907"/>
    <w:rsid w:val="00763624"/>
    <w:rsid w:val="00772185"/>
    <w:rsid w:val="00773024"/>
    <w:rsid w:val="00775351"/>
    <w:rsid w:val="00776D00"/>
    <w:rsid w:val="00777693"/>
    <w:rsid w:val="00777A39"/>
    <w:rsid w:val="007827C1"/>
    <w:rsid w:val="00790675"/>
    <w:rsid w:val="0079339F"/>
    <w:rsid w:val="00793D9F"/>
    <w:rsid w:val="00794C1C"/>
    <w:rsid w:val="00796FEF"/>
    <w:rsid w:val="00797F5A"/>
    <w:rsid w:val="007A1393"/>
    <w:rsid w:val="007A1397"/>
    <w:rsid w:val="007A31AF"/>
    <w:rsid w:val="007A7B95"/>
    <w:rsid w:val="007B2B5A"/>
    <w:rsid w:val="007B3621"/>
    <w:rsid w:val="007B4EA6"/>
    <w:rsid w:val="007B527F"/>
    <w:rsid w:val="007B6508"/>
    <w:rsid w:val="007C29E1"/>
    <w:rsid w:val="007C2AD1"/>
    <w:rsid w:val="007C2B8A"/>
    <w:rsid w:val="007C3CDE"/>
    <w:rsid w:val="007C60DB"/>
    <w:rsid w:val="007D04D6"/>
    <w:rsid w:val="007D101A"/>
    <w:rsid w:val="007D1B0D"/>
    <w:rsid w:val="007D4142"/>
    <w:rsid w:val="007D4F98"/>
    <w:rsid w:val="007F0423"/>
    <w:rsid w:val="007F0662"/>
    <w:rsid w:val="007F5455"/>
    <w:rsid w:val="008004A1"/>
    <w:rsid w:val="0080138B"/>
    <w:rsid w:val="00802225"/>
    <w:rsid w:val="0080272F"/>
    <w:rsid w:val="00802E83"/>
    <w:rsid w:val="008041F5"/>
    <w:rsid w:val="008070A1"/>
    <w:rsid w:val="0080758F"/>
    <w:rsid w:val="00807730"/>
    <w:rsid w:val="0081165F"/>
    <w:rsid w:val="008126D5"/>
    <w:rsid w:val="00821DD2"/>
    <w:rsid w:val="008221FA"/>
    <w:rsid w:val="008223A7"/>
    <w:rsid w:val="00824402"/>
    <w:rsid w:val="00825491"/>
    <w:rsid w:val="008269D0"/>
    <w:rsid w:val="00830234"/>
    <w:rsid w:val="00831603"/>
    <w:rsid w:val="00832CC3"/>
    <w:rsid w:val="00837BDE"/>
    <w:rsid w:val="0084546D"/>
    <w:rsid w:val="00852362"/>
    <w:rsid w:val="00852FF0"/>
    <w:rsid w:val="0085307A"/>
    <w:rsid w:val="00853C15"/>
    <w:rsid w:val="008606A3"/>
    <w:rsid w:val="00863433"/>
    <w:rsid w:val="00865C69"/>
    <w:rsid w:val="00870046"/>
    <w:rsid w:val="00870828"/>
    <w:rsid w:val="00871BB2"/>
    <w:rsid w:val="008721FF"/>
    <w:rsid w:val="0087568F"/>
    <w:rsid w:val="00876D00"/>
    <w:rsid w:val="00877249"/>
    <w:rsid w:val="008774E6"/>
    <w:rsid w:val="00880010"/>
    <w:rsid w:val="008827BB"/>
    <w:rsid w:val="00883E57"/>
    <w:rsid w:val="008A12AC"/>
    <w:rsid w:val="008A3AE4"/>
    <w:rsid w:val="008A4692"/>
    <w:rsid w:val="008A4A42"/>
    <w:rsid w:val="008A51BD"/>
    <w:rsid w:val="008A5A25"/>
    <w:rsid w:val="008A5FF9"/>
    <w:rsid w:val="008A61C6"/>
    <w:rsid w:val="008B1C27"/>
    <w:rsid w:val="008B2242"/>
    <w:rsid w:val="008B579E"/>
    <w:rsid w:val="008B5F03"/>
    <w:rsid w:val="008B6994"/>
    <w:rsid w:val="008B75AA"/>
    <w:rsid w:val="008B7902"/>
    <w:rsid w:val="008C1A84"/>
    <w:rsid w:val="008C52CA"/>
    <w:rsid w:val="008C5614"/>
    <w:rsid w:val="008D0407"/>
    <w:rsid w:val="008D1841"/>
    <w:rsid w:val="008D2FFD"/>
    <w:rsid w:val="008D6C7C"/>
    <w:rsid w:val="008E03E3"/>
    <w:rsid w:val="008F0038"/>
    <w:rsid w:val="008F7855"/>
    <w:rsid w:val="0090705D"/>
    <w:rsid w:val="00910D24"/>
    <w:rsid w:val="00910DDB"/>
    <w:rsid w:val="00913B6A"/>
    <w:rsid w:val="009143E2"/>
    <w:rsid w:val="00914BD1"/>
    <w:rsid w:val="009153B4"/>
    <w:rsid w:val="0091652B"/>
    <w:rsid w:val="00916600"/>
    <w:rsid w:val="009230F1"/>
    <w:rsid w:val="009314BF"/>
    <w:rsid w:val="009322B1"/>
    <w:rsid w:val="00933A1E"/>
    <w:rsid w:val="009341CB"/>
    <w:rsid w:val="0093634D"/>
    <w:rsid w:val="00937B5E"/>
    <w:rsid w:val="00937CD6"/>
    <w:rsid w:val="0094051F"/>
    <w:rsid w:val="009425A2"/>
    <w:rsid w:val="009425B7"/>
    <w:rsid w:val="00943B56"/>
    <w:rsid w:val="00943FFA"/>
    <w:rsid w:val="0094588D"/>
    <w:rsid w:val="00945EF3"/>
    <w:rsid w:val="009473A4"/>
    <w:rsid w:val="00950419"/>
    <w:rsid w:val="00952679"/>
    <w:rsid w:val="00952AC8"/>
    <w:rsid w:val="00955345"/>
    <w:rsid w:val="009560C9"/>
    <w:rsid w:val="00961164"/>
    <w:rsid w:val="009636BE"/>
    <w:rsid w:val="009675C7"/>
    <w:rsid w:val="00967E12"/>
    <w:rsid w:val="009721BF"/>
    <w:rsid w:val="0097233A"/>
    <w:rsid w:val="00972F20"/>
    <w:rsid w:val="00973B94"/>
    <w:rsid w:val="0097444D"/>
    <w:rsid w:val="009910E3"/>
    <w:rsid w:val="009934A8"/>
    <w:rsid w:val="00993D77"/>
    <w:rsid w:val="00994573"/>
    <w:rsid w:val="00996A22"/>
    <w:rsid w:val="009973AE"/>
    <w:rsid w:val="009A032C"/>
    <w:rsid w:val="009A25E0"/>
    <w:rsid w:val="009A5578"/>
    <w:rsid w:val="009B1367"/>
    <w:rsid w:val="009B1FDF"/>
    <w:rsid w:val="009B40C4"/>
    <w:rsid w:val="009C0402"/>
    <w:rsid w:val="009C19ED"/>
    <w:rsid w:val="009C20C6"/>
    <w:rsid w:val="009C3764"/>
    <w:rsid w:val="009D1758"/>
    <w:rsid w:val="009D1C1A"/>
    <w:rsid w:val="009D39A0"/>
    <w:rsid w:val="009D4967"/>
    <w:rsid w:val="009E02C3"/>
    <w:rsid w:val="009E33E6"/>
    <w:rsid w:val="009E5599"/>
    <w:rsid w:val="009E7902"/>
    <w:rsid w:val="009F099D"/>
    <w:rsid w:val="009F3BBA"/>
    <w:rsid w:val="00A007CE"/>
    <w:rsid w:val="00A0121A"/>
    <w:rsid w:val="00A01334"/>
    <w:rsid w:val="00A01588"/>
    <w:rsid w:val="00A032F0"/>
    <w:rsid w:val="00A10783"/>
    <w:rsid w:val="00A11785"/>
    <w:rsid w:val="00A14051"/>
    <w:rsid w:val="00A21E48"/>
    <w:rsid w:val="00A22DD1"/>
    <w:rsid w:val="00A2384D"/>
    <w:rsid w:val="00A24298"/>
    <w:rsid w:val="00A2458D"/>
    <w:rsid w:val="00A25C71"/>
    <w:rsid w:val="00A324C9"/>
    <w:rsid w:val="00A422E4"/>
    <w:rsid w:val="00A431CE"/>
    <w:rsid w:val="00A4534C"/>
    <w:rsid w:val="00A47C56"/>
    <w:rsid w:val="00A52E80"/>
    <w:rsid w:val="00A60BFB"/>
    <w:rsid w:val="00A64F86"/>
    <w:rsid w:val="00A656B6"/>
    <w:rsid w:val="00A65D3C"/>
    <w:rsid w:val="00A6655A"/>
    <w:rsid w:val="00A725D8"/>
    <w:rsid w:val="00A72CE9"/>
    <w:rsid w:val="00A75C99"/>
    <w:rsid w:val="00A766B2"/>
    <w:rsid w:val="00A83B43"/>
    <w:rsid w:val="00A84307"/>
    <w:rsid w:val="00A85996"/>
    <w:rsid w:val="00A85A68"/>
    <w:rsid w:val="00A8713B"/>
    <w:rsid w:val="00A93B44"/>
    <w:rsid w:val="00A94A90"/>
    <w:rsid w:val="00A97201"/>
    <w:rsid w:val="00AA1E44"/>
    <w:rsid w:val="00AA4423"/>
    <w:rsid w:val="00AA4E69"/>
    <w:rsid w:val="00AA619C"/>
    <w:rsid w:val="00AA7410"/>
    <w:rsid w:val="00AB4651"/>
    <w:rsid w:val="00AB51A5"/>
    <w:rsid w:val="00AB54AA"/>
    <w:rsid w:val="00AB633D"/>
    <w:rsid w:val="00AB72C8"/>
    <w:rsid w:val="00AB76E8"/>
    <w:rsid w:val="00AC028A"/>
    <w:rsid w:val="00AC1674"/>
    <w:rsid w:val="00AC3316"/>
    <w:rsid w:val="00AC5AE4"/>
    <w:rsid w:val="00AC6602"/>
    <w:rsid w:val="00AC724B"/>
    <w:rsid w:val="00AC7C94"/>
    <w:rsid w:val="00AD05EC"/>
    <w:rsid w:val="00AD221F"/>
    <w:rsid w:val="00AD2AF4"/>
    <w:rsid w:val="00AD33BF"/>
    <w:rsid w:val="00AE183E"/>
    <w:rsid w:val="00AE243E"/>
    <w:rsid w:val="00AE42BE"/>
    <w:rsid w:val="00AF04F1"/>
    <w:rsid w:val="00B0362A"/>
    <w:rsid w:val="00B04655"/>
    <w:rsid w:val="00B04E5C"/>
    <w:rsid w:val="00B054A1"/>
    <w:rsid w:val="00B0587F"/>
    <w:rsid w:val="00B1011E"/>
    <w:rsid w:val="00B12234"/>
    <w:rsid w:val="00B1252E"/>
    <w:rsid w:val="00B12566"/>
    <w:rsid w:val="00B13EA8"/>
    <w:rsid w:val="00B142B0"/>
    <w:rsid w:val="00B17867"/>
    <w:rsid w:val="00B179EB"/>
    <w:rsid w:val="00B203CD"/>
    <w:rsid w:val="00B30F51"/>
    <w:rsid w:val="00B32CCF"/>
    <w:rsid w:val="00B366E5"/>
    <w:rsid w:val="00B40BC8"/>
    <w:rsid w:val="00B41A96"/>
    <w:rsid w:val="00B41C31"/>
    <w:rsid w:val="00B42E2F"/>
    <w:rsid w:val="00B43177"/>
    <w:rsid w:val="00B44B99"/>
    <w:rsid w:val="00B44D43"/>
    <w:rsid w:val="00B45A0F"/>
    <w:rsid w:val="00B50AA7"/>
    <w:rsid w:val="00B54276"/>
    <w:rsid w:val="00B568E9"/>
    <w:rsid w:val="00B56A72"/>
    <w:rsid w:val="00B572BA"/>
    <w:rsid w:val="00B61D67"/>
    <w:rsid w:val="00B62BFD"/>
    <w:rsid w:val="00B73768"/>
    <w:rsid w:val="00B7703C"/>
    <w:rsid w:val="00B77E2E"/>
    <w:rsid w:val="00B86093"/>
    <w:rsid w:val="00B90770"/>
    <w:rsid w:val="00B912BB"/>
    <w:rsid w:val="00B9302C"/>
    <w:rsid w:val="00B958F4"/>
    <w:rsid w:val="00B95AC7"/>
    <w:rsid w:val="00BA13F5"/>
    <w:rsid w:val="00BA14BE"/>
    <w:rsid w:val="00BA3615"/>
    <w:rsid w:val="00BA6D4A"/>
    <w:rsid w:val="00BB32EC"/>
    <w:rsid w:val="00BB4106"/>
    <w:rsid w:val="00BC07B4"/>
    <w:rsid w:val="00BC08CD"/>
    <w:rsid w:val="00BC4228"/>
    <w:rsid w:val="00BD59FC"/>
    <w:rsid w:val="00BD678F"/>
    <w:rsid w:val="00BD78D5"/>
    <w:rsid w:val="00BE052E"/>
    <w:rsid w:val="00BE193F"/>
    <w:rsid w:val="00BE3AAE"/>
    <w:rsid w:val="00BE6751"/>
    <w:rsid w:val="00BE71BC"/>
    <w:rsid w:val="00BF36BB"/>
    <w:rsid w:val="00BF3DC1"/>
    <w:rsid w:val="00BF676E"/>
    <w:rsid w:val="00C022C5"/>
    <w:rsid w:val="00C037BC"/>
    <w:rsid w:val="00C05B02"/>
    <w:rsid w:val="00C05B7F"/>
    <w:rsid w:val="00C0641F"/>
    <w:rsid w:val="00C1186A"/>
    <w:rsid w:val="00C169C3"/>
    <w:rsid w:val="00C22014"/>
    <w:rsid w:val="00C224CA"/>
    <w:rsid w:val="00C24F23"/>
    <w:rsid w:val="00C25ACB"/>
    <w:rsid w:val="00C25CAC"/>
    <w:rsid w:val="00C264B2"/>
    <w:rsid w:val="00C306B9"/>
    <w:rsid w:val="00C3432F"/>
    <w:rsid w:val="00C37584"/>
    <w:rsid w:val="00C37788"/>
    <w:rsid w:val="00C40D45"/>
    <w:rsid w:val="00C42003"/>
    <w:rsid w:val="00C4479D"/>
    <w:rsid w:val="00C47512"/>
    <w:rsid w:val="00C47B46"/>
    <w:rsid w:val="00C54311"/>
    <w:rsid w:val="00C557CA"/>
    <w:rsid w:val="00C6014E"/>
    <w:rsid w:val="00C630A6"/>
    <w:rsid w:val="00C631B7"/>
    <w:rsid w:val="00C66E4A"/>
    <w:rsid w:val="00C71032"/>
    <w:rsid w:val="00C719F0"/>
    <w:rsid w:val="00C73E6B"/>
    <w:rsid w:val="00C74765"/>
    <w:rsid w:val="00C7775C"/>
    <w:rsid w:val="00C84129"/>
    <w:rsid w:val="00C85CD5"/>
    <w:rsid w:val="00C85F80"/>
    <w:rsid w:val="00C87351"/>
    <w:rsid w:val="00C97BE0"/>
    <w:rsid w:val="00CA027D"/>
    <w:rsid w:val="00CB0FEA"/>
    <w:rsid w:val="00CB181F"/>
    <w:rsid w:val="00CB300D"/>
    <w:rsid w:val="00CB3966"/>
    <w:rsid w:val="00CB39A6"/>
    <w:rsid w:val="00CC07CB"/>
    <w:rsid w:val="00CC2766"/>
    <w:rsid w:val="00CC4393"/>
    <w:rsid w:val="00CC5D66"/>
    <w:rsid w:val="00CD579E"/>
    <w:rsid w:val="00CD5CDB"/>
    <w:rsid w:val="00CD727C"/>
    <w:rsid w:val="00CE44CE"/>
    <w:rsid w:val="00CF74AD"/>
    <w:rsid w:val="00D0014B"/>
    <w:rsid w:val="00D0095A"/>
    <w:rsid w:val="00D009AC"/>
    <w:rsid w:val="00D00E7A"/>
    <w:rsid w:val="00D01F42"/>
    <w:rsid w:val="00D0234C"/>
    <w:rsid w:val="00D05454"/>
    <w:rsid w:val="00D14D4F"/>
    <w:rsid w:val="00D15D32"/>
    <w:rsid w:val="00D17B56"/>
    <w:rsid w:val="00D25290"/>
    <w:rsid w:val="00D27903"/>
    <w:rsid w:val="00D27D87"/>
    <w:rsid w:val="00D40AFB"/>
    <w:rsid w:val="00D42640"/>
    <w:rsid w:val="00D42831"/>
    <w:rsid w:val="00D522C9"/>
    <w:rsid w:val="00D5293F"/>
    <w:rsid w:val="00D558AB"/>
    <w:rsid w:val="00D55F6D"/>
    <w:rsid w:val="00D572D3"/>
    <w:rsid w:val="00D62044"/>
    <w:rsid w:val="00D62CE2"/>
    <w:rsid w:val="00D71796"/>
    <w:rsid w:val="00D72AF0"/>
    <w:rsid w:val="00D73BDE"/>
    <w:rsid w:val="00D75D52"/>
    <w:rsid w:val="00D76806"/>
    <w:rsid w:val="00D77DC0"/>
    <w:rsid w:val="00D822AC"/>
    <w:rsid w:val="00D83C14"/>
    <w:rsid w:val="00D85B3C"/>
    <w:rsid w:val="00D85FEE"/>
    <w:rsid w:val="00D905A1"/>
    <w:rsid w:val="00D932FA"/>
    <w:rsid w:val="00D93F7E"/>
    <w:rsid w:val="00D949F9"/>
    <w:rsid w:val="00D95587"/>
    <w:rsid w:val="00DA0A67"/>
    <w:rsid w:val="00DA241C"/>
    <w:rsid w:val="00DA5C12"/>
    <w:rsid w:val="00DB2FD8"/>
    <w:rsid w:val="00DC0F06"/>
    <w:rsid w:val="00DC288E"/>
    <w:rsid w:val="00DC3160"/>
    <w:rsid w:val="00DC4C92"/>
    <w:rsid w:val="00DC7D12"/>
    <w:rsid w:val="00DD4BC4"/>
    <w:rsid w:val="00DE2557"/>
    <w:rsid w:val="00DE36DF"/>
    <w:rsid w:val="00DE600F"/>
    <w:rsid w:val="00DF570E"/>
    <w:rsid w:val="00DF7D70"/>
    <w:rsid w:val="00E03A48"/>
    <w:rsid w:val="00E15AE8"/>
    <w:rsid w:val="00E16E54"/>
    <w:rsid w:val="00E1791E"/>
    <w:rsid w:val="00E20192"/>
    <w:rsid w:val="00E2180F"/>
    <w:rsid w:val="00E22F69"/>
    <w:rsid w:val="00E245E6"/>
    <w:rsid w:val="00E24606"/>
    <w:rsid w:val="00E253CD"/>
    <w:rsid w:val="00E26B00"/>
    <w:rsid w:val="00E30E2B"/>
    <w:rsid w:val="00E31F9D"/>
    <w:rsid w:val="00E32AE6"/>
    <w:rsid w:val="00E32FA2"/>
    <w:rsid w:val="00E3514B"/>
    <w:rsid w:val="00E356F9"/>
    <w:rsid w:val="00E40322"/>
    <w:rsid w:val="00E418D2"/>
    <w:rsid w:val="00E437D8"/>
    <w:rsid w:val="00E454A2"/>
    <w:rsid w:val="00E52A5C"/>
    <w:rsid w:val="00E52B05"/>
    <w:rsid w:val="00E57E26"/>
    <w:rsid w:val="00E618F8"/>
    <w:rsid w:val="00E61EC1"/>
    <w:rsid w:val="00E62A2A"/>
    <w:rsid w:val="00E63C70"/>
    <w:rsid w:val="00E71626"/>
    <w:rsid w:val="00E72676"/>
    <w:rsid w:val="00E81CB4"/>
    <w:rsid w:val="00E8362F"/>
    <w:rsid w:val="00E83930"/>
    <w:rsid w:val="00E84585"/>
    <w:rsid w:val="00E84D76"/>
    <w:rsid w:val="00E86924"/>
    <w:rsid w:val="00E871CE"/>
    <w:rsid w:val="00E92965"/>
    <w:rsid w:val="00E9523A"/>
    <w:rsid w:val="00E96ECA"/>
    <w:rsid w:val="00EA2C5B"/>
    <w:rsid w:val="00EA5E46"/>
    <w:rsid w:val="00EA600C"/>
    <w:rsid w:val="00EB01EB"/>
    <w:rsid w:val="00EB1AE4"/>
    <w:rsid w:val="00EB23EE"/>
    <w:rsid w:val="00EB561B"/>
    <w:rsid w:val="00EB57A4"/>
    <w:rsid w:val="00EC29DF"/>
    <w:rsid w:val="00EC46F7"/>
    <w:rsid w:val="00EC4990"/>
    <w:rsid w:val="00ED46C3"/>
    <w:rsid w:val="00ED78D9"/>
    <w:rsid w:val="00EE50A0"/>
    <w:rsid w:val="00EE5E8C"/>
    <w:rsid w:val="00EF3075"/>
    <w:rsid w:val="00EF47B1"/>
    <w:rsid w:val="00EF4F4C"/>
    <w:rsid w:val="00EF5031"/>
    <w:rsid w:val="00EF63A9"/>
    <w:rsid w:val="00F07250"/>
    <w:rsid w:val="00F10FF7"/>
    <w:rsid w:val="00F113F1"/>
    <w:rsid w:val="00F1296B"/>
    <w:rsid w:val="00F15063"/>
    <w:rsid w:val="00F206EE"/>
    <w:rsid w:val="00F22B0F"/>
    <w:rsid w:val="00F23E99"/>
    <w:rsid w:val="00F24F47"/>
    <w:rsid w:val="00F25A07"/>
    <w:rsid w:val="00F266F3"/>
    <w:rsid w:val="00F26CA2"/>
    <w:rsid w:val="00F272A1"/>
    <w:rsid w:val="00F330AB"/>
    <w:rsid w:val="00F341D2"/>
    <w:rsid w:val="00F34FF0"/>
    <w:rsid w:val="00F35A97"/>
    <w:rsid w:val="00F363F8"/>
    <w:rsid w:val="00F419C0"/>
    <w:rsid w:val="00F444A2"/>
    <w:rsid w:val="00F50449"/>
    <w:rsid w:val="00F532A5"/>
    <w:rsid w:val="00F5476B"/>
    <w:rsid w:val="00F54E4D"/>
    <w:rsid w:val="00F54F9D"/>
    <w:rsid w:val="00F57212"/>
    <w:rsid w:val="00F60C3B"/>
    <w:rsid w:val="00F6115A"/>
    <w:rsid w:val="00F61406"/>
    <w:rsid w:val="00F61A0F"/>
    <w:rsid w:val="00F70267"/>
    <w:rsid w:val="00F70478"/>
    <w:rsid w:val="00F71526"/>
    <w:rsid w:val="00F75E8B"/>
    <w:rsid w:val="00F7672B"/>
    <w:rsid w:val="00F81A53"/>
    <w:rsid w:val="00F81D88"/>
    <w:rsid w:val="00F9188E"/>
    <w:rsid w:val="00F9287B"/>
    <w:rsid w:val="00F94D75"/>
    <w:rsid w:val="00F950D4"/>
    <w:rsid w:val="00FA1CF6"/>
    <w:rsid w:val="00FA2F56"/>
    <w:rsid w:val="00FA4239"/>
    <w:rsid w:val="00FA77A0"/>
    <w:rsid w:val="00FA794C"/>
    <w:rsid w:val="00FB3611"/>
    <w:rsid w:val="00FB4374"/>
    <w:rsid w:val="00FB440E"/>
    <w:rsid w:val="00FB614D"/>
    <w:rsid w:val="00FB7E1E"/>
    <w:rsid w:val="00FC580D"/>
    <w:rsid w:val="00FC6A3A"/>
    <w:rsid w:val="00FD01F8"/>
    <w:rsid w:val="00FD1A23"/>
    <w:rsid w:val="00FD4CAE"/>
    <w:rsid w:val="00FD7D90"/>
    <w:rsid w:val="00FE11AB"/>
    <w:rsid w:val="00FE5547"/>
    <w:rsid w:val="00FE5B68"/>
    <w:rsid w:val="00FE5C3E"/>
    <w:rsid w:val="00FE7473"/>
    <w:rsid w:val="00FF2783"/>
    <w:rsid w:val="00FF5DEF"/>
    <w:rsid w:val="00FF7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667848"/>
  <w14:defaultImageDpi w14:val="300"/>
  <w15:docId w15:val="{6FF2C425-90E5-A247-B029-3C2154FC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13B"/>
    <w:pPr>
      <w:spacing w:before="120" w:after="120"/>
    </w:pPr>
    <w:rPr>
      <w:rFonts w:ascii="Arial" w:eastAsia="Times New Roman" w:hAnsi="Arial" w:cs="Times New Roman"/>
      <w:sz w:val="22"/>
      <w:lang w:val="en-GB"/>
    </w:rPr>
  </w:style>
  <w:style w:type="paragraph" w:styleId="Heading1">
    <w:name w:val="heading 1"/>
    <w:basedOn w:val="Normal"/>
    <w:next w:val="Normal"/>
    <w:link w:val="Heading1Char"/>
    <w:uiPriority w:val="9"/>
    <w:qFormat/>
    <w:rsid w:val="00735E20"/>
    <w:pPr>
      <w:outlineLvl w:val="0"/>
    </w:pPr>
    <w:rPr>
      <w:rFonts w:cs="Arial"/>
      <w:b/>
      <w:sz w:val="32"/>
      <w:szCs w:val="32"/>
    </w:rPr>
  </w:style>
  <w:style w:type="paragraph" w:styleId="Heading2">
    <w:name w:val="heading 2"/>
    <w:basedOn w:val="Normal"/>
    <w:next w:val="Normal"/>
    <w:link w:val="Heading2Char"/>
    <w:uiPriority w:val="9"/>
    <w:unhideWhenUsed/>
    <w:qFormat/>
    <w:rsid w:val="00B45A0F"/>
    <w:pPr>
      <w:outlineLvl w:val="1"/>
    </w:pPr>
    <w:rPr>
      <w:b/>
      <w:sz w:val="28"/>
      <w:szCs w:val="28"/>
    </w:rPr>
  </w:style>
  <w:style w:type="paragraph" w:styleId="Heading3">
    <w:name w:val="heading 3"/>
    <w:basedOn w:val="Normal"/>
    <w:next w:val="Normal"/>
    <w:link w:val="Heading3Char"/>
    <w:uiPriority w:val="9"/>
    <w:unhideWhenUsed/>
    <w:qFormat/>
    <w:rsid w:val="00E84D7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527C9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527C9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761"/>
    <w:pPr>
      <w:tabs>
        <w:tab w:val="center" w:pos="4320"/>
        <w:tab w:val="right" w:pos="8640"/>
      </w:tabs>
    </w:pPr>
  </w:style>
  <w:style w:type="character" w:customStyle="1" w:styleId="HeaderChar">
    <w:name w:val="Header Char"/>
    <w:basedOn w:val="DefaultParagraphFont"/>
    <w:link w:val="Header"/>
    <w:uiPriority w:val="99"/>
    <w:rsid w:val="00760761"/>
  </w:style>
  <w:style w:type="paragraph" w:styleId="Footer">
    <w:name w:val="footer"/>
    <w:basedOn w:val="Normal"/>
    <w:link w:val="FooterChar"/>
    <w:uiPriority w:val="99"/>
    <w:unhideWhenUsed/>
    <w:rsid w:val="00760761"/>
    <w:pPr>
      <w:tabs>
        <w:tab w:val="center" w:pos="4320"/>
        <w:tab w:val="right" w:pos="8640"/>
      </w:tabs>
    </w:pPr>
  </w:style>
  <w:style w:type="character" w:customStyle="1" w:styleId="FooterChar">
    <w:name w:val="Footer Char"/>
    <w:basedOn w:val="DefaultParagraphFont"/>
    <w:link w:val="Footer"/>
    <w:uiPriority w:val="99"/>
    <w:rsid w:val="00760761"/>
  </w:style>
  <w:style w:type="character" w:customStyle="1" w:styleId="Heading1Char">
    <w:name w:val="Heading 1 Char"/>
    <w:basedOn w:val="DefaultParagraphFont"/>
    <w:link w:val="Heading1"/>
    <w:uiPriority w:val="9"/>
    <w:rsid w:val="00735E20"/>
    <w:rPr>
      <w:rFonts w:ascii="Arial" w:eastAsia="Times New Roman" w:hAnsi="Arial" w:cs="Arial"/>
      <w:b/>
      <w:sz w:val="32"/>
      <w:szCs w:val="32"/>
      <w:lang w:val="en-GB"/>
    </w:rPr>
  </w:style>
  <w:style w:type="character" w:customStyle="1" w:styleId="Heading2Char">
    <w:name w:val="Heading 2 Char"/>
    <w:basedOn w:val="DefaultParagraphFont"/>
    <w:link w:val="Heading2"/>
    <w:uiPriority w:val="9"/>
    <w:rsid w:val="00B45A0F"/>
    <w:rPr>
      <w:rFonts w:ascii="Arial" w:hAnsi="Arial"/>
      <w:b/>
      <w:sz w:val="28"/>
      <w:szCs w:val="28"/>
    </w:rPr>
  </w:style>
  <w:style w:type="character" w:styleId="CommentReference">
    <w:name w:val="annotation reference"/>
    <w:basedOn w:val="DefaultParagraphFont"/>
    <w:uiPriority w:val="99"/>
    <w:semiHidden/>
    <w:unhideWhenUsed/>
    <w:rsid w:val="00B45A0F"/>
    <w:rPr>
      <w:sz w:val="18"/>
      <w:szCs w:val="18"/>
    </w:rPr>
  </w:style>
  <w:style w:type="paragraph" w:styleId="CommentText">
    <w:name w:val="annotation text"/>
    <w:basedOn w:val="Normal"/>
    <w:link w:val="CommentTextChar"/>
    <w:uiPriority w:val="99"/>
    <w:unhideWhenUsed/>
    <w:rsid w:val="00B45A0F"/>
  </w:style>
  <w:style w:type="character" w:customStyle="1" w:styleId="CommentTextChar">
    <w:name w:val="Comment Text Char"/>
    <w:basedOn w:val="DefaultParagraphFont"/>
    <w:link w:val="CommentText"/>
    <w:uiPriority w:val="99"/>
    <w:rsid w:val="00B45A0F"/>
    <w:rPr>
      <w:rFonts w:ascii="Arial" w:hAnsi="Arial"/>
    </w:rPr>
  </w:style>
  <w:style w:type="paragraph" w:styleId="CommentSubject">
    <w:name w:val="annotation subject"/>
    <w:basedOn w:val="CommentText"/>
    <w:next w:val="CommentText"/>
    <w:link w:val="CommentSubjectChar"/>
    <w:uiPriority w:val="99"/>
    <w:semiHidden/>
    <w:unhideWhenUsed/>
    <w:rsid w:val="00B45A0F"/>
    <w:rPr>
      <w:b/>
      <w:bCs/>
      <w:sz w:val="20"/>
      <w:szCs w:val="20"/>
    </w:rPr>
  </w:style>
  <w:style w:type="character" w:customStyle="1" w:styleId="CommentSubjectChar">
    <w:name w:val="Comment Subject Char"/>
    <w:basedOn w:val="CommentTextChar"/>
    <w:link w:val="CommentSubject"/>
    <w:uiPriority w:val="99"/>
    <w:semiHidden/>
    <w:rsid w:val="00B45A0F"/>
    <w:rPr>
      <w:rFonts w:ascii="Arial" w:hAnsi="Arial"/>
      <w:b/>
      <w:bCs/>
      <w:sz w:val="20"/>
      <w:szCs w:val="20"/>
    </w:rPr>
  </w:style>
  <w:style w:type="paragraph" w:styleId="BalloonText">
    <w:name w:val="Balloon Text"/>
    <w:basedOn w:val="Normal"/>
    <w:link w:val="BalloonTextChar"/>
    <w:uiPriority w:val="99"/>
    <w:semiHidden/>
    <w:unhideWhenUsed/>
    <w:rsid w:val="00B45A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5A0F"/>
    <w:rPr>
      <w:rFonts w:ascii="Lucida Grande" w:hAnsi="Lucida Grande" w:cs="Lucida Grande"/>
      <w:sz w:val="18"/>
      <w:szCs w:val="18"/>
    </w:rPr>
  </w:style>
  <w:style w:type="paragraph" w:styleId="ListParagraph">
    <w:name w:val="List Paragraph"/>
    <w:basedOn w:val="Normal"/>
    <w:uiPriority w:val="34"/>
    <w:qFormat/>
    <w:rsid w:val="0038775B"/>
    <w:pPr>
      <w:ind w:left="720"/>
      <w:contextualSpacing/>
    </w:pPr>
  </w:style>
  <w:style w:type="table" w:styleId="TableGrid">
    <w:name w:val="Table Grid"/>
    <w:basedOn w:val="TableNormal"/>
    <w:uiPriority w:val="59"/>
    <w:rsid w:val="00463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7388"/>
    <w:rPr>
      <w:color w:val="0000FF" w:themeColor="hyperlink"/>
      <w:u w:val="single"/>
    </w:rPr>
  </w:style>
  <w:style w:type="character" w:styleId="PageNumber">
    <w:name w:val="page number"/>
    <w:basedOn w:val="DefaultParagraphFont"/>
    <w:uiPriority w:val="99"/>
    <w:semiHidden/>
    <w:unhideWhenUsed/>
    <w:rsid w:val="00527388"/>
  </w:style>
  <w:style w:type="paragraph" w:styleId="NormalWeb">
    <w:name w:val="Normal (Web)"/>
    <w:basedOn w:val="Normal"/>
    <w:uiPriority w:val="99"/>
    <w:unhideWhenUsed/>
    <w:rsid w:val="00910DDB"/>
    <w:pPr>
      <w:spacing w:before="100" w:beforeAutospacing="1" w:after="100" w:afterAutospacing="1"/>
    </w:pPr>
    <w:rPr>
      <w:rFonts w:eastAsiaTheme="minorHAnsi"/>
    </w:rPr>
  </w:style>
  <w:style w:type="paragraph" w:styleId="TOCHeading">
    <w:name w:val="TOC Heading"/>
    <w:basedOn w:val="Heading1"/>
    <w:next w:val="Normal"/>
    <w:uiPriority w:val="39"/>
    <w:unhideWhenUsed/>
    <w:qFormat/>
    <w:rsid w:val="00746422"/>
    <w:pPr>
      <w:keepNext/>
      <w:keepLines/>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537578"/>
    <w:pPr>
      <w:tabs>
        <w:tab w:val="right" w:pos="9735"/>
      </w:tabs>
      <w:spacing w:before="60" w:after="60"/>
      <w:ind w:left="720"/>
    </w:pPr>
    <w:rPr>
      <w:rFonts w:asciiTheme="majorHAnsi" w:hAnsiTheme="majorHAnsi"/>
      <w:b/>
      <w:bCs/>
      <w:caps/>
    </w:rPr>
  </w:style>
  <w:style w:type="paragraph" w:styleId="TOC2">
    <w:name w:val="toc 2"/>
    <w:basedOn w:val="Normal"/>
    <w:next w:val="Normal"/>
    <w:autoRedefine/>
    <w:uiPriority w:val="39"/>
    <w:unhideWhenUsed/>
    <w:rsid w:val="007D4F98"/>
    <w:pPr>
      <w:tabs>
        <w:tab w:val="right" w:leader="dot" w:pos="9735"/>
      </w:tabs>
      <w:spacing w:before="60" w:after="60"/>
      <w:ind w:left="720"/>
    </w:pPr>
    <w:rPr>
      <w:rFonts w:asciiTheme="minorHAnsi" w:hAnsiTheme="minorHAnsi"/>
      <w:b/>
      <w:bCs/>
      <w:sz w:val="20"/>
      <w:szCs w:val="20"/>
    </w:rPr>
  </w:style>
  <w:style w:type="paragraph" w:styleId="TOC3">
    <w:name w:val="toc 3"/>
    <w:basedOn w:val="Normal"/>
    <w:next w:val="Normal"/>
    <w:autoRedefine/>
    <w:uiPriority w:val="39"/>
    <w:unhideWhenUsed/>
    <w:rsid w:val="00746422"/>
    <w:pPr>
      <w:ind w:left="240"/>
    </w:pPr>
    <w:rPr>
      <w:rFonts w:asciiTheme="minorHAnsi" w:hAnsiTheme="minorHAnsi"/>
      <w:sz w:val="20"/>
      <w:szCs w:val="20"/>
    </w:rPr>
  </w:style>
  <w:style w:type="paragraph" w:styleId="TOC4">
    <w:name w:val="toc 4"/>
    <w:basedOn w:val="Normal"/>
    <w:next w:val="Normal"/>
    <w:autoRedefine/>
    <w:uiPriority w:val="39"/>
    <w:unhideWhenUsed/>
    <w:rsid w:val="00746422"/>
    <w:pPr>
      <w:ind w:left="480"/>
    </w:pPr>
    <w:rPr>
      <w:rFonts w:asciiTheme="minorHAnsi" w:hAnsiTheme="minorHAnsi"/>
      <w:sz w:val="20"/>
      <w:szCs w:val="20"/>
    </w:rPr>
  </w:style>
  <w:style w:type="paragraph" w:styleId="TOC5">
    <w:name w:val="toc 5"/>
    <w:basedOn w:val="Normal"/>
    <w:next w:val="Normal"/>
    <w:autoRedefine/>
    <w:uiPriority w:val="39"/>
    <w:unhideWhenUsed/>
    <w:rsid w:val="00746422"/>
    <w:pPr>
      <w:ind w:left="720"/>
    </w:pPr>
    <w:rPr>
      <w:rFonts w:asciiTheme="minorHAnsi" w:hAnsiTheme="minorHAnsi"/>
      <w:sz w:val="20"/>
      <w:szCs w:val="20"/>
    </w:rPr>
  </w:style>
  <w:style w:type="paragraph" w:styleId="TOC6">
    <w:name w:val="toc 6"/>
    <w:basedOn w:val="Normal"/>
    <w:next w:val="Normal"/>
    <w:autoRedefine/>
    <w:uiPriority w:val="39"/>
    <w:unhideWhenUsed/>
    <w:rsid w:val="00746422"/>
    <w:pPr>
      <w:ind w:left="960"/>
    </w:pPr>
    <w:rPr>
      <w:rFonts w:asciiTheme="minorHAnsi" w:hAnsiTheme="minorHAnsi"/>
      <w:sz w:val="20"/>
      <w:szCs w:val="20"/>
    </w:rPr>
  </w:style>
  <w:style w:type="paragraph" w:styleId="TOC7">
    <w:name w:val="toc 7"/>
    <w:basedOn w:val="Normal"/>
    <w:next w:val="Normal"/>
    <w:autoRedefine/>
    <w:uiPriority w:val="39"/>
    <w:unhideWhenUsed/>
    <w:rsid w:val="00746422"/>
    <w:pPr>
      <w:ind w:left="1200"/>
    </w:pPr>
    <w:rPr>
      <w:rFonts w:asciiTheme="minorHAnsi" w:hAnsiTheme="minorHAnsi"/>
      <w:sz w:val="20"/>
      <w:szCs w:val="20"/>
    </w:rPr>
  </w:style>
  <w:style w:type="paragraph" w:styleId="TOC8">
    <w:name w:val="toc 8"/>
    <w:basedOn w:val="Normal"/>
    <w:next w:val="Normal"/>
    <w:autoRedefine/>
    <w:uiPriority w:val="39"/>
    <w:unhideWhenUsed/>
    <w:rsid w:val="00746422"/>
    <w:pPr>
      <w:ind w:left="1440"/>
    </w:pPr>
    <w:rPr>
      <w:rFonts w:asciiTheme="minorHAnsi" w:hAnsiTheme="minorHAnsi"/>
      <w:sz w:val="20"/>
      <w:szCs w:val="20"/>
    </w:rPr>
  </w:style>
  <w:style w:type="paragraph" w:styleId="TOC9">
    <w:name w:val="toc 9"/>
    <w:basedOn w:val="Normal"/>
    <w:next w:val="Normal"/>
    <w:autoRedefine/>
    <w:uiPriority w:val="39"/>
    <w:unhideWhenUsed/>
    <w:rsid w:val="00746422"/>
    <w:pPr>
      <w:ind w:left="1680"/>
    </w:pPr>
    <w:rPr>
      <w:rFonts w:asciiTheme="minorHAnsi" w:hAnsiTheme="minorHAnsi"/>
      <w:sz w:val="20"/>
      <w:szCs w:val="20"/>
    </w:rPr>
  </w:style>
  <w:style w:type="character" w:styleId="FollowedHyperlink">
    <w:name w:val="FollowedHyperlink"/>
    <w:basedOn w:val="DefaultParagraphFont"/>
    <w:uiPriority w:val="99"/>
    <w:semiHidden/>
    <w:unhideWhenUsed/>
    <w:rsid w:val="00B054A1"/>
    <w:rPr>
      <w:color w:val="800080" w:themeColor="followedHyperlink"/>
      <w:u w:val="single"/>
    </w:rPr>
  </w:style>
  <w:style w:type="character" w:styleId="UnresolvedMention">
    <w:name w:val="Unresolved Mention"/>
    <w:basedOn w:val="DefaultParagraphFont"/>
    <w:uiPriority w:val="99"/>
    <w:semiHidden/>
    <w:unhideWhenUsed/>
    <w:rsid w:val="00AE243E"/>
    <w:rPr>
      <w:color w:val="605E5C"/>
      <w:shd w:val="clear" w:color="auto" w:fill="E1DFDD"/>
    </w:rPr>
  </w:style>
  <w:style w:type="paragraph" w:styleId="NoSpacing">
    <w:name w:val="No Spacing"/>
    <w:uiPriority w:val="1"/>
    <w:qFormat/>
    <w:rsid w:val="00AE243E"/>
    <w:rPr>
      <w:rFonts w:ascii="Calibri" w:eastAsia="Calibri" w:hAnsi="Calibri" w:cs="Times New Roman"/>
      <w:sz w:val="22"/>
      <w:szCs w:val="22"/>
      <w:lang w:val="en-GB"/>
    </w:rPr>
  </w:style>
  <w:style w:type="character" w:customStyle="1" w:styleId="Heading3Char">
    <w:name w:val="Heading 3 Char"/>
    <w:basedOn w:val="DefaultParagraphFont"/>
    <w:link w:val="Heading3"/>
    <w:uiPriority w:val="9"/>
    <w:rsid w:val="00E84D76"/>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527C91"/>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rsid w:val="00527C91"/>
    <w:rPr>
      <w:rFonts w:asciiTheme="majorHAnsi" w:eastAsiaTheme="majorEastAsia" w:hAnsiTheme="majorHAnsi" w:cstheme="majorBidi"/>
      <w:color w:val="365F91" w:themeColor="accent1" w:themeShade="BF"/>
      <w:lang w:val="en-GB"/>
    </w:rPr>
  </w:style>
  <w:style w:type="character" w:styleId="Emphasis">
    <w:name w:val="Emphasis"/>
    <w:uiPriority w:val="20"/>
    <w:qFormat/>
    <w:rsid w:val="00527C91"/>
    <w:rPr>
      <w:i/>
      <w:iCs/>
    </w:rPr>
  </w:style>
  <w:style w:type="character" w:customStyle="1" w:styleId="apple-converted-space">
    <w:name w:val="apple-converted-space"/>
    <w:basedOn w:val="DefaultParagraphFont"/>
    <w:rsid w:val="00527C91"/>
  </w:style>
  <w:style w:type="paragraph" w:styleId="Revision">
    <w:name w:val="Revision"/>
    <w:hidden/>
    <w:uiPriority w:val="99"/>
    <w:semiHidden/>
    <w:rsid w:val="00527C91"/>
    <w:rPr>
      <w:rFonts w:eastAsiaTheme="minorHAnsi"/>
      <w:lang w:val="en-GB"/>
    </w:rPr>
  </w:style>
  <w:style w:type="character" w:customStyle="1" w:styleId="UnresolvedMention1">
    <w:name w:val="Unresolved Mention1"/>
    <w:basedOn w:val="DefaultParagraphFont"/>
    <w:uiPriority w:val="99"/>
    <w:semiHidden/>
    <w:unhideWhenUsed/>
    <w:rsid w:val="00527C91"/>
    <w:rPr>
      <w:color w:val="605E5C"/>
      <w:shd w:val="clear" w:color="auto" w:fill="E1DFDD"/>
    </w:rPr>
  </w:style>
  <w:style w:type="paragraph" w:customStyle="1" w:styleId="bulletindent1">
    <w:name w:val="bulletindent1"/>
    <w:basedOn w:val="Normal"/>
    <w:rsid w:val="00527C91"/>
    <w:pPr>
      <w:spacing w:before="100" w:beforeAutospacing="1" w:after="100" w:afterAutospacing="1"/>
    </w:pPr>
    <w:rPr>
      <w:lang w:eastAsia="en-GB"/>
    </w:rPr>
  </w:style>
  <w:style w:type="character" w:customStyle="1" w:styleId="glyph">
    <w:name w:val="glyph"/>
    <w:basedOn w:val="DefaultParagraphFont"/>
    <w:rsid w:val="00527C91"/>
  </w:style>
  <w:style w:type="character" w:customStyle="1" w:styleId="highwire-citation-authors">
    <w:name w:val="highwire-citation-authors"/>
    <w:basedOn w:val="DefaultParagraphFont"/>
    <w:rsid w:val="00527C91"/>
  </w:style>
  <w:style w:type="character" w:customStyle="1" w:styleId="highwire-citation-author">
    <w:name w:val="highwire-citation-author"/>
    <w:basedOn w:val="DefaultParagraphFont"/>
    <w:rsid w:val="00527C91"/>
  </w:style>
  <w:style w:type="character" w:customStyle="1" w:styleId="nlm-surname">
    <w:name w:val="nlm-surname"/>
    <w:basedOn w:val="DefaultParagraphFont"/>
    <w:rsid w:val="00527C91"/>
  </w:style>
  <w:style w:type="character" w:customStyle="1" w:styleId="citation-et">
    <w:name w:val="citation-et"/>
    <w:basedOn w:val="DefaultParagraphFont"/>
    <w:rsid w:val="00527C91"/>
  </w:style>
  <w:style w:type="character" w:customStyle="1" w:styleId="highwire-cite-metadata-journal">
    <w:name w:val="highwire-cite-metadata-journal"/>
    <w:basedOn w:val="DefaultParagraphFont"/>
    <w:rsid w:val="00527C91"/>
  </w:style>
  <w:style w:type="character" w:customStyle="1" w:styleId="highwire-cite-metadata-year">
    <w:name w:val="highwire-cite-metadata-year"/>
    <w:basedOn w:val="DefaultParagraphFont"/>
    <w:rsid w:val="00527C91"/>
  </w:style>
  <w:style w:type="character" w:customStyle="1" w:styleId="highwire-cite-metadata-volume">
    <w:name w:val="highwire-cite-metadata-volume"/>
    <w:basedOn w:val="DefaultParagraphFont"/>
    <w:rsid w:val="00527C91"/>
  </w:style>
  <w:style w:type="character" w:customStyle="1" w:styleId="highwire-cite-metadata-elocation-id">
    <w:name w:val="highwire-cite-metadata-elocation-id"/>
    <w:basedOn w:val="DefaultParagraphFont"/>
    <w:rsid w:val="00527C91"/>
  </w:style>
  <w:style w:type="table" w:styleId="GridTable6Colorful-Accent1">
    <w:name w:val="Grid Table 6 Colorful Accent 1"/>
    <w:basedOn w:val="TableNormal"/>
    <w:uiPriority w:val="51"/>
    <w:rsid w:val="00527C91"/>
    <w:rPr>
      <w:rFonts w:eastAsiaTheme="minorHAnsi"/>
      <w:color w:val="365F91" w:themeColor="accent1" w:themeShade="BF"/>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27C91"/>
    <w:rPr>
      <w:rFonts w:eastAsiaTheme="minorHAns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
    <w:name w:val="Grid Table 6 Colorful"/>
    <w:basedOn w:val="TableNormal"/>
    <w:uiPriority w:val="51"/>
    <w:rsid w:val="00527C91"/>
    <w:rPr>
      <w:rFonts w:eastAsiaTheme="minorHAnsi"/>
      <w:color w:val="000000" w:themeColor="text1"/>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27C91"/>
    <w:rPr>
      <w:rFonts w:eastAsiaTheme="minorHAnsi"/>
      <w:color w:val="365F91" w:themeColor="accent1" w:themeShade="BF"/>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527C91"/>
    <w:rPr>
      <w:rFonts w:eastAsiaTheme="minorHAns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1">
    <w:name w:val="Grid Table 6 Colorful1"/>
    <w:basedOn w:val="TableNormal"/>
    <w:uiPriority w:val="51"/>
    <w:rsid w:val="00527C91"/>
    <w:rPr>
      <w:rFonts w:eastAsiaTheme="minorHAnsi"/>
      <w:color w:val="000000" w:themeColor="text1"/>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roduct-title">
    <w:name w:val="product-title"/>
    <w:basedOn w:val="Normal"/>
    <w:rsid w:val="00354B02"/>
    <w:pPr>
      <w:spacing w:before="100" w:beforeAutospacing="1" w:after="100" w:afterAutospacing="1"/>
    </w:pPr>
    <w:rPr>
      <w:lang w:eastAsia="en-GB"/>
    </w:rPr>
  </w:style>
  <w:style w:type="character" w:customStyle="1" w:styleId="prod-title">
    <w:name w:val="prod-title"/>
    <w:basedOn w:val="DefaultParagraphFont"/>
    <w:rsid w:val="00354B02"/>
  </w:style>
  <w:style w:type="character" w:customStyle="1" w:styleId="published-date">
    <w:name w:val="published-date"/>
    <w:basedOn w:val="DefaultParagraphFont"/>
    <w:rsid w:val="00354B02"/>
  </w:style>
  <w:style w:type="character" w:styleId="Strong">
    <w:name w:val="Strong"/>
    <w:basedOn w:val="DefaultParagraphFont"/>
    <w:uiPriority w:val="22"/>
    <w:qFormat/>
    <w:rsid w:val="00483318"/>
    <w:rPr>
      <w:b/>
      <w:bCs/>
    </w:rPr>
  </w:style>
  <w:style w:type="paragraph" w:customStyle="1" w:styleId="pf0">
    <w:name w:val="pf0"/>
    <w:basedOn w:val="Normal"/>
    <w:rsid w:val="002E0A78"/>
    <w:pPr>
      <w:spacing w:before="100" w:beforeAutospacing="1" w:after="100" w:afterAutospacing="1"/>
    </w:pPr>
    <w:rPr>
      <w:rFonts w:ascii="Times New Roman" w:hAnsi="Times New Roman"/>
      <w:sz w:val="24"/>
      <w:lang w:eastAsia="en-GB"/>
    </w:rPr>
  </w:style>
  <w:style w:type="character" w:customStyle="1" w:styleId="cf01">
    <w:name w:val="cf01"/>
    <w:basedOn w:val="DefaultParagraphFont"/>
    <w:rsid w:val="002E0A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194">
      <w:bodyDiv w:val="1"/>
      <w:marLeft w:val="0"/>
      <w:marRight w:val="0"/>
      <w:marTop w:val="0"/>
      <w:marBottom w:val="0"/>
      <w:divBdr>
        <w:top w:val="none" w:sz="0" w:space="0" w:color="auto"/>
        <w:left w:val="none" w:sz="0" w:space="0" w:color="auto"/>
        <w:bottom w:val="none" w:sz="0" w:space="0" w:color="auto"/>
        <w:right w:val="none" w:sz="0" w:space="0" w:color="auto"/>
      </w:divBdr>
    </w:div>
    <w:div w:id="146942807">
      <w:bodyDiv w:val="1"/>
      <w:marLeft w:val="0"/>
      <w:marRight w:val="0"/>
      <w:marTop w:val="0"/>
      <w:marBottom w:val="0"/>
      <w:divBdr>
        <w:top w:val="none" w:sz="0" w:space="0" w:color="auto"/>
        <w:left w:val="none" w:sz="0" w:space="0" w:color="auto"/>
        <w:bottom w:val="none" w:sz="0" w:space="0" w:color="auto"/>
        <w:right w:val="none" w:sz="0" w:space="0" w:color="auto"/>
      </w:divBdr>
    </w:div>
    <w:div w:id="159392506">
      <w:bodyDiv w:val="1"/>
      <w:marLeft w:val="0"/>
      <w:marRight w:val="0"/>
      <w:marTop w:val="0"/>
      <w:marBottom w:val="0"/>
      <w:divBdr>
        <w:top w:val="none" w:sz="0" w:space="0" w:color="auto"/>
        <w:left w:val="none" w:sz="0" w:space="0" w:color="auto"/>
        <w:bottom w:val="none" w:sz="0" w:space="0" w:color="auto"/>
        <w:right w:val="none" w:sz="0" w:space="0" w:color="auto"/>
      </w:divBdr>
    </w:div>
    <w:div w:id="196935900">
      <w:bodyDiv w:val="1"/>
      <w:marLeft w:val="0"/>
      <w:marRight w:val="0"/>
      <w:marTop w:val="0"/>
      <w:marBottom w:val="0"/>
      <w:divBdr>
        <w:top w:val="none" w:sz="0" w:space="0" w:color="auto"/>
        <w:left w:val="none" w:sz="0" w:space="0" w:color="auto"/>
        <w:bottom w:val="none" w:sz="0" w:space="0" w:color="auto"/>
        <w:right w:val="none" w:sz="0" w:space="0" w:color="auto"/>
      </w:divBdr>
    </w:div>
    <w:div w:id="275332468">
      <w:bodyDiv w:val="1"/>
      <w:marLeft w:val="0"/>
      <w:marRight w:val="0"/>
      <w:marTop w:val="0"/>
      <w:marBottom w:val="0"/>
      <w:divBdr>
        <w:top w:val="none" w:sz="0" w:space="0" w:color="auto"/>
        <w:left w:val="none" w:sz="0" w:space="0" w:color="auto"/>
        <w:bottom w:val="none" w:sz="0" w:space="0" w:color="auto"/>
        <w:right w:val="none" w:sz="0" w:space="0" w:color="auto"/>
      </w:divBdr>
    </w:div>
    <w:div w:id="465850832">
      <w:bodyDiv w:val="1"/>
      <w:marLeft w:val="0"/>
      <w:marRight w:val="0"/>
      <w:marTop w:val="0"/>
      <w:marBottom w:val="0"/>
      <w:divBdr>
        <w:top w:val="none" w:sz="0" w:space="0" w:color="auto"/>
        <w:left w:val="none" w:sz="0" w:space="0" w:color="auto"/>
        <w:bottom w:val="none" w:sz="0" w:space="0" w:color="auto"/>
        <w:right w:val="none" w:sz="0" w:space="0" w:color="auto"/>
      </w:divBdr>
    </w:div>
    <w:div w:id="481852606">
      <w:bodyDiv w:val="1"/>
      <w:marLeft w:val="0"/>
      <w:marRight w:val="0"/>
      <w:marTop w:val="0"/>
      <w:marBottom w:val="0"/>
      <w:divBdr>
        <w:top w:val="none" w:sz="0" w:space="0" w:color="auto"/>
        <w:left w:val="none" w:sz="0" w:space="0" w:color="auto"/>
        <w:bottom w:val="none" w:sz="0" w:space="0" w:color="auto"/>
        <w:right w:val="none" w:sz="0" w:space="0" w:color="auto"/>
      </w:divBdr>
    </w:div>
    <w:div w:id="691538049">
      <w:bodyDiv w:val="1"/>
      <w:marLeft w:val="0"/>
      <w:marRight w:val="0"/>
      <w:marTop w:val="0"/>
      <w:marBottom w:val="0"/>
      <w:divBdr>
        <w:top w:val="none" w:sz="0" w:space="0" w:color="auto"/>
        <w:left w:val="none" w:sz="0" w:space="0" w:color="auto"/>
        <w:bottom w:val="none" w:sz="0" w:space="0" w:color="auto"/>
        <w:right w:val="none" w:sz="0" w:space="0" w:color="auto"/>
      </w:divBdr>
    </w:div>
    <w:div w:id="705567126">
      <w:bodyDiv w:val="1"/>
      <w:marLeft w:val="0"/>
      <w:marRight w:val="0"/>
      <w:marTop w:val="0"/>
      <w:marBottom w:val="0"/>
      <w:divBdr>
        <w:top w:val="none" w:sz="0" w:space="0" w:color="auto"/>
        <w:left w:val="none" w:sz="0" w:space="0" w:color="auto"/>
        <w:bottom w:val="none" w:sz="0" w:space="0" w:color="auto"/>
        <w:right w:val="none" w:sz="0" w:space="0" w:color="auto"/>
      </w:divBdr>
    </w:div>
    <w:div w:id="713889728">
      <w:bodyDiv w:val="1"/>
      <w:marLeft w:val="0"/>
      <w:marRight w:val="0"/>
      <w:marTop w:val="0"/>
      <w:marBottom w:val="0"/>
      <w:divBdr>
        <w:top w:val="none" w:sz="0" w:space="0" w:color="auto"/>
        <w:left w:val="none" w:sz="0" w:space="0" w:color="auto"/>
        <w:bottom w:val="none" w:sz="0" w:space="0" w:color="auto"/>
        <w:right w:val="none" w:sz="0" w:space="0" w:color="auto"/>
      </w:divBdr>
    </w:div>
    <w:div w:id="748309696">
      <w:bodyDiv w:val="1"/>
      <w:marLeft w:val="0"/>
      <w:marRight w:val="0"/>
      <w:marTop w:val="0"/>
      <w:marBottom w:val="0"/>
      <w:divBdr>
        <w:top w:val="none" w:sz="0" w:space="0" w:color="auto"/>
        <w:left w:val="none" w:sz="0" w:space="0" w:color="auto"/>
        <w:bottom w:val="none" w:sz="0" w:space="0" w:color="auto"/>
        <w:right w:val="none" w:sz="0" w:space="0" w:color="auto"/>
      </w:divBdr>
    </w:div>
    <w:div w:id="752043979">
      <w:bodyDiv w:val="1"/>
      <w:marLeft w:val="0"/>
      <w:marRight w:val="0"/>
      <w:marTop w:val="0"/>
      <w:marBottom w:val="0"/>
      <w:divBdr>
        <w:top w:val="none" w:sz="0" w:space="0" w:color="auto"/>
        <w:left w:val="none" w:sz="0" w:space="0" w:color="auto"/>
        <w:bottom w:val="none" w:sz="0" w:space="0" w:color="auto"/>
        <w:right w:val="none" w:sz="0" w:space="0" w:color="auto"/>
      </w:divBdr>
    </w:div>
    <w:div w:id="779110895">
      <w:bodyDiv w:val="1"/>
      <w:marLeft w:val="0"/>
      <w:marRight w:val="0"/>
      <w:marTop w:val="0"/>
      <w:marBottom w:val="0"/>
      <w:divBdr>
        <w:top w:val="none" w:sz="0" w:space="0" w:color="auto"/>
        <w:left w:val="none" w:sz="0" w:space="0" w:color="auto"/>
        <w:bottom w:val="none" w:sz="0" w:space="0" w:color="auto"/>
        <w:right w:val="none" w:sz="0" w:space="0" w:color="auto"/>
      </w:divBdr>
    </w:div>
    <w:div w:id="843932102">
      <w:bodyDiv w:val="1"/>
      <w:marLeft w:val="0"/>
      <w:marRight w:val="0"/>
      <w:marTop w:val="0"/>
      <w:marBottom w:val="0"/>
      <w:divBdr>
        <w:top w:val="none" w:sz="0" w:space="0" w:color="auto"/>
        <w:left w:val="none" w:sz="0" w:space="0" w:color="auto"/>
        <w:bottom w:val="none" w:sz="0" w:space="0" w:color="auto"/>
        <w:right w:val="none" w:sz="0" w:space="0" w:color="auto"/>
      </w:divBdr>
    </w:div>
    <w:div w:id="850989644">
      <w:bodyDiv w:val="1"/>
      <w:marLeft w:val="0"/>
      <w:marRight w:val="0"/>
      <w:marTop w:val="0"/>
      <w:marBottom w:val="0"/>
      <w:divBdr>
        <w:top w:val="none" w:sz="0" w:space="0" w:color="auto"/>
        <w:left w:val="none" w:sz="0" w:space="0" w:color="auto"/>
        <w:bottom w:val="none" w:sz="0" w:space="0" w:color="auto"/>
        <w:right w:val="none" w:sz="0" w:space="0" w:color="auto"/>
      </w:divBdr>
    </w:div>
    <w:div w:id="906574414">
      <w:bodyDiv w:val="1"/>
      <w:marLeft w:val="0"/>
      <w:marRight w:val="0"/>
      <w:marTop w:val="0"/>
      <w:marBottom w:val="0"/>
      <w:divBdr>
        <w:top w:val="none" w:sz="0" w:space="0" w:color="auto"/>
        <w:left w:val="none" w:sz="0" w:space="0" w:color="auto"/>
        <w:bottom w:val="none" w:sz="0" w:space="0" w:color="auto"/>
        <w:right w:val="none" w:sz="0" w:space="0" w:color="auto"/>
      </w:divBdr>
    </w:div>
    <w:div w:id="1014696069">
      <w:bodyDiv w:val="1"/>
      <w:marLeft w:val="0"/>
      <w:marRight w:val="0"/>
      <w:marTop w:val="0"/>
      <w:marBottom w:val="0"/>
      <w:divBdr>
        <w:top w:val="none" w:sz="0" w:space="0" w:color="auto"/>
        <w:left w:val="none" w:sz="0" w:space="0" w:color="auto"/>
        <w:bottom w:val="none" w:sz="0" w:space="0" w:color="auto"/>
        <w:right w:val="none" w:sz="0" w:space="0" w:color="auto"/>
      </w:divBdr>
      <w:divsChild>
        <w:div w:id="2048286908">
          <w:marLeft w:val="0"/>
          <w:marRight w:val="0"/>
          <w:marTop w:val="0"/>
          <w:marBottom w:val="0"/>
          <w:divBdr>
            <w:top w:val="none" w:sz="0" w:space="0" w:color="auto"/>
            <w:left w:val="none" w:sz="0" w:space="0" w:color="auto"/>
            <w:bottom w:val="none" w:sz="0" w:space="0" w:color="auto"/>
            <w:right w:val="none" w:sz="0" w:space="0" w:color="auto"/>
          </w:divBdr>
          <w:divsChild>
            <w:div w:id="1446577305">
              <w:marLeft w:val="0"/>
              <w:marRight w:val="0"/>
              <w:marTop w:val="0"/>
              <w:marBottom w:val="0"/>
              <w:divBdr>
                <w:top w:val="none" w:sz="0" w:space="0" w:color="auto"/>
                <w:left w:val="none" w:sz="0" w:space="0" w:color="auto"/>
                <w:bottom w:val="none" w:sz="0" w:space="0" w:color="auto"/>
                <w:right w:val="none" w:sz="0" w:space="0" w:color="auto"/>
              </w:divBdr>
              <w:divsChild>
                <w:div w:id="11257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5962">
      <w:bodyDiv w:val="1"/>
      <w:marLeft w:val="0"/>
      <w:marRight w:val="0"/>
      <w:marTop w:val="0"/>
      <w:marBottom w:val="0"/>
      <w:divBdr>
        <w:top w:val="none" w:sz="0" w:space="0" w:color="auto"/>
        <w:left w:val="none" w:sz="0" w:space="0" w:color="auto"/>
        <w:bottom w:val="none" w:sz="0" w:space="0" w:color="auto"/>
        <w:right w:val="none" w:sz="0" w:space="0" w:color="auto"/>
      </w:divBdr>
    </w:div>
    <w:div w:id="1113136860">
      <w:bodyDiv w:val="1"/>
      <w:marLeft w:val="0"/>
      <w:marRight w:val="0"/>
      <w:marTop w:val="0"/>
      <w:marBottom w:val="0"/>
      <w:divBdr>
        <w:top w:val="none" w:sz="0" w:space="0" w:color="auto"/>
        <w:left w:val="none" w:sz="0" w:space="0" w:color="auto"/>
        <w:bottom w:val="none" w:sz="0" w:space="0" w:color="auto"/>
        <w:right w:val="none" w:sz="0" w:space="0" w:color="auto"/>
      </w:divBdr>
    </w:div>
    <w:div w:id="1116406413">
      <w:bodyDiv w:val="1"/>
      <w:marLeft w:val="0"/>
      <w:marRight w:val="0"/>
      <w:marTop w:val="0"/>
      <w:marBottom w:val="0"/>
      <w:divBdr>
        <w:top w:val="none" w:sz="0" w:space="0" w:color="auto"/>
        <w:left w:val="none" w:sz="0" w:space="0" w:color="auto"/>
        <w:bottom w:val="none" w:sz="0" w:space="0" w:color="auto"/>
        <w:right w:val="none" w:sz="0" w:space="0" w:color="auto"/>
      </w:divBdr>
      <w:divsChild>
        <w:div w:id="1906799966">
          <w:marLeft w:val="0"/>
          <w:marRight w:val="0"/>
          <w:marTop w:val="0"/>
          <w:marBottom w:val="0"/>
          <w:divBdr>
            <w:top w:val="none" w:sz="0" w:space="0" w:color="auto"/>
            <w:left w:val="none" w:sz="0" w:space="0" w:color="auto"/>
            <w:bottom w:val="none" w:sz="0" w:space="0" w:color="auto"/>
            <w:right w:val="none" w:sz="0" w:space="0" w:color="auto"/>
          </w:divBdr>
          <w:divsChild>
            <w:div w:id="15118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0749">
      <w:bodyDiv w:val="1"/>
      <w:marLeft w:val="0"/>
      <w:marRight w:val="0"/>
      <w:marTop w:val="0"/>
      <w:marBottom w:val="0"/>
      <w:divBdr>
        <w:top w:val="none" w:sz="0" w:space="0" w:color="auto"/>
        <w:left w:val="none" w:sz="0" w:space="0" w:color="auto"/>
        <w:bottom w:val="none" w:sz="0" w:space="0" w:color="auto"/>
        <w:right w:val="none" w:sz="0" w:space="0" w:color="auto"/>
      </w:divBdr>
    </w:div>
    <w:div w:id="1172640418">
      <w:bodyDiv w:val="1"/>
      <w:marLeft w:val="0"/>
      <w:marRight w:val="0"/>
      <w:marTop w:val="0"/>
      <w:marBottom w:val="0"/>
      <w:divBdr>
        <w:top w:val="none" w:sz="0" w:space="0" w:color="auto"/>
        <w:left w:val="none" w:sz="0" w:space="0" w:color="auto"/>
        <w:bottom w:val="none" w:sz="0" w:space="0" w:color="auto"/>
        <w:right w:val="none" w:sz="0" w:space="0" w:color="auto"/>
      </w:divBdr>
    </w:div>
    <w:div w:id="1207059413">
      <w:bodyDiv w:val="1"/>
      <w:marLeft w:val="0"/>
      <w:marRight w:val="0"/>
      <w:marTop w:val="0"/>
      <w:marBottom w:val="0"/>
      <w:divBdr>
        <w:top w:val="none" w:sz="0" w:space="0" w:color="auto"/>
        <w:left w:val="none" w:sz="0" w:space="0" w:color="auto"/>
        <w:bottom w:val="none" w:sz="0" w:space="0" w:color="auto"/>
        <w:right w:val="none" w:sz="0" w:space="0" w:color="auto"/>
      </w:divBdr>
    </w:div>
    <w:div w:id="1234462119">
      <w:bodyDiv w:val="1"/>
      <w:marLeft w:val="0"/>
      <w:marRight w:val="0"/>
      <w:marTop w:val="0"/>
      <w:marBottom w:val="0"/>
      <w:divBdr>
        <w:top w:val="none" w:sz="0" w:space="0" w:color="auto"/>
        <w:left w:val="none" w:sz="0" w:space="0" w:color="auto"/>
        <w:bottom w:val="none" w:sz="0" w:space="0" w:color="auto"/>
        <w:right w:val="none" w:sz="0" w:space="0" w:color="auto"/>
      </w:divBdr>
    </w:div>
    <w:div w:id="1258372344">
      <w:bodyDiv w:val="1"/>
      <w:marLeft w:val="0"/>
      <w:marRight w:val="0"/>
      <w:marTop w:val="0"/>
      <w:marBottom w:val="0"/>
      <w:divBdr>
        <w:top w:val="none" w:sz="0" w:space="0" w:color="auto"/>
        <w:left w:val="none" w:sz="0" w:space="0" w:color="auto"/>
        <w:bottom w:val="none" w:sz="0" w:space="0" w:color="auto"/>
        <w:right w:val="none" w:sz="0" w:space="0" w:color="auto"/>
      </w:divBdr>
    </w:div>
    <w:div w:id="1352608374">
      <w:bodyDiv w:val="1"/>
      <w:marLeft w:val="0"/>
      <w:marRight w:val="0"/>
      <w:marTop w:val="0"/>
      <w:marBottom w:val="0"/>
      <w:divBdr>
        <w:top w:val="none" w:sz="0" w:space="0" w:color="auto"/>
        <w:left w:val="none" w:sz="0" w:space="0" w:color="auto"/>
        <w:bottom w:val="none" w:sz="0" w:space="0" w:color="auto"/>
        <w:right w:val="none" w:sz="0" w:space="0" w:color="auto"/>
      </w:divBdr>
    </w:div>
    <w:div w:id="1372461028">
      <w:bodyDiv w:val="1"/>
      <w:marLeft w:val="0"/>
      <w:marRight w:val="0"/>
      <w:marTop w:val="0"/>
      <w:marBottom w:val="0"/>
      <w:divBdr>
        <w:top w:val="none" w:sz="0" w:space="0" w:color="auto"/>
        <w:left w:val="none" w:sz="0" w:space="0" w:color="auto"/>
        <w:bottom w:val="none" w:sz="0" w:space="0" w:color="auto"/>
        <w:right w:val="none" w:sz="0" w:space="0" w:color="auto"/>
      </w:divBdr>
    </w:div>
    <w:div w:id="1377588664">
      <w:bodyDiv w:val="1"/>
      <w:marLeft w:val="0"/>
      <w:marRight w:val="0"/>
      <w:marTop w:val="0"/>
      <w:marBottom w:val="0"/>
      <w:divBdr>
        <w:top w:val="none" w:sz="0" w:space="0" w:color="auto"/>
        <w:left w:val="none" w:sz="0" w:space="0" w:color="auto"/>
        <w:bottom w:val="none" w:sz="0" w:space="0" w:color="auto"/>
        <w:right w:val="none" w:sz="0" w:space="0" w:color="auto"/>
      </w:divBdr>
    </w:div>
    <w:div w:id="1393851456">
      <w:bodyDiv w:val="1"/>
      <w:marLeft w:val="0"/>
      <w:marRight w:val="0"/>
      <w:marTop w:val="0"/>
      <w:marBottom w:val="0"/>
      <w:divBdr>
        <w:top w:val="none" w:sz="0" w:space="0" w:color="auto"/>
        <w:left w:val="none" w:sz="0" w:space="0" w:color="auto"/>
        <w:bottom w:val="none" w:sz="0" w:space="0" w:color="auto"/>
        <w:right w:val="none" w:sz="0" w:space="0" w:color="auto"/>
      </w:divBdr>
    </w:div>
    <w:div w:id="1613392919">
      <w:bodyDiv w:val="1"/>
      <w:marLeft w:val="0"/>
      <w:marRight w:val="0"/>
      <w:marTop w:val="0"/>
      <w:marBottom w:val="0"/>
      <w:divBdr>
        <w:top w:val="none" w:sz="0" w:space="0" w:color="auto"/>
        <w:left w:val="none" w:sz="0" w:space="0" w:color="auto"/>
        <w:bottom w:val="none" w:sz="0" w:space="0" w:color="auto"/>
        <w:right w:val="none" w:sz="0" w:space="0" w:color="auto"/>
      </w:divBdr>
    </w:div>
    <w:div w:id="1639070169">
      <w:bodyDiv w:val="1"/>
      <w:marLeft w:val="0"/>
      <w:marRight w:val="0"/>
      <w:marTop w:val="0"/>
      <w:marBottom w:val="0"/>
      <w:divBdr>
        <w:top w:val="none" w:sz="0" w:space="0" w:color="auto"/>
        <w:left w:val="none" w:sz="0" w:space="0" w:color="auto"/>
        <w:bottom w:val="none" w:sz="0" w:space="0" w:color="auto"/>
        <w:right w:val="none" w:sz="0" w:space="0" w:color="auto"/>
      </w:divBdr>
    </w:div>
    <w:div w:id="1648850927">
      <w:bodyDiv w:val="1"/>
      <w:marLeft w:val="0"/>
      <w:marRight w:val="0"/>
      <w:marTop w:val="0"/>
      <w:marBottom w:val="0"/>
      <w:divBdr>
        <w:top w:val="none" w:sz="0" w:space="0" w:color="auto"/>
        <w:left w:val="none" w:sz="0" w:space="0" w:color="auto"/>
        <w:bottom w:val="none" w:sz="0" w:space="0" w:color="auto"/>
        <w:right w:val="none" w:sz="0" w:space="0" w:color="auto"/>
      </w:divBdr>
    </w:div>
    <w:div w:id="1680041318">
      <w:bodyDiv w:val="1"/>
      <w:marLeft w:val="0"/>
      <w:marRight w:val="0"/>
      <w:marTop w:val="0"/>
      <w:marBottom w:val="0"/>
      <w:divBdr>
        <w:top w:val="none" w:sz="0" w:space="0" w:color="auto"/>
        <w:left w:val="none" w:sz="0" w:space="0" w:color="auto"/>
        <w:bottom w:val="none" w:sz="0" w:space="0" w:color="auto"/>
        <w:right w:val="none" w:sz="0" w:space="0" w:color="auto"/>
      </w:divBdr>
    </w:div>
    <w:div w:id="1818955320">
      <w:bodyDiv w:val="1"/>
      <w:marLeft w:val="0"/>
      <w:marRight w:val="0"/>
      <w:marTop w:val="0"/>
      <w:marBottom w:val="0"/>
      <w:divBdr>
        <w:top w:val="none" w:sz="0" w:space="0" w:color="auto"/>
        <w:left w:val="none" w:sz="0" w:space="0" w:color="auto"/>
        <w:bottom w:val="none" w:sz="0" w:space="0" w:color="auto"/>
        <w:right w:val="none" w:sz="0" w:space="0" w:color="auto"/>
      </w:divBdr>
    </w:div>
    <w:div w:id="1827815567">
      <w:bodyDiv w:val="1"/>
      <w:marLeft w:val="0"/>
      <w:marRight w:val="0"/>
      <w:marTop w:val="0"/>
      <w:marBottom w:val="0"/>
      <w:divBdr>
        <w:top w:val="none" w:sz="0" w:space="0" w:color="auto"/>
        <w:left w:val="none" w:sz="0" w:space="0" w:color="auto"/>
        <w:bottom w:val="none" w:sz="0" w:space="0" w:color="auto"/>
        <w:right w:val="none" w:sz="0" w:space="0" w:color="auto"/>
      </w:divBdr>
    </w:div>
    <w:div w:id="1828007749">
      <w:bodyDiv w:val="1"/>
      <w:marLeft w:val="0"/>
      <w:marRight w:val="0"/>
      <w:marTop w:val="0"/>
      <w:marBottom w:val="0"/>
      <w:divBdr>
        <w:top w:val="none" w:sz="0" w:space="0" w:color="auto"/>
        <w:left w:val="none" w:sz="0" w:space="0" w:color="auto"/>
        <w:bottom w:val="none" w:sz="0" w:space="0" w:color="auto"/>
        <w:right w:val="none" w:sz="0" w:space="0" w:color="auto"/>
      </w:divBdr>
    </w:div>
    <w:div w:id="1976056912">
      <w:bodyDiv w:val="1"/>
      <w:marLeft w:val="0"/>
      <w:marRight w:val="0"/>
      <w:marTop w:val="0"/>
      <w:marBottom w:val="0"/>
      <w:divBdr>
        <w:top w:val="none" w:sz="0" w:space="0" w:color="auto"/>
        <w:left w:val="none" w:sz="0" w:space="0" w:color="auto"/>
        <w:bottom w:val="none" w:sz="0" w:space="0" w:color="auto"/>
        <w:right w:val="none" w:sz="0" w:space="0" w:color="auto"/>
      </w:divBdr>
    </w:div>
    <w:div w:id="1978679482">
      <w:bodyDiv w:val="1"/>
      <w:marLeft w:val="0"/>
      <w:marRight w:val="0"/>
      <w:marTop w:val="0"/>
      <w:marBottom w:val="0"/>
      <w:divBdr>
        <w:top w:val="none" w:sz="0" w:space="0" w:color="auto"/>
        <w:left w:val="none" w:sz="0" w:space="0" w:color="auto"/>
        <w:bottom w:val="none" w:sz="0" w:space="0" w:color="auto"/>
        <w:right w:val="none" w:sz="0" w:space="0" w:color="auto"/>
      </w:divBdr>
    </w:div>
    <w:div w:id="2103210976">
      <w:bodyDiv w:val="1"/>
      <w:marLeft w:val="0"/>
      <w:marRight w:val="0"/>
      <w:marTop w:val="0"/>
      <w:marBottom w:val="0"/>
      <w:divBdr>
        <w:top w:val="none" w:sz="0" w:space="0" w:color="auto"/>
        <w:left w:val="none" w:sz="0" w:space="0" w:color="auto"/>
        <w:bottom w:val="none" w:sz="0" w:space="0" w:color="auto"/>
        <w:right w:val="none" w:sz="0" w:space="0" w:color="auto"/>
      </w:divBdr>
    </w:div>
    <w:div w:id="2129931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services/terminology-and-classifications/snomed-ct" TargetMode="External"/><Relationship Id="rId18" Type="http://schemas.openxmlformats.org/officeDocument/2006/relationships/hyperlink" Target="https://www.medicines.org.uk/emc/product/4756" TargetMode="External"/><Relationship Id="rId26" Type="http://schemas.openxmlformats.org/officeDocument/2006/relationships/hyperlink" Target="http://www.nice.org.uk/guidance/ta327" TargetMode="External"/><Relationship Id="rId39" Type="http://schemas.openxmlformats.org/officeDocument/2006/relationships/hyperlink" Target="https://www.nice.org.uk/guidance/ng196" TargetMode="External"/><Relationship Id="rId21" Type="http://schemas.openxmlformats.org/officeDocument/2006/relationships/hyperlink" Target="https://www.medicinescomplete.com/" TargetMode="External"/><Relationship Id="rId34" Type="http://schemas.openxmlformats.org/officeDocument/2006/relationships/hyperlink" Target="https://www.nice.org.uk/guidance/ta335" TargetMode="External"/><Relationship Id="rId42" Type="http://schemas.openxmlformats.org/officeDocument/2006/relationships/hyperlink" Target="https://dtb.bmj.com/content/early/2020/06/15/dtb.2020.000038" TargetMode="External"/><Relationship Id="rId47" Type="http://schemas.openxmlformats.org/officeDocument/2006/relationships/hyperlink" Target="https://www.medicines.org.uk/emc/product/3064/pil"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dicines.org.uk/emc/product/4703" TargetMode="External"/><Relationship Id="rId29" Type="http://schemas.openxmlformats.org/officeDocument/2006/relationships/hyperlink" Target="https://www.nice.org.uk/guidance/ta341" TargetMode="External"/><Relationship Id="rId11" Type="http://schemas.openxmlformats.org/officeDocument/2006/relationships/hyperlink" Target="https://www.mdcalc.com/creatinine-clearance-cockcroft-gault-equation" TargetMode="External"/><Relationship Id="rId24" Type="http://schemas.openxmlformats.org/officeDocument/2006/relationships/hyperlink" Target="http://www.nice.org.uk/guidance/ta275" TargetMode="External"/><Relationship Id="rId32" Type="http://schemas.openxmlformats.org/officeDocument/2006/relationships/hyperlink" Target="http://www.nice.org.uk/guidance/ta170" TargetMode="External"/><Relationship Id="rId37" Type="http://schemas.openxmlformats.org/officeDocument/2006/relationships/hyperlink" Target="https://cks.nice.org.uk/topics/anticoagulation-oral/" TargetMode="External"/><Relationship Id="rId40" Type="http://schemas.openxmlformats.org/officeDocument/2006/relationships/hyperlink" Target="https://www.nice.org.uk/guidance/ng158" TargetMode="External"/><Relationship Id="rId45" Type="http://schemas.openxmlformats.org/officeDocument/2006/relationships/hyperlink" Target="https://www.nice.org.uk/advice/esnm73/chapter/Key-points-from-the-evidence" TargetMode="External"/><Relationship Id="rId5" Type="http://schemas.openxmlformats.org/officeDocument/2006/relationships/webSettings" Target="webSettings.xml"/><Relationship Id="rId15" Type="http://schemas.openxmlformats.org/officeDocument/2006/relationships/hyperlink" Target="https://bnf.nice.org.uk/interaction/" TargetMode="External"/><Relationship Id="rId23" Type="http://schemas.openxmlformats.org/officeDocument/2006/relationships/hyperlink" Target="http://www.nice.org.uk/guidance/ta256" TargetMode="External"/><Relationship Id="rId28" Type="http://schemas.openxmlformats.org/officeDocument/2006/relationships/hyperlink" Target="http://www.nice.org.uk/guidance/ta287" TargetMode="External"/><Relationship Id="rId36" Type="http://schemas.openxmlformats.org/officeDocument/2006/relationships/hyperlink" Target="https://www.medicines.org.uk/emc/product/5766/smpc" TargetMode="External"/><Relationship Id="rId49" Type="http://schemas.openxmlformats.org/officeDocument/2006/relationships/hyperlink" Target="https://www.nhsbsa.nhs.uk/pharmacies-gp-practices-and-appliance-contractors/drug-tariff" TargetMode="External"/><Relationship Id="rId10" Type="http://schemas.openxmlformats.org/officeDocument/2006/relationships/hyperlink" Target="https://www.amjmed.com/article/S0002-9343(17)30481-3/fulltext" TargetMode="External"/><Relationship Id="rId19" Type="http://schemas.openxmlformats.org/officeDocument/2006/relationships/hyperlink" Target="https://www.medicines.org.uk/emc/product/6906" TargetMode="External"/><Relationship Id="rId31" Type="http://schemas.openxmlformats.org/officeDocument/2006/relationships/hyperlink" Target="http://www.nice.org.uk/guidance/ta157" TargetMode="External"/><Relationship Id="rId44" Type="http://schemas.openxmlformats.org/officeDocument/2006/relationships/hyperlink" Target="https://www.medicines.org.uk/emc/product/109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dicines.org.uk/emc/" TargetMode="External"/><Relationship Id="rId22" Type="http://schemas.openxmlformats.org/officeDocument/2006/relationships/hyperlink" Target="http://www.nice.org.uk/guidance/ta249" TargetMode="External"/><Relationship Id="rId27" Type="http://schemas.openxmlformats.org/officeDocument/2006/relationships/hyperlink" Target="http://www.nice.org.uk/guidance/ta261" TargetMode="External"/><Relationship Id="rId30" Type="http://schemas.openxmlformats.org/officeDocument/2006/relationships/hyperlink" Target="http://www.nice.org.uk/guidance/ta354" TargetMode="External"/><Relationship Id="rId35" Type="http://schemas.openxmlformats.org/officeDocument/2006/relationships/hyperlink" Target="https://www.nice.org.uk/guidance/ta607" TargetMode="External"/><Relationship Id="rId43" Type="http://schemas.openxmlformats.org/officeDocument/2006/relationships/hyperlink" Target="https://www.medicines.org.uk/emc/product/5073" TargetMode="External"/><Relationship Id="rId48" Type="http://schemas.openxmlformats.org/officeDocument/2006/relationships/hyperlink" Target="https://www.gov.uk/drug-safety-update/direct-acting-oral-anticoagulants-doacs-increased-risk-of-recurrent-thrombotic-events-in-patients-with-antiphospholipid-syndrome" TargetMode="External"/><Relationship Id="rId8" Type="http://schemas.openxmlformats.org/officeDocument/2006/relationships/hyperlink" Target="http://www.medicines.org.uk"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mdcalc.com/ideal-body-weight-adjusted-body-weight" TargetMode="External"/><Relationship Id="rId17" Type="http://schemas.openxmlformats.org/officeDocument/2006/relationships/hyperlink" Target="https://www.medicines.org.uk/emc/product/2794" TargetMode="External"/><Relationship Id="rId25" Type="http://schemas.openxmlformats.org/officeDocument/2006/relationships/hyperlink" Target="http://www.nice.org.uk/guidance/ta355" TargetMode="External"/><Relationship Id="rId33" Type="http://schemas.openxmlformats.org/officeDocument/2006/relationships/hyperlink" Target="http://www.nice.org.uk/guidance/ta245" TargetMode="External"/><Relationship Id="rId38" Type="http://schemas.openxmlformats.org/officeDocument/2006/relationships/hyperlink" Target="https://www.mdcalc.com/creatinine-clearance-cockcroft-gault-equation" TargetMode="External"/><Relationship Id="rId46" Type="http://schemas.openxmlformats.org/officeDocument/2006/relationships/hyperlink" Target="https://www.nice.org.uk/guidance/ta697" TargetMode="External"/><Relationship Id="rId20" Type="http://schemas.openxmlformats.org/officeDocument/2006/relationships/hyperlink" Target="https://www.medicines.org.uk/emc/product/3064" TargetMode="External"/><Relationship Id="rId41" Type="http://schemas.openxmlformats.org/officeDocument/2006/relationships/hyperlink" Target="https://www.nice.org.uk/guidance/ng203"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C9C7D-76EC-CB49-8DC3-9FCDED8A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7099</Words>
  <Characters>40469</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PrescQIPP</dc:creator>
  <cp:keywords/>
  <dc:description/>
  <cp:lastModifiedBy>Karen Homan</cp:lastModifiedBy>
  <cp:revision>12</cp:revision>
  <cp:lastPrinted>2022-06-16T09:31:00Z</cp:lastPrinted>
  <dcterms:created xsi:type="dcterms:W3CDTF">2022-08-15T14:15:00Z</dcterms:created>
  <dcterms:modified xsi:type="dcterms:W3CDTF">2022-08-15T14:26:00Z</dcterms:modified>
  <cp:category/>
</cp:coreProperties>
</file>