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AD029" w14:textId="6BCE9E3A" w:rsidR="00910DDB" w:rsidRPr="00735E20" w:rsidRDefault="00910DDB" w:rsidP="00735E20">
      <w:pPr>
        <w:pStyle w:val="Heading1"/>
      </w:pPr>
      <w:bookmarkStart w:id="0" w:name="_Toc363736353"/>
      <w:bookmarkStart w:id="1" w:name="_Toc363736439"/>
      <w:bookmarkStart w:id="2" w:name="_Toc96868241"/>
      <w:bookmarkStart w:id="3" w:name="_Toc96966519"/>
      <w:bookmarkStart w:id="4" w:name="_Toc96966686"/>
      <w:bookmarkStart w:id="5" w:name="_Toc96966787"/>
      <w:bookmarkStart w:id="6" w:name="_Toc96967067"/>
      <w:bookmarkStart w:id="7" w:name="_Toc96967114"/>
      <w:bookmarkStart w:id="8" w:name="_Toc99387336"/>
      <w:bookmarkStart w:id="9" w:name="_Toc102563002"/>
      <w:bookmarkStart w:id="10" w:name="_Toc104910438"/>
      <w:bookmarkStart w:id="11" w:name="_Toc106708886"/>
      <w:r w:rsidRPr="00735E20">
        <w:t xml:space="preserve">Comparison of </w:t>
      </w:r>
      <w:bookmarkEnd w:id="0"/>
      <w:bookmarkEnd w:id="1"/>
      <w:r w:rsidR="000C7431" w:rsidRPr="00735E20">
        <w:t>Anticoagulants (DOACs and warfarin)</w:t>
      </w:r>
      <w:bookmarkEnd w:id="2"/>
      <w:bookmarkEnd w:id="3"/>
      <w:bookmarkEnd w:id="4"/>
      <w:bookmarkEnd w:id="5"/>
      <w:bookmarkEnd w:id="6"/>
      <w:bookmarkEnd w:id="7"/>
      <w:bookmarkEnd w:id="8"/>
      <w:bookmarkEnd w:id="9"/>
      <w:bookmarkEnd w:id="10"/>
      <w:bookmarkEnd w:id="11"/>
      <w:r w:rsidR="00284C0B">
        <w:t xml:space="preserve"> </w:t>
      </w:r>
    </w:p>
    <w:p w14:paraId="307E9A72" w14:textId="5753BFE9" w:rsidR="00910DDB" w:rsidRPr="00EB561B" w:rsidRDefault="00910DDB" w:rsidP="00735E20">
      <w:r w:rsidRPr="00EB561B">
        <w:t>For guidance – for full information refer to</w:t>
      </w:r>
      <w:r w:rsidR="00B054A1" w:rsidRPr="00EB561B">
        <w:t xml:space="preserve"> individual SPCs available at</w:t>
      </w:r>
      <w:r w:rsidRPr="00EB561B">
        <w:t xml:space="preserve"> </w:t>
      </w:r>
      <w:hyperlink r:id="rId8" w:history="1">
        <w:r w:rsidRPr="00EB561B">
          <w:rPr>
            <w:rStyle w:val="Hyperlink"/>
            <w:rFonts w:asciiTheme="majorHAnsi" w:hAnsiTheme="majorHAnsi" w:cstheme="majorHAnsi"/>
            <w:szCs w:val="22"/>
          </w:rPr>
          <w:t>www.medicines.org.uk</w:t>
        </w:r>
      </w:hyperlink>
    </w:p>
    <w:p w14:paraId="42F640A9" w14:textId="2E839E33" w:rsidR="00B054A1" w:rsidRPr="00EB561B" w:rsidRDefault="00B054A1" w:rsidP="00735E20">
      <w:pPr>
        <w:rPr>
          <w:b/>
        </w:rPr>
      </w:pPr>
      <w:bookmarkStart w:id="12" w:name="_Toc96868242"/>
      <w:bookmarkStart w:id="13" w:name="_Toc96966520"/>
      <w:bookmarkStart w:id="14" w:name="_Toc96966687"/>
      <w:bookmarkStart w:id="15" w:name="_Toc96966788"/>
      <w:bookmarkStart w:id="16" w:name="_Toc96967068"/>
      <w:bookmarkStart w:id="17" w:name="_Toc96967115"/>
      <w:bookmarkStart w:id="18" w:name="_Toc99387337"/>
      <w:bookmarkStart w:id="19" w:name="_Toc102142790"/>
      <w:bookmarkStart w:id="20" w:name="_Toc102563003"/>
      <w:bookmarkStart w:id="21" w:name="_Toc104910439"/>
      <w:bookmarkStart w:id="22" w:name="_Toc363736355"/>
      <w:bookmarkStart w:id="23" w:name="_Toc363736441"/>
      <w:r w:rsidRPr="00EB561B">
        <w:t>The tables in the rest of th</w:t>
      </w:r>
      <w:r w:rsidR="008A4A42" w:rsidRPr="00EB561B">
        <w:t>i</w:t>
      </w:r>
      <w:r w:rsidRPr="00EB561B">
        <w:t xml:space="preserve">s document highlight the differences between the different </w:t>
      </w:r>
      <w:r w:rsidR="00993D77" w:rsidRPr="00EB561B">
        <w:t>DOAC</w:t>
      </w:r>
      <w:r w:rsidRPr="00EB561B">
        <w:t>s</w:t>
      </w:r>
      <w:r w:rsidR="000C7431" w:rsidRPr="00EB561B">
        <w:t xml:space="preserve"> and warfarin</w:t>
      </w:r>
      <w:r w:rsidRPr="00EB561B">
        <w:t>.</w:t>
      </w:r>
      <w:bookmarkEnd w:id="12"/>
      <w:bookmarkEnd w:id="13"/>
      <w:bookmarkEnd w:id="14"/>
      <w:bookmarkEnd w:id="15"/>
      <w:bookmarkEnd w:id="16"/>
      <w:bookmarkEnd w:id="17"/>
      <w:bookmarkEnd w:id="18"/>
      <w:bookmarkEnd w:id="19"/>
      <w:bookmarkEnd w:id="20"/>
      <w:bookmarkEnd w:id="21"/>
    </w:p>
    <w:bookmarkEnd w:id="22"/>
    <w:bookmarkEnd w:id="23"/>
    <w:p w14:paraId="4D8466B1" w14:textId="033FE757" w:rsidR="005A0E86" w:rsidRDefault="00413C8F" w:rsidP="005A0E86">
      <w:pPr>
        <w:pStyle w:val="TOC1"/>
        <w:rPr>
          <w:rFonts w:asciiTheme="minorHAnsi" w:eastAsiaTheme="minorEastAsia" w:hAnsiTheme="minorHAnsi" w:cstheme="minorBidi"/>
          <w:b w:val="0"/>
          <w:bCs w:val="0"/>
          <w:caps w:val="0"/>
          <w:noProof/>
          <w:szCs w:val="22"/>
          <w:lang w:eastAsia="en-GB"/>
        </w:rPr>
      </w:pPr>
      <w:r w:rsidRPr="00413C8F">
        <w:fldChar w:fldCharType="begin"/>
      </w:r>
      <w:r w:rsidRPr="00413C8F">
        <w:instrText xml:space="preserve"> TOC \o "1-2" \h \z \u </w:instrText>
      </w:r>
      <w:r w:rsidRPr="00413C8F">
        <w:fldChar w:fldCharType="separate"/>
      </w:r>
    </w:p>
    <w:p w14:paraId="6B647674" w14:textId="7FF446B7" w:rsidR="009C3764" w:rsidRDefault="009C3764">
      <w:pPr>
        <w:pStyle w:val="TOC1"/>
        <w:rPr>
          <w:rFonts w:asciiTheme="minorHAnsi" w:eastAsiaTheme="minorEastAsia" w:hAnsiTheme="minorHAnsi" w:cstheme="minorBidi"/>
          <w:b w:val="0"/>
          <w:bCs w:val="0"/>
          <w:caps w:val="0"/>
          <w:noProof/>
          <w:szCs w:val="22"/>
          <w:lang w:eastAsia="en-GB"/>
        </w:rPr>
      </w:pPr>
    </w:p>
    <w:p w14:paraId="08213E66" w14:textId="1F587A31" w:rsidR="009C3764" w:rsidRPr="00973B94" w:rsidRDefault="00777693">
      <w:pPr>
        <w:pStyle w:val="TOC2"/>
        <w:rPr>
          <w:rFonts w:ascii="Arial" w:eastAsiaTheme="minorEastAsia" w:hAnsi="Arial" w:cs="Arial"/>
          <w:b w:val="0"/>
          <w:bCs w:val="0"/>
          <w:noProof/>
          <w:sz w:val="24"/>
          <w:szCs w:val="24"/>
          <w:lang w:eastAsia="en-GB"/>
        </w:rPr>
      </w:pPr>
      <w:hyperlink w:anchor="_Toc106708888" w:history="1">
        <w:r w:rsidR="009C3764" w:rsidRPr="00973B94">
          <w:rPr>
            <w:rStyle w:val="Hyperlink"/>
            <w:rFonts w:ascii="Arial" w:hAnsi="Arial" w:cs="Arial"/>
            <w:noProof/>
            <w:sz w:val="24"/>
            <w:szCs w:val="24"/>
          </w:rPr>
          <w:t>Licensed indication and NICE recommendations</w:t>
        </w:r>
        <w:r w:rsidR="009C3764" w:rsidRPr="00973B94">
          <w:rPr>
            <w:rFonts w:ascii="Arial" w:hAnsi="Arial" w:cs="Arial"/>
            <w:noProof/>
            <w:webHidden/>
            <w:sz w:val="24"/>
            <w:szCs w:val="24"/>
          </w:rPr>
          <w:tab/>
        </w:r>
        <w:r w:rsidR="009C3764" w:rsidRPr="00973B94">
          <w:rPr>
            <w:rFonts w:ascii="Arial" w:hAnsi="Arial" w:cs="Arial"/>
            <w:noProof/>
            <w:webHidden/>
            <w:sz w:val="24"/>
            <w:szCs w:val="24"/>
          </w:rPr>
          <w:fldChar w:fldCharType="begin"/>
        </w:r>
        <w:r w:rsidR="009C3764" w:rsidRPr="00973B94">
          <w:rPr>
            <w:rFonts w:ascii="Arial" w:hAnsi="Arial" w:cs="Arial"/>
            <w:noProof/>
            <w:webHidden/>
            <w:sz w:val="24"/>
            <w:szCs w:val="24"/>
          </w:rPr>
          <w:instrText xml:space="preserve"> PAGEREF _Toc106708888 \h </w:instrText>
        </w:r>
        <w:r w:rsidR="009C3764" w:rsidRPr="00973B94">
          <w:rPr>
            <w:rFonts w:ascii="Arial" w:hAnsi="Arial" w:cs="Arial"/>
            <w:noProof/>
            <w:webHidden/>
            <w:sz w:val="24"/>
            <w:szCs w:val="24"/>
          </w:rPr>
        </w:r>
        <w:r w:rsidR="009C3764" w:rsidRPr="00973B94">
          <w:rPr>
            <w:rFonts w:ascii="Arial" w:hAnsi="Arial" w:cs="Arial"/>
            <w:noProof/>
            <w:webHidden/>
            <w:sz w:val="24"/>
            <w:szCs w:val="24"/>
          </w:rPr>
          <w:fldChar w:fldCharType="separate"/>
        </w:r>
        <w:r w:rsidR="00C1186A">
          <w:rPr>
            <w:rFonts w:ascii="Arial" w:hAnsi="Arial" w:cs="Arial"/>
            <w:noProof/>
            <w:webHidden/>
            <w:sz w:val="24"/>
            <w:szCs w:val="24"/>
          </w:rPr>
          <w:t>2</w:t>
        </w:r>
        <w:r w:rsidR="009C3764" w:rsidRPr="00973B94">
          <w:rPr>
            <w:rFonts w:ascii="Arial" w:hAnsi="Arial" w:cs="Arial"/>
            <w:noProof/>
            <w:webHidden/>
            <w:sz w:val="24"/>
            <w:szCs w:val="24"/>
          </w:rPr>
          <w:fldChar w:fldCharType="end"/>
        </w:r>
      </w:hyperlink>
    </w:p>
    <w:p w14:paraId="7E638513" w14:textId="6145EA8C" w:rsidR="009C3764" w:rsidRPr="00973B94" w:rsidRDefault="00777693">
      <w:pPr>
        <w:pStyle w:val="TOC2"/>
        <w:rPr>
          <w:rFonts w:ascii="Arial" w:eastAsiaTheme="minorEastAsia" w:hAnsi="Arial" w:cs="Arial"/>
          <w:b w:val="0"/>
          <w:bCs w:val="0"/>
          <w:noProof/>
          <w:sz w:val="24"/>
          <w:szCs w:val="24"/>
          <w:lang w:eastAsia="en-GB"/>
        </w:rPr>
      </w:pPr>
      <w:hyperlink w:anchor="_Toc106708889" w:history="1">
        <w:r w:rsidR="009C3764" w:rsidRPr="00973B94">
          <w:rPr>
            <w:rStyle w:val="Hyperlink"/>
            <w:rFonts w:ascii="Arial" w:hAnsi="Arial" w:cs="Arial"/>
            <w:noProof/>
            <w:sz w:val="24"/>
            <w:szCs w:val="24"/>
          </w:rPr>
          <w:t>Mode of action</w:t>
        </w:r>
        <w:r w:rsidR="009C3764" w:rsidRPr="00973B94">
          <w:rPr>
            <w:rFonts w:ascii="Arial" w:hAnsi="Arial" w:cs="Arial"/>
            <w:noProof/>
            <w:webHidden/>
            <w:sz w:val="24"/>
            <w:szCs w:val="24"/>
          </w:rPr>
          <w:tab/>
        </w:r>
        <w:r w:rsidR="009C3764" w:rsidRPr="00973B94">
          <w:rPr>
            <w:rFonts w:ascii="Arial" w:hAnsi="Arial" w:cs="Arial"/>
            <w:noProof/>
            <w:webHidden/>
            <w:sz w:val="24"/>
            <w:szCs w:val="24"/>
          </w:rPr>
          <w:fldChar w:fldCharType="begin"/>
        </w:r>
        <w:r w:rsidR="009C3764" w:rsidRPr="00973B94">
          <w:rPr>
            <w:rFonts w:ascii="Arial" w:hAnsi="Arial" w:cs="Arial"/>
            <w:noProof/>
            <w:webHidden/>
            <w:sz w:val="24"/>
            <w:szCs w:val="24"/>
          </w:rPr>
          <w:instrText xml:space="preserve"> PAGEREF _Toc106708889 \h </w:instrText>
        </w:r>
        <w:r w:rsidR="009C3764" w:rsidRPr="00973B94">
          <w:rPr>
            <w:rFonts w:ascii="Arial" w:hAnsi="Arial" w:cs="Arial"/>
            <w:noProof/>
            <w:webHidden/>
            <w:sz w:val="24"/>
            <w:szCs w:val="24"/>
          </w:rPr>
        </w:r>
        <w:r w:rsidR="009C3764" w:rsidRPr="00973B94">
          <w:rPr>
            <w:rFonts w:ascii="Arial" w:hAnsi="Arial" w:cs="Arial"/>
            <w:noProof/>
            <w:webHidden/>
            <w:sz w:val="24"/>
            <w:szCs w:val="24"/>
          </w:rPr>
          <w:fldChar w:fldCharType="separate"/>
        </w:r>
        <w:r w:rsidR="00C1186A">
          <w:rPr>
            <w:rFonts w:ascii="Arial" w:hAnsi="Arial" w:cs="Arial"/>
            <w:noProof/>
            <w:webHidden/>
            <w:sz w:val="24"/>
            <w:szCs w:val="24"/>
          </w:rPr>
          <w:t>3</w:t>
        </w:r>
        <w:r w:rsidR="009C3764" w:rsidRPr="00973B94">
          <w:rPr>
            <w:rFonts w:ascii="Arial" w:hAnsi="Arial" w:cs="Arial"/>
            <w:noProof/>
            <w:webHidden/>
            <w:sz w:val="24"/>
            <w:szCs w:val="24"/>
          </w:rPr>
          <w:fldChar w:fldCharType="end"/>
        </w:r>
      </w:hyperlink>
    </w:p>
    <w:p w14:paraId="4AF528AE" w14:textId="121FC537" w:rsidR="009C3764" w:rsidRPr="00973B94" w:rsidRDefault="00777693">
      <w:pPr>
        <w:pStyle w:val="TOC2"/>
        <w:rPr>
          <w:rFonts w:ascii="Arial" w:eastAsiaTheme="minorEastAsia" w:hAnsi="Arial" w:cs="Arial"/>
          <w:b w:val="0"/>
          <w:bCs w:val="0"/>
          <w:noProof/>
          <w:sz w:val="24"/>
          <w:szCs w:val="24"/>
          <w:lang w:eastAsia="en-GB"/>
        </w:rPr>
      </w:pPr>
      <w:hyperlink w:anchor="_Toc106708890" w:history="1">
        <w:r w:rsidR="009C3764" w:rsidRPr="00973B94">
          <w:rPr>
            <w:rStyle w:val="Hyperlink"/>
            <w:rFonts w:ascii="Arial" w:hAnsi="Arial" w:cs="Arial"/>
            <w:noProof/>
            <w:sz w:val="24"/>
            <w:szCs w:val="24"/>
          </w:rPr>
          <w:t>Preparation (oral tablets or capsules)</w:t>
        </w:r>
        <w:r w:rsidR="009C3764" w:rsidRPr="00973B94">
          <w:rPr>
            <w:rFonts w:ascii="Arial" w:hAnsi="Arial" w:cs="Arial"/>
            <w:noProof/>
            <w:webHidden/>
            <w:sz w:val="24"/>
            <w:szCs w:val="24"/>
          </w:rPr>
          <w:tab/>
        </w:r>
        <w:r w:rsidR="009C3764" w:rsidRPr="00973B94">
          <w:rPr>
            <w:rFonts w:ascii="Arial" w:hAnsi="Arial" w:cs="Arial"/>
            <w:noProof/>
            <w:webHidden/>
            <w:sz w:val="24"/>
            <w:szCs w:val="24"/>
          </w:rPr>
          <w:fldChar w:fldCharType="begin"/>
        </w:r>
        <w:r w:rsidR="009C3764" w:rsidRPr="00973B94">
          <w:rPr>
            <w:rFonts w:ascii="Arial" w:hAnsi="Arial" w:cs="Arial"/>
            <w:noProof/>
            <w:webHidden/>
            <w:sz w:val="24"/>
            <w:szCs w:val="24"/>
          </w:rPr>
          <w:instrText xml:space="preserve"> PAGEREF _Toc106708890 \h </w:instrText>
        </w:r>
        <w:r w:rsidR="009C3764" w:rsidRPr="00973B94">
          <w:rPr>
            <w:rFonts w:ascii="Arial" w:hAnsi="Arial" w:cs="Arial"/>
            <w:noProof/>
            <w:webHidden/>
            <w:sz w:val="24"/>
            <w:szCs w:val="24"/>
          </w:rPr>
        </w:r>
        <w:r w:rsidR="009C3764" w:rsidRPr="00973B94">
          <w:rPr>
            <w:rFonts w:ascii="Arial" w:hAnsi="Arial" w:cs="Arial"/>
            <w:noProof/>
            <w:webHidden/>
            <w:sz w:val="24"/>
            <w:szCs w:val="24"/>
          </w:rPr>
          <w:fldChar w:fldCharType="separate"/>
        </w:r>
        <w:r w:rsidR="00C1186A">
          <w:rPr>
            <w:rFonts w:ascii="Arial" w:hAnsi="Arial" w:cs="Arial"/>
            <w:noProof/>
            <w:webHidden/>
            <w:sz w:val="24"/>
            <w:szCs w:val="24"/>
          </w:rPr>
          <w:t>3</w:t>
        </w:r>
        <w:r w:rsidR="009C3764" w:rsidRPr="00973B94">
          <w:rPr>
            <w:rFonts w:ascii="Arial" w:hAnsi="Arial" w:cs="Arial"/>
            <w:noProof/>
            <w:webHidden/>
            <w:sz w:val="24"/>
            <w:szCs w:val="24"/>
          </w:rPr>
          <w:fldChar w:fldCharType="end"/>
        </w:r>
      </w:hyperlink>
    </w:p>
    <w:p w14:paraId="3A2681F0" w14:textId="3ABCB354" w:rsidR="009C3764" w:rsidRPr="00973B94" w:rsidRDefault="00777693">
      <w:pPr>
        <w:pStyle w:val="TOC2"/>
        <w:rPr>
          <w:rFonts w:ascii="Arial" w:eastAsiaTheme="minorEastAsia" w:hAnsi="Arial" w:cs="Arial"/>
          <w:b w:val="0"/>
          <w:bCs w:val="0"/>
          <w:noProof/>
          <w:sz w:val="24"/>
          <w:szCs w:val="24"/>
          <w:lang w:eastAsia="en-GB"/>
        </w:rPr>
      </w:pPr>
      <w:hyperlink w:anchor="_Toc106708891" w:history="1">
        <w:r w:rsidR="009C3764" w:rsidRPr="00973B94">
          <w:rPr>
            <w:rStyle w:val="Hyperlink"/>
            <w:rFonts w:ascii="Arial" w:hAnsi="Arial" w:cs="Arial"/>
            <w:noProof/>
            <w:sz w:val="24"/>
            <w:szCs w:val="24"/>
          </w:rPr>
          <w:t>Difficulty swallowing medication</w:t>
        </w:r>
        <w:r w:rsidR="009C3764" w:rsidRPr="00973B94">
          <w:rPr>
            <w:rFonts w:ascii="Arial" w:hAnsi="Arial" w:cs="Arial"/>
            <w:noProof/>
            <w:webHidden/>
            <w:sz w:val="24"/>
            <w:szCs w:val="24"/>
          </w:rPr>
          <w:tab/>
        </w:r>
        <w:r w:rsidR="009C3764" w:rsidRPr="00973B94">
          <w:rPr>
            <w:rFonts w:ascii="Arial" w:hAnsi="Arial" w:cs="Arial"/>
            <w:noProof/>
            <w:webHidden/>
            <w:sz w:val="24"/>
            <w:szCs w:val="24"/>
          </w:rPr>
          <w:fldChar w:fldCharType="begin"/>
        </w:r>
        <w:r w:rsidR="009C3764" w:rsidRPr="00973B94">
          <w:rPr>
            <w:rFonts w:ascii="Arial" w:hAnsi="Arial" w:cs="Arial"/>
            <w:noProof/>
            <w:webHidden/>
            <w:sz w:val="24"/>
            <w:szCs w:val="24"/>
          </w:rPr>
          <w:instrText xml:space="preserve"> PAGEREF _Toc106708891 \h </w:instrText>
        </w:r>
        <w:r w:rsidR="009C3764" w:rsidRPr="00973B94">
          <w:rPr>
            <w:rFonts w:ascii="Arial" w:hAnsi="Arial" w:cs="Arial"/>
            <w:noProof/>
            <w:webHidden/>
            <w:sz w:val="24"/>
            <w:szCs w:val="24"/>
          </w:rPr>
        </w:r>
        <w:r w:rsidR="009C3764" w:rsidRPr="00973B94">
          <w:rPr>
            <w:rFonts w:ascii="Arial" w:hAnsi="Arial" w:cs="Arial"/>
            <w:noProof/>
            <w:webHidden/>
            <w:sz w:val="24"/>
            <w:szCs w:val="24"/>
          </w:rPr>
          <w:fldChar w:fldCharType="separate"/>
        </w:r>
        <w:r w:rsidR="00C1186A">
          <w:rPr>
            <w:rFonts w:ascii="Arial" w:hAnsi="Arial" w:cs="Arial"/>
            <w:noProof/>
            <w:webHidden/>
            <w:sz w:val="24"/>
            <w:szCs w:val="24"/>
          </w:rPr>
          <w:t>4</w:t>
        </w:r>
        <w:r w:rsidR="009C3764" w:rsidRPr="00973B94">
          <w:rPr>
            <w:rFonts w:ascii="Arial" w:hAnsi="Arial" w:cs="Arial"/>
            <w:noProof/>
            <w:webHidden/>
            <w:sz w:val="24"/>
            <w:szCs w:val="24"/>
          </w:rPr>
          <w:fldChar w:fldCharType="end"/>
        </w:r>
      </w:hyperlink>
    </w:p>
    <w:p w14:paraId="7253AF26" w14:textId="24511120" w:rsidR="009C3764" w:rsidRPr="00973B94" w:rsidRDefault="00777693">
      <w:pPr>
        <w:pStyle w:val="TOC1"/>
        <w:rPr>
          <w:rFonts w:ascii="Arial" w:eastAsiaTheme="minorEastAsia" w:hAnsi="Arial" w:cs="Arial"/>
          <w:b w:val="0"/>
          <w:bCs w:val="0"/>
          <w:caps w:val="0"/>
          <w:noProof/>
          <w:sz w:val="24"/>
          <w:lang w:eastAsia="en-GB"/>
        </w:rPr>
      </w:pPr>
      <w:hyperlink w:anchor="_Toc106708892" w:history="1">
        <w:r w:rsidR="005A0E86" w:rsidRPr="00973B94">
          <w:rPr>
            <w:rStyle w:val="Hyperlink"/>
            <w:rFonts w:ascii="Arial" w:hAnsi="Arial" w:cs="Arial"/>
            <w:caps w:val="0"/>
            <w:noProof/>
            <w:sz w:val="24"/>
          </w:rPr>
          <w:t>Calculating DOAC dosages</w:t>
        </w:r>
        <w:r w:rsidR="001D0AFD">
          <w:rPr>
            <w:rStyle w:val="Hyperlink"/>
            <w:rFonts w:ascii="Arial" w:hAnsi="Arial" w:cs="Arial"/>
            <w:caps w:val="0"/>
            <w:noProof/>
            <w:sz w:val="24"/>
          </w:rPr>
          <w:t xml:space="preserve"> </w:t>
        </w:r>
        <w:r w:rsidR="00870828">
          <w:rPr>
            <w:rStyle w:val="Hyperlink"/>
            <w:rFonts w:ascii="Arial" w:hAnsi="Arial" w:cs="Arial"/>
            <w:caps w:val="0"/>
            <w:noProof/>
            <w:sz w:val="24"/>
          </w:rPr>
          <w:t>……………………………………………………………..</w:t>
        </w:r>
        <w:r w:rsidR="009C3764" w:rsidRPr="00973B94">
          <w:rPr>
            <w:rFonts w:ascii="Arial" w:hAnsi="Arial" w:cs="Arial"/>
            <w:noProof/>
            <w:webHidden/>
            <w:sz w:val="24"/>
          </w:rPr>
          <w:tab/>
        </w:r>
        <w:r w:rsidR="009C3764" w:rsidRPr="00973B94">
          <w:rPr>
            <w:rFonts w:ascii="Arial" w:hAnsi="Arial" w:cs="Arial"/>
            <w:noProof/>
            <w:webHidden/>
            <w:sz w:val="24"/>
          </w:rPr>
          <w:fldChar w:fldCharType="begin"/>
        </w:r>
        <w:r w:rsidR="009C3764" w:rsidRPr="00973B94">
          <w:rPr>
            <w:rFonts w:ascii="Arial" w:hAnsi="Arial" w:cs="Arial"/>
            <w:noProof/>
            <w:webHidden/>
            <w:sz w:val="24"/>
          </w:rPr>
          <w:instrText xml:space="preserve"> PAGEREF _Toc106708892 \h </w:instrText>
        </w:r>
        <w:r w:rsidR="009C3764" w:rsidRPr="00973B94">
          <w:rPr>
            <w:rFonts w:ascii="Arial" w:hAnsi="Arial" w:cs="Arial"/>
            <w:noProof/>
            <w:webHidden/>
            <w:sz w:val="24"/>
          </w:rPr>
        </w:r>
        <w:r w:rsidR="009C3764" w:rsidRPr="00973B94">
          <w:rPr>
            <w:rFonts w:ascii="Arial" w:hAnsi="Arial" w:cs="Arial"/>
            <w:noProof/>
            <w:webHidden/>
            <w:sz w:val="24"/>
          </w:rPr>
          <w:fldChar w:fldCharType="separate"/>
        </w:r>
        <w:r w:rsidR="00C1186A">
          <w:rPr>
            <w:rFonts w:ascii="Arial" w:hAnsi="Arial" w:cs="Arial"/>
            <w:noProof/>
            <w:webHidden/>
            <w:sz w:val="24"/>
          </w:rPr>
          <w:t>5</w:t>
        </w:r>
        <w:r w:rsidR="009C3764" w:rsidRPr="00973B94">
          <w:rPr>
            <w:rFonts w:ascii="Arial" w:hAnsi="Arial" w:cs="Arial"/>
            <w:noProof/>
            <w:webHidden/>
            <w:sz w:val="24"/>
          </w:rPr>
          <w:fldChar w:fldCharType="end"/>
        </w:r>
      </w:hyperlink>
    </w:p>
    <w:p w14:paraId="0F733247" w14:textId="673DC94C" w:rsidR="009C3764" w:rsidRPr="00973B94" w:rsidRDefault="00777693">
      <w:pPr>
        <w:pStyle w:val="TOC2"/>
        <w:rPr>
          <w:rFonts w:ascii="Arial" w:eastAsiaTheme="minorEastAsia" w:hAnsi="Arial" w:cs="Arial"/>
          <w:b w:val="0"/>
          <w:bCs w:val="0"/>
          <w:noProof/>
          <w:sz w:val="24"/>
          <w:szCs w:val="24"/>
          <w:lang w:eastAsia="en-GB"/>
        </w:rPr>
      </w:pPr>
      <w:hyperlink w:anchor="_Toc106708893" w:history="1">
        <w:r w:rsidR="009C3764" w:rsidRPr="00973B94">
          <w:rPr>
            <w:rStyle w:val="Hyperlink"/>
            <w:rFonts w:ascii="Arial" w:hAnsi="Arial" w:cs="Arial"/>
            <w:noProof/>
            <w:sz w:val="24"/>
            <w:szCs w:val="24"/>
          </w:rPr>
          <w:t>Renal function</w:t>
        </w:r>
        <w:r w:rsidR="009C3764" w:rsidRPr="00973B94">
          <w:rPr>
            <w:rFonts w:ascii="Arial" w:hAnsi="Arial" w:cs="Arial"/>
            <w:noProof/>
            <w:webHidden/>
            <w:sz w:val="24"/>
            <w:szCs w:val="24"/>
          </w:rPr>
          <w:tab/>
        </w:r>
        <w:r w:rsidR="009C3764" w:rsidRPr="00973B94">
          <w:rPr>
            <w:rFonts w:ascii="Arial" w:hAnsi="Arial" w:cs="Arial"/>
            <w:noProof/>
            <w:webHidden/>
            <w:sz w:val="24"/>
            <w:szCs w:val="24"/>
          </w:rPr>
          <w:fldChar w:fldCharType="begin"/>
        </w:r>
        <w:r w:rsidR="009C3764" w:rsidRPr="00973B94">
          <w:rPr>
            <w:rFonts w:ascii="Arial" w:hAnsi="Arial" w:cs="Arial"/>
            <w:noProof/>
            <w:webHidden/>
            <w:sz w:val="24"/>
            <w:szCs w:val="24"/>
          </w:rPr>
          <w:instrText xml:space="preserve"> PAGEREF _Toc106708893 \h </w:instrText>
        </w:r>
        <w:r w:rsidR="009C3764" w:rsidRPr="00973B94">
          <w:rPr>
            <w:rFonts w:ascii="Arial" w:hAnsi="Arial" w:cs="Arial"/>
            <w:noProof/>
            <w:webHidden/>
            <w:sz w:val="24"/>
            <w:szCs w:val="24"/>
          </w:rPr>
        </w:r>
        <w:r w:rsidR="009C3764" w:rsidRPr="00973B94">
          <w:rPr>
            <w:rFonts w:ascii="Arial" w:hAnsi="Arial" w:cs="Arial"/>
            <w:noProof/>
            <w:webHidden/>
            <w:sz w:val="24"/>
            <w:szCs w:val="24"/>
          </w:rPr>
          <w:fldChar w:fldCharType="separate"/>
        </w:r>
        <w:r w:rsidR="00C1186A">
          <w:rPr>
            <w:rFonts w:ascii="Arial" w:hAnsi="Arial" w:cs="Arial"/>
            <w:noProof/>
            <w:webHidden/>
            <w:sz w:val="24"/>
            <w:szCs w:val="24"/>
          </w:rPr>
          <w:t>5</w:t>
        </w:r>
        <w:r w:rsidR="009C3764" w:rsidRPr="00973B94">
          <w:rPr>
            <w:rFonts w:ascii="Arial" w:hAnsi="Arial" w:cs="Arial"/>
            <w:noProof/>
            <w:webHidden/>
            <w:sz w:val="24"/>
            <w:szCs w:val="24"/>
          </w:rPr>
          <w:fldChar w:fldCharType="end"/>
        </w:r>
      </w:hyperlink>
    </w:p>
    <w:p w14:paraId="515C8FCE" w14:textId="32042EE1" w:rsidR="009C3764" w:rsidRPr="00973B94" w:rsidRDefault="00777693">
      <w:pPr>
        <w:pStyle w:val="TOC2"/>
        <w:rPr>
          <w:rFonts w:ascii="Arial" w:eastAsiaTheme="minorEastAsia" w:hAnsi="Arial" w:cs="Arial"/>
          <w:b w:val="0"/>
          <w:bCs w:val="0"/>
          <w:noProof/>
          <w:sz w:val="24"/>
          <w:szCs w:val="24"/>
          <w:lang w:eastAsia="en-GB"/>
        </w:rPr>
      </w:pPr>
      <w:hyperlink w:anchor="_Toc106708894" w:history="1">
        <w:r w:rsidR="009C3764" w:rsidRPr="00973B94">
          <w:rPr>
            <w:rStyle w:val="Hyperlink"/>
            <w:rFonts w:ascii="Arial" w:hAnsi="Arial" w:cs="Arial"/>
            <w:noProof/>
            <w:sz w:val="24"/>
            <w:szCs w:val="24"/>
          </w:rPr>
          <w:t>Dosages in renal impairment</w:t>
        </w:r>
        <w:r w:rsidR="009C3764" w:rsidRPr="00973B94">
          <w:rPr>
            <w:rFonts w:ascii="Arial" w:hAnsi="Arial" w:cs="Arial"/>
            <w:noProof/>
            <w:webHidden/>
            <w:sz w:val="24"/>
            <w:szCs w:val="24"/>
          </w:rPr>
          <w:tab/>
        </w:r>
        <w:r w:rsidR="009C3764" w:rsidRPr="00973B94">
          <w:rPr>
            <w:rFonts w:ascii="Arial" w:hAnsi="Arial" w:cs="Arial"/>
            <w:noProof/>
            <w:webHidden/>
            <w:sz w:val="24"/>
            <w:szCs w:val="24"/>
          </w:rPr>
          <w:fldChar w:fldCharType="begin"/>
        </w:r>
        <w:r w:rsidR="009C3764" w:rsidRPr="00973B94">
          <w:rPr>
            <w:rFonts w:ascii="Arial" w:hAnsi="Arial" w:cs="Arial"/>
            <w:noProof/>
            <w:webHidden/>
            <w:sz w:val="24"/>
            <w:szCs w:val="24"/>
          </w:rPr>
          <w:instrText xml:space="preserve"> PAGEREF _Toc106708894 \h </w:instrText>
        </w:r>
        <w:r w:rsidR="009C3764" w:rsidRPr="00973B94">
          <w:rPr>
            <w:rFonts w:ascii="Arial" w:hAnsi="Arial" w:cs="Arial"/>
            <w:noProof/>
            <w:webHidden/>
            <w:sz w:val="24"/>
            <w:szCs w:val="24"/>
          </w:rPr>
        </w:r>
        <w:r w:rsidR="009C3764" w:rsidRPr="00973B94">
          <w:rPr>
            <w:rFonts w:ascii="Arial" w:hAnsi="Arial" w:cs="Arial"/>
            <w:noProof/>
            <w:webHidden/>
            <w:sz w:val="24"/>
            <w:szCs w:val="24"/>
          </w:rPr>
          <w:fldChar w:fldCharType="separate"/>
        </w:r>
        <w:r w:rsidR="00C1186A">
          <w:rPr>
            <w:rFonts w:ascii="Arial" w:hAnsi="Arial" w:cs="Arial"/>
            <w:noProof/>
            <w:webHidden/>
            <w:sz w:val="24"/>
            <w:szCs w:val="24"/>
          </w:rPr>
          <w:t>6</w:t>
        </w:r>
        <w:r w:rsidR="009C3764" w:rsidRPr="00973B94">
          <w:rPr>
            <w:rFonts w:ascii="Arial" w:hAnsi="Arial" w:cs="Arial"/>
            <w:noProof/>
            <w:webHidden/>
            <w:sz w:val="24"/>
            <w:szCs w:val="24"/>
          </w:rPr>
          <w:fldChar w:fldCharType="end"/>
        </w:r>
      </w:hyperlink>
    </w:p>
    <w:p w14:paraId="6705ACA6" w14:textId="0F64E660" w:rsidR="009C3764" w:rsidRPr="00973B94" w:rsidRDefault="00777693">
      <w:pPr>
        <w:pStyle w:val="TOC2"/>
        <w:rPr>
          <w:rFonts w:ascii="Arial" w:eastAsiaTheme="minorEastAsia" w:hAnsi="Arial" w:cs="Arial"/>
          <w:b w:val="0"/>
          <w:bCs w:val="0"/>
          <w:noProof/>
          <w:sz w:val="24"/>
          <w:szCs w:val="24"/>
          <w:lang w:eastAsia="en-GB"/>
        </w:rPr>
      </w:pPr>
      <w:hyperlink w:anchor="_Toc106708895" w:history="1">
        <w:r w:rsidR="009C3764" w:rsidRPr="00973B94">
          <w:rPr>
            <w:rStyle w:val="Hyperlink"/>
            <w:rFonts w:ascii="Arial" w:hAnsi="Arial" w:cs="Arial"/>
            <w:noProof/>
            <w:sz w:val="24"/>
            <w:szCs w:val="24"/>
          </w:rPr>
          <w:t>Dose in AF</w:t>
        </w:r>
        <w:r w:rsidR="009C3764" w:rsidRPr="00973B94">
          <w:rPr>
            <w:rFonts w:ascii="Arial" w:hAnsi="Arial" w:cs="Arial"/>
            <w:noProof/>
            <w:webHidden/>
            <w:sz w:val="24"/>
            <w:szCs w:val="24"/>
          </w:rPr>
          <w:tab/>
        </w:r>
        <w:r w:rsidR="009C3764" w:rsidRPr="00973B94">
          <w:rPr>
            <w:rFonts w:ascii="Arial" w:hAnsi="Arial" w:cs="Arial"/>
            <w:noProof/>
            <w:webHidden/>
            <w:sz w:val="24"/>
            <w:szCs w:val="24"/>
          </w:rPr>
          <w:fldChar w:fldCharType="begin"/>
        </w:r>
        <w:r w:rsidR="009C3764" w:rsidRPr="00973B94">
          <w:rPr>
            <w:rFonts w:ascii="Arial" w:hAnsi="Arial" w:cs="Arial"/>
            <w:noProof/>
            <w:webHidden/>
            <w:sz w:val="24"/>
            <w:szCs w:val="24"/>
          </w:rPr>
          <w:instrText xml:space="preserve"> PAGEREF _Toc106708895 \h </w:instrText>
        </w:r>
        <w:r w:rsidR="009C3764" w:rsidRPr="00973B94">
          <w:rPr>
            <w:rFonts w:ascii="Arial" w:hAnsi="Arial" w:cs="Arial"/>
            <w:noProof/>
            <w:webHidden/>
            <w:sz w:val="24"/>
            <w:szCs w:val="24"/>
          </w:rPr>
        </w:r>
        <w:r w:rsidR="009C3764" w:rsidRPr="00973B94">
          <w:rPr>
            <w:rFonts w:ascii="Arial" w:hAnsi="Arial" w:cs="Arial"/>
            <w:noProof/>
            <w:webHidden/>
            <w:sz w:val="24"/>
            <w:szCs w:val="24"/>
          </w:rPr>
          <w:fldChar w:fldCharType="separate"/>
        </w:r>
        <w:r w:rsidR="00C1186A">
          <w:rPr>
            <w:rFonts w:ascii="Arial" w:hAnsi="Arial" w:cs="Arial"/>
            <w:noProof/>
            <w:webHidden/>
            <w:sz w:val="24"/>
            <w:szCs w:val="24"/>
          </w:rPr>
          <w:t>7</w:t>
        </w:r>
        <w:r w:rsidR="009C3764" w:rsidRPr="00973B94">
          <w:rPr>
            <w:rFonts w:ascii="Arial" w:hAnsi="Arial" w:cs="Arial"/>
            <w:noProof/>
            <w:webHidden/>
            <w:sz w:val="24"/>
            <w:szCs w:val="24"/>
          </w:rPr>
          <w:fldChar w:fldCharType="end"/>
        </w:r>
      </w:hyperlink>
    </w:p>
    <w:p w14:paraId="5FBD3BD6" w14:textId="285595B2" w:rsidR="009C3764" w:rsidRPr="00973B94" w:rsidRDefault="00777693">
      <w:pPr>
        <w:pStyle w:val="TOC2"/>
        <w:rPr>
          <w:rFonts w:ascii="Arial" w:eastAsiaTheme="minorEastAsia" w:hAnsi="Arial" w:cs="Arial"/>
          <w:b w:val="0"/>
          <w:bCs w:val="0"/>
          <w:noProof/>
          <w:sz w:val="24"/>
          <w:szCs w:val="24"/>
          <w:lang w:eastAsia="en-GB"/>
        </w:rPr>
      </w:pPr>
      <w:hyperlink w:anchor="_Toc106708896" w:history="1">
        <w:r w:rsidR="009C3764" w:rsidRPr="00973B94">
          <w:rPr>
            <w:rStyle w:val="Hyperlink"/>
            <w:rFonts w:ascii="Arial" w:hAnsi="Arial" w:cs="Arial"/>
            <w:noProof/>
            <w:sz w:val="24"/>
            <w:szCs w:val="24"/>
          </w:rPr>
          <w:t>Dose in treatment and prevention of DVT and PE</w:t>
        </w:r>
        <w:r w:rsidR="009C3764" w:rsidRPr="00973B94">
          <w:rPr>
            <w:rFonts w:ascii="Arial" w:hAnsi="Arial" w:cs="Arial"/>
            <w:noProof/>
            <w:webHidden/>
            <w:sz w:val="24"/>
            <w:szCs w:val="24"/>
          </w:rPr>
          <w:tab/>
        </w:r>
        <w:r w:rsidR="009C3764" w:rsidRPr="00973B94">
          <w:rPr>
            <w:rFonts w:ascii="Arial" w:hAnsi="Arial" w:cs="Arial"/>
            <w:noProof/>
            <w:webHidden/>
            <w:sz w:val="24"/>
            <w:szCs w:val="24"/>
          </w:rPr>
          <w:fldChar w:fldCharType="begin"/>
        </w:r>
        <w:r w:rsidR="009C3764" w:rsidRPr="00973B94">
          <w:rPr>
            <w:rFonts w:ascii="Arial" w:hAnsi="Arial" w:cs="Arial"/>
            <w:noProof/>
            <w:webHidden/>
            <w:sz w:val="24"/>
            <w:szCs w:val="24"/>
          </w:rPr>
          <w:instrText xml:space="preserve"> PAGEREF _Toc106708896 \h </w:instrText>
        </w:r>
        <w:r w:rsidR="009C3764" w:rsidRPr="00973B94">
          <w:rPr>
            <w:rFonts w:ascii="Arial" w:hAnsi="Arial" w:cs="Arial"/>
            <w:noProof/>
            <w:webHidden/>
            <w:sz w:val="24"/>
            <w:szCs w:val="24"/>
          </w:rPr>
        </w:r>
        <w:r w:rsidR="009C3764" w:rsidRPr="00973B94">
          <w:rPr>
            <w:rFonts w:ascii="Arial" w:hAnsi="Arial" w:cs="Arial"/>
            <w:noProof/>
            <w:webHidden/>
            <w:sz w:val="24"/>
            <w:szCs w:val="24"/>
          </w:rPr>
          <w:fldChar w:fldCharType="separate"/>
        </w:r>
        <w:r w:rsidR="00C1186A">
          <w:rPr>
            <w:rFonts w:ascii="Arial" w:hAnsi="Arial" w:cs="Arial"/>
            <w:noProof/>
            <w:webHidden/>
            <w:sz w:val="24"/>
            <w:szCs w:val="24"/>
          </w:rPr>
          <w:t>8</w:t>
        </w:r>
        <w:r w:rsidR="009C3764" w:rsidRPr="00973B94">
          <w:rPr>
            <w:rFonts w:ascii="Arial" w:hAnsi="Arial" w:cs="Arial"/>
            <w:noProof/>
            <w:webHidden/>
            <w:sz w:val="24"/>
            <w:szCs w:val="24"/>
          </w:rPr>
          <w:fldChar w:fldCharType="end"/>
        </w:r>
      </w:hyperlink>
    </w:p>
    <w:p w14:paraId="79AD7148" w14:textId="5879753A" w:rsidR="009C3764" w:rsidRPr="00973B94" w:rsidRDefault="00777693">
      <w:pPr>
        <w:pStyle w:val="TOC2"/>
        <w:rPr>
          <w:rFonts w:ascii="Arial" w:eastAsiaTheme="minorEastAsia" w:hAnsi="Arial" w:cs="Arial"/>
          <w:b w:val="0"/>
          <w:bCs w:val="0"/>
          <w:noProof/>
          <w:sz w:val="24"/>
          <w:szCs w:val="24"/>
          <w:lang w:eastAsia="en-GB"/>
        </w:rPr>
      </w:pPr>
      <w:hyperlink w:anchor="_Toc106708897" w:history="1">
        <w:r w:rsidR="009C3764" w:rsidRPr="00973B94">
          <w:rPr>
            <w:rStyle w:val="Hyperlink"/>
            <w:rFonts w:ascii="Arial" w:hAnsi="Arial" w:cs="Arial"/>
            <w:noProof/>
            <w:sz w:val="24"/>
            <w:szCs w:val="24"/>
          </w:rPr>
          <w:t>VTE prevention post-surgery</w:t>
        </w:r>
        <w:r w:rsidR="009C3764" w:rsidRPr="00973B94">
          <w:rPr>
            <w:rFonts w:ascii="Arial" w:hAnsi="Arial" w:cs="Arial"/>
            <w:noProof/>
            <w:webHidden/>
            <w:sz w:val="24"/>
            <w:szCs w:val="24"/>
          </w:rPr>
          <w:tab/>
        </w:r>
        <w:r w:rsidR="009C3764" w:rsidRPr="00973B94">
          <w:rPr>
            <w:rFonts w:ascii="Arial" w:hAnsi="Arial" w:cs="Arial"/>
            <w:noProof/>
            <w:webHidden/>
            <w:sz w:val="24"/>
            <w:szCs w:val="24"/>
          </w:rPr>
          <w:fldChar w:fldCharType="begin"/>
        </w:r>
        <w:r w:rsidR="009C3764" w:rsidRPr="00973B94">
          <w:rPr>
            <w:rFonts w:ascii="Arial" w:hAnsi="Arial" w:cs="Arial"/>
            <w:noProof/>
            <w:webHidden/>
            <w:sz w:val="24"/>
            <w:szCs w:val="24"/>
          </w:rPr>
          <w:instrText xml:space="preserve"> PAGEREF _Toc106708897 \h </w:instrText>
        </w:r>
        <w:r w:rsidR="009C3764" w:rsidRPr="00973B94">
          <w:rPr>
            <w:rFonts w:ascii="Arial" w:hAnsi="Arial" w:cs="Arial"/>
            <w:noProof/>
            <w:webHidden/>
            <w:sz w:val="24"/>
            <w:szCs w:val="24"/>
          </w:rPr>
        </w:r>
        <w:r w:rsidR="009C3764" w:rsidRPr="00973B94">
          <w:rPr>
            <w:rFonts w:ascii="Arial" w:hAnsi="Arial" w:cs="Arial"/>
            <w:noProof/>
            <w:webHidden/>
            <w:sz w:val="24"/>
            <w:szCs w:val="24"/>
          </w:rPr>
          <w:fldChar w:fldCharType="separate"/>
        </w:r>
        <w:r w:rsidR="00C1186A">
          <w:rPr>
            <w:rFonts w:ascii="Arial" w:hAnsi="Arial" w:cs="Arial"/>
            <w:noProof/>
            <w:webHidden/>
            <w:sz w:val="24"/>
            <w:szCs w:val="24"/>
          </w:rPr>
          <w:t>9</w:t>
        </w:r>
        <w:r w:rsidR="009C3764" w:rsidRPr="00973B94">
          <w:rPr>
            <w:rFonts w:ascii="Arial" w:hAnsi="Arial" w:cs="Arial"/>
            <w:noProof/>
            <w:webHidden/>
            <w:sz w:val="24"/>
            <w:szCs w:val="24"/>
          </w:rPr>
          <w:fldChar w:fldCharType="end"/>
        </w:r>
      </w:hyperlink>
    </w:p>
    <w:p w14:paraId="0DDFD09E" w14:textId="15EB90E6" w:rsidR="009C3764" w:rsidRPr="00973B94" w:rsidRDefault="00777693">
      <w:pPr>
        <w:pStyle w:val="TOC2"/>
        <w:rPr>
          <w:rFonts w:ascii="Arial" w:eastAsiaTheme="minorEastAsia" w:hAnsi="Arial" w:cs="Arial"/>
          <w:b w:val="0"/>
          <w:bCs w:val="0"/>
          <w:noProof/>
          <w:sz w:val="24"/>
          <w:szCs w:val="24"/>
          <w:lang w:eastAsia="en-GB"/>
        </w:rPr>
      </w:pPr>
      <w:hyperlink w:anchor="_Toc106708898" w:history="1">
        <w:r w:rsidR="009C3764" w:rsidRPr="00973B94">
          <w:rPr>
            <w:rStyle w:val="Hyperlink"/>
            <w:rFonts w:ascii="Arial" w:hAnsi="Arial" w:cs="Arial"/>
            <w:noProof/>
            <w:sz w:val="24"/>
            <w:szCs w:val="24"/>
          </w:rPr>
          <w:t>Acute coronary syndrome</w:t>
        </w:r>
        <w:r w:rsidR="009C3764" w:rsidRPr="00973B94">
          <w:rPr>
            <w:rFonts w:ascii="Arial" w:hAnsi="Arial" w:cs="Arial"/>
            <w:noProof/>
            <w:webHidden/>
            <w:sz w:val="24"/>
            <w:szCs w:val="24"/>
          </w:rPr>
          <w:tab/>
        </w:r>
        <w:r w:rsidR="009C3764" w:rsidRPr="00973B94">
          <w:rPr>
            <w:rFonts w:ascii="Arial" w:hAnsi="Arial" w:cs="Arial"/>
            <w:noProof/>
            <w:webHidden/>
            <w:sz w:val="24"/>
            <w:szCs w:val="24"/>
          </w:rPr>
          <w:fldChar w:fldCharType="begin"/>
        </w:r>
        <w:r w:rsidR="009C3764" w:rsidRPr="00973B94">
          <w:rPr>
            <w:rFonts w:ascii="Arial" w:hAnsi="Arial" w:cs="Arial"/>
            <w:noProof/>
            <w:webHidden/>
            <w:sz w:val="24"/>
            <w:szCs w:val="24"/>
          </w:rPr>
          <w:instrText xml:space="preserve"> PAGEREF _Toc106708898 \h </w:instrText>
        </w:r>
        <w:r w:rsidR="009C3764" w:rsidRPr="00973B94">
          <w:rPr>
            <w:rFonts w:ascii="Arial" w:hAnsi="Arial" w:cs="Arial"/>
            <w:noProof/>
            <w:webHidden/>
            <w:sz w:val="24"/>
            <w:szCs w:val="24"/>
          </w:rPr>
        </w:r>
        <w:r w:rsidR="009C3764" w:rsidRPr="00973B94">
          <w:rPr>
            <w:rFonts w:ascii="Arial" w:hAnsi="Arial" w:cs="Arial"/>
            <w:noProof/>
            <w:webHidden/>
            <w:sz w:val="24"/>
            <w:szCs w:val="24"/>
          </w:rPr>
          <w:fldChar w:fldCharType="separate"/>
        </w:r>
        <w:r w:rsidR="00C1186A">
          <w:rPr>
            <w:rFonts w:ascii="Arial" w:hAnsi="Arial" w:cs="Arial"/>
            <w:noProof/>
            <w:webHidden/>
            <w:sz w:val="24"/>
            <w:szCs w:val="24"/>
          </w:rPr>
          <w:t>10</w:t>
        </w:r>
        <w:r w:rsidR="009C3764" w:rsidRPr="00973B94">
          <w:rPr>
            <w:rFonts w:ascii="Arial" w:hAnsi="Arial" w:cs="Arial"/>
            <w:noProof/>
            <w:webHidden/>
            <w:sz w:val="24"/>
            <w:szCs w:val="24"/>
          </w:rPr>
          <w:fldChar w:fldCharType="end"/>
        </w:r>
      </w:hyperlink>
    </w:p>
    <w:p w14:paraId="5E5301CE" w14:textId="0F2C41A9" w:rsidR="009C3764" w:rsidRPr="00973B94" w:rsidRDefault="00777693">
      <w:pPr>
        <w:pStyle w:val="TOC2"/>
        <w:rPr>
          <w:rFonts w:ascii="Arial" w:eastAsiaTheme="minorEastAsia" w:hAnsi="Arial" w:cs="Arial"/>
          <w:b w:val="0"/>
          <w:bCs w:val="0"/>
          <w:noProof/>
          <w:sz w:val="24"/>
          <w:szCs w:val="24"/>
          <w:lang w:eastAsia="en-GB"/>
        </w:rPr>
      </w:pPr>
      <w:hyperlink w:anchor="_Toc106708899" w:history="1">
        <w:r w:rsidR="009C3764" w:rsidRPr="00973B94">
          <w:rPr>
            <w:rStyle w:val="Hyperlink"/>
            <w:rFonts w:ascii="Arial" w:hAnsi="Arial" w:cs="Arial"/>
            <w:noProof/>
            <w:sz w:val="24"/>
            <w:szCs w:val="24"/>
          </w:rPr>
          <w:t>Dosage in extremes of body weight</w:t>
        </w:r>
        <w:r w:rsidR="009C3764" w:rsidRPr="00973B94">
          <w:rPr>
            <w:rFonts w:ascii="Arial" w:hAnsi="Arial" w:cs="Arial"/>
            <w:noProof/>
            <w:webHidden/>
            <w:sz w:val="24"/>
            <w:szCs w:val="24"/>
          </w:rPr>
          <w:tab/>
        </w:r>
        <w:r w:rsidR="009C3764" w:rsidRPr="00973B94">
          <w:rPr>
            <w:rFonts w:ascii="Arial" w:hAnsi="Arial" w:cs="Arial"/>
            <w:noProof/>
            <w:webHidden/>
            <w:sz w:val="24"/>
            <w:szCs w:val="24"/>
          </w:rPr>
          <w:fldChar w:fldCharType="begin"/>
        </w:r>
        <w:r w:rsidR="009C3764" w:rsidRPr="00973B94">
          <w:rPr>
            <w:rFonts w:ascii="Arial" w:hAnsi="Arial" w:cs="Arial"/>
            <w:noProof/>
            <w:webHidden/>
            <w:sz w:val="24"/>
            <w:szCs w:val="24"/>
          </w:rPr>
          <w:instrText xml:space="preserve"> PAGEREF _Toc106708899 \h </w:instrText>
        </w:r>
        <w:r w:rsidR="009C3764" w:rsidRPr="00973B94">
          <w:rPr>
            <w:rFonts w:ascii="Arial" w:hAnsi="Arial" w:cs="Arial"/>
            <w:noProof/>
            <w:webHidden/>
            <w:sz w:val="24"/>
            <w:szCs w:val="24"/>
          </w:rPr>
        </w:r>
        <w:r w:rsidR="009C3764" w:rsidRPr="00973B94">
          <w:rPr>
            <w:rFonts w:ascii="Arial" w:hAnsi="Arial" w:cs="Arial"/>
            <w:noProof/>
            <w:webHidden/>
            <w:sz w:val="24"/>
            <w:szCs w:val="24"/>
          </w:rPr>
          <w:fldChar w:fldCharType="separate"/>
        </w:r>
        <w:r w:rsidR="00C1186A">
          <w:rPr>
            <w:rFonts w:ascii="Arial" w:hAnsi="Arial" w:cs="Arial"/>
            <w:noProof/>
            <w:webHidden/>
            <w:sz w:val="24"/>
            <w:szCs w:val="24"/>
          </w:rPr>
          <w:t>10</w:t>
        </w:r>
        <w:r w:rsidR="009C3764" w:rsidRPr="00973B94">
          <w:rPr>
            <w:rFonts w:ascii="Arial" w:hAnsi="Arial" w:cs="Arial"/>
            <w:noProof/>
            <w:webHidden/>
            <w:sz w:val="24"/>
            <w:szCs w:val="24"/>
          </w:rPr>
          <w:fldChar w:fldCharType="end"/>
        </w:r>
      </w:hyperlink>
    </w:p>
    <w:p w14:paraId="317935D2" w14:textId="34A0D106" w:rsidR="009C3764" w:rsidRPr="00973B94" w:rsidRDefault="00777693">
      <w:pPr>
        <w:pStyle w:val="TOC2"/>
        <w:rPr>
          <w:rFonts w:ascii="Arial" w:eastAsiaTheme="minorEastAsia" w:hAnsi="Arial" w:cs="Arial"/>
          <w:b w:val="0"/>
          <w:bCs w:val="0"/>
          <w:noProof/>
          <w:sz w:val="24"/>
          <w:szCs w:val="24"/>
          <w:lang w:eastAsia="en-GB"/>
        </w:rPr>
      </w:pPr>
      <w:hyperlink w:anchor="_Toc106708900" w:history="1">
        <w:r w:rsidR="009C3764" w:rsidRPr="00973B94">
          <w:rPr>
            <w:rStyle w:val="Hyperlink"/>
            <w:rFonts w:ascii="Arial" w:hAnsi="Arial" w:cs="Arial"/>
            <w:noProof/>
            <w:sz w:val="24"/>
            <w:szCs w:val="24"/>
          </w:rPr>
          <w:t>Method of administration</w:t>
        </w:r>
        <w:r w:rsidR="009C3764" w:rsidRPr="00973B94">
          <w:rPr>
            <w:rFonts w:ascii="Arial" w:hAnsi="Arial" w:cs="Arial"/>
            <w:noProof/>
            <w:webHidden/>
            <w:sz w:val="24"/>
            <w:szCs w:val="24"/>
          </w:rPr>
          <w:tab/>
        </w:r>
        <w:r w:rsidR="009C3764" w:rsidRPr="00973B94">
          <w:rPr>
            <w:rFonts w:ascii="Arial" w:hAnsi="Arial" w:cs="Arial"/>
            <w:noProof/>
            <w:webHidden/>
            <w:sz w:val="24"/>
            <w:szCs w:val="24"/>
          </w:rPr>
          <w:fldChar w:fldCharType="begin"/>
        </w:r>
        <w:r w:rsidR="009C3764" w:rsidRPr="00973B94">
          <w:rPr>
            <w:rFonts w:ascii="Arial" w:hAnsi="Arial" w:cs="Arial"/>
            <w:noProof/>
            <w:webHidden/>
            <w:sz w:val="24"/>
            <w:szCs w:val="24"/>
          </w:rPr>
          <w:instrText xml:space="preserve"> PAGEREF _Toc106708900 \h </w:instrText>
        </w:r>
        <w:r w:rsidR="009C3764" w:rsidRPr="00973B94">
          <w:rPr>
            <w:rFonts w:ascii="Arial" w:hAnsi="Arial" w:cs="Arial"/>
            <w:noProof/>
            <w:webHidden/>
            <w:sz w:val="24"/>
            <w:szCs w:val="24"/>
          </w:rPr>
        </w:r>
        <w:r w:rsidR="009C3764" w:rsidRPr="00973B94">
          <w:rPr>
            <w:rFonts w:ascii="Arial" w:hAnsi="Arial" w:cs="Arial"/>
            <w:noProof/>
            <w:webHidden/>
            <w:sz w:val="24"/>
            <w:szCs w:val="24"/>
          </w:rPr>
          <w:fldChar w:fldCharType="separate"/>
        </w:r>
        <w:r w:rsidR="00C1186A">
          <w:rPr>
            <w:rFonts w:ascii="Arial" w:hAnsi="Arial" w:cs="Arial"/>
            <w:noProof/>
            <w:webHidden/>
            <w:sz w:val="24"/>
            <w:szCs w:val="24"/>
          </w:rPr>
          <w:t>10</w:t>
        </w:r>
        <w:r w:rsidR="009C3764" w:rsidRPr="00973B94">
          <w:rPr>
            <w:rFonts w:ascii="Arial" w:hAnsi="Arial" w:cs="Arial"/>
            <w:noProof/>
            <w:webHidden/>
            <w:sz w:val="24"/>
            <w:szCs w:val="24"/>
          </w:rPr>
          <w:fldChar w:fldCharType="end"/>
        </w:r>
      </w:hyperlink>
    </w:p>
    <w:p w14:paraId="1212880B" w14:textId="76429D4B" w:rsidR="009C3764" w:rsidRPr="00973B94" w:rsidRDefault="00777693">
      <w:pPr>
        <w:pStyle w:val="TOC2"/>
        <w:rPr>
          <w:rFonts w:ascii="Arial" w:eastAsiaTheme="minorEastAsia" w:hAnsi="Arial" w:cs="Arial"/>
          <w:b w:val="0"/>
          <w:bCs w:val="0"/>
          <w:noProof/>
          <w:sz w:val="24"/>
          <w:szCs w:val="24"/>
          <w:lang w:eastAsia="en-GB"/>
        </w:rPr>
      </w:pPr>
      <w:hyperlink w:anchor="_Toc106708901" w:history="1">
        <w:r w:rsidR="009C3764" w:rsidRPr="00973B94">
          <w:rPr>
            <w:rStyle w:val="Hyperlink"/>
            <w:rFonts w:ascii="Arial" w:hAnsi="Arial" w:cs="Arial"/>
            <w:noProof/>
            <w:sz w:val="24"/>
            <w:szCs w:val="24"/>
          </w:rPr>
          <w:t>Reversibility</w:t>
        </w:r>
        <w:r w:rsidR="009C3764" w:rsidRPr="00973B94">
          <w:rPr>
            <w:rFonts w:ascii="Arial" w:hAnsi="Arial" w:cs="Arial"/>
            <w:noProof/>
            <w:webHidden/>
            <w:sz w:val="24"/>
            <w:szCs w:val="24"/>
          </w:rPr>
          <w:tab/>
        </w:r>
        <w:r w:rsidR="009C3764" w:rsidRPr="00973B94">
          <w:rPr>
            <w:rFonts w:ascii="Arial" w:hAnsi="Arial" w:cs="Arial"/>
            <w:noProof/>
            <w:webHidden/>
            <w:sz w:val="24"/>
            <w:szCs w:val="24"/>
          </w:rPr>
          <w:fldChar w:fldCharType="begin"/>
        </w:r>
        <w:r w:rsidR="009C3764" w:rsidRPr="00973B94">
          <w:rPr>
            <w:rFonts w:ascii="Arial" w:hAnsi="Arial" w:cs="Arial"/>
            <w:noProof/>
            <w:webHidden/>
            <w:sz w:val="24"/>
            <w:szCs w:val="24"/>
          </w:rPr>
          <w:instrText xml:space="preserve"> PAGEREF _Toc106708901 \h </w:instrText>
        </w:r>
        <w:r w:rsidR="009C3764" w:rsidRPr="00973B94">
          <w:rPr>
            <w:rFonts w:ascii="Arial" w:hAnsi="Arial" w:cs="Arial"/>
            <w:noProof/>
            <w:webHidden/>
            <w:sz w:val="24"/>
            <w:szCs w:val="24"/>
          </w:rPr>
        </w:r>
        <w:r w:rsidR="009C3764" w:rsidRPr="00973B94">
          <w:rPr>
            <w:rFonts w:ascii="Arial" w:hAnsi="Arial" w:cs="Arial"/>
            <w:noProof/>
            <w:webHidden/>
            <w:sz w:val="24"/>
            <w:szCs w:val="24"/>
          </w:rPr>
          <w:fldChar w:fldCharType="separate"/>
        </w:r>
        <w:r w:rsidR="00C1186A">
          <w:rPr>
            <w:rFonts w:ascii="Arial" w:hAnsi="Arial" w:cs="Arial"/>
            <w:noProof/>
            <w:webHidden/>
            <w:sz w:val="24"/>
            <w:szCs w:val="24"/>
          </w:rPr>
          <w:t>11</w:t>
        </w:r>
        <w:r w:rsidR="009C3764" w:rsidRPr="00973B94">
          <w:rPr>
            <w:rFonts w:ascii="Arial" w:hAnsi="Arial" w:cs="Arial"/>
            <w:noProof/>
            <w:webHidden/>
            <w:sz w:val="24"/>
            <w:szCs w:val="24"/>
          </w:rPr>
          <w:fldChar w:fldCharType="end"/>
        </w:r>
      </w:hyperlink>
    </w:p>
    <w:p w14:paraId="6BF9BDCC" w14:textId="375E7975" w:rsidR="009C3764" w:rsidRPr="00973B94" w:rsidRDefault="00777693">
      <w:pPr>
        <w:pStyle w:val="TOC2"/>
        <w:rPr>
          <w:rFonts w:ascii="Arial" w:eastAsiaTheme="minorEastAsia" w:hAnsi="Arial" w:cs="Arial"/>
          <w:b w:val="0"/>
          <w:bCs w:val="0"/>
          <w:noProof/>
          <w:sz w:val="24"/>
          <w:szCs w:val="24"/>
          <w:lang w:eastAsia="en-GB"/>
        </w:rPr>
      </w:pPr>
      <w:hyperlink w:anchor="_Toc106708902" w:history="1">
        <w:r w:rsidR="009C3764" w:rsidRPr="00973B94">
          <w:rPr>
            <w:rStyle w:val="Hyperlink"/>
            <w:rFonts w:ascii="Arial" w:hAnsi="Arial" w:cs="Arial"/>
            <w:noProof/>
            <w:sz w:val="24"/>
            <w:szCs w:val="24"/>
          </w:rPr>
          <w:t>Reversal of anticoagulation</w:t>
        </w:r>
        <w:r w:rsidR="009C3764" w:rsidRPr="00973B94">
          <w:rPr>
            <w:rFonts w:ascii="Arial" w:hAnsi="Arial" w:cs="Arial"/>
            <w:noProof/>
            <w:webHidden/>
            <w:sz w:val="24"/>
            <w:szCs w:val="24"/>
          </w:rPr>
          <w:tab/>
        </w:r>
        <w:r w:rsidR="009C3764" w:rsidRPr="00973B94">
          <w:rPr>
            <w:rFonts w:ascii="Arial" w:hAnsi="Arial" w:cs="Arial"/>
            <w:noProof/>
            <w:webHidden/>
            <w:sz w:val="24"/>
            <w:szCs w:val="24"/>
          </w:rPr>
          <w:fldChar w:fldCharType="begin"/>
        </w:r>
        <w:r w:rsidR="009C3764" w:rsidRPr="00973B94">
          <w:rPr>
            <w:rFonts w:ascii="Arial" w:hAnsi="Arial" w:cs="Arial"/>
            <w:noProof/>
            <w:webHidden/>
            <w:sz w:val="24"/>
            <w:szCs w:val="24"/>
          </w:rPr>
          <w:instrText xml:space="preserve"> PAGEREF _Toc106708902 \h </w:instrText>
        </w:r>
        <w:r w:rsidR="009C3764" w:rsidRPr="00973B94">
          <w:rPr>
            <w:rFonts w:ascii="Arial" w:hAnsi="Arial" w:cs="Arial"/>
            <w:noProof/>
            <w:webHidden/>
            <w:sz w:val="24"/>
            <w:szCs w:val="24"/>
          </w:rPr>
        </w:r>
        <w:r w:rsidR="009C3764" w:rsidRPr="00973B94">
          <w:rPr>
            <w:rFonts w:ascii="Arial" w:hAnsi="Arial" w:cs="Arial"/>
            <w:noProof/>
            <w:webHidden/>
            <w:sz w:val="24"/>
            <w:szCs w:val="24"/>
          </w:rPr>
          <w:fldChar w:fldCharType="separate"/>
        </w:r>
        <w:r w:rsidR="00C1186A">
          <w:rPr>
            <w:rFonts w:ascii="Arial" w:hAnsi="Arial" w:cs="Arial"/>
            <w:noProof/>
            <w:webHidden/>
            <w:sz w:val="24"/>
            <w:szCs w:val="24"/>
          </w:rPr>
          <w:t>12</w:t>
        </w:r>
        <w:r w:rsidR="009C3764" w:rsidRPr="00973B94">
          <w:rPr>
            <w:rFonts w:ascii="Arial" w:hAnsi="Arial" w:cs="Arial"/>
            <w:noProof/>
            <w:webHidden/>
            <w:sz w:val="24"/>
            <w:szCs w:val="24"/>
          </w:rPr>
          <w:fldChar w:fldCharType="end"/>
        </w:r>
      </w:hyperlink>
    </w:p>
    <w:p w14:paraId="66F336F7" w14:textId="740CC0D9" w:rsidR="009C3764" w:rsidRPr="00973B94" w:rsidRDefault="00777693">
      <w:pPr>
        <w:pStyle w:val="TOC2"/>
        <w:rPr>
          <w:rFonts w:ascii="Arial" w:eastAsiaTheme="minorEastAsia" w:hAnsi="Arial" w:cs="Arial"/>
          <w:b w:val="0"/>
          <w:bCs w:val="0"/>
          <w:noProof/>
          <w:sz w:val="24"/>
          <w:szCs w:val="24"/>
          <w:lang w:eastAsia="en-GB"/>
        </w:rPr>
      </w:pPr>
      <w:hyperlink w:anchor="_Toc106708903" w:history="1">
        <w:r w:rsidR="009C3764" w:rsidRPr="00973B94">
          <w:rPr>
            <w:rStyle w:val="Hyperlink"/>
            <w:rFonts w:ascii="Arial" w:hAnsi="Arial" w:cs="Arial"/>
            <w:noProof/>
            <w:sz w:val="24"/>
            <w:szCs w:val="24"/>
          </w:rPr>
          <w:t>Conversion from warfarin to DOAC</w:t>
        </w:r>
        <w:r w:rsidR="009C3764" w:rsidRPr="00973B94">
          <w:rPr>
            <w:rFonts w:ascii="Arial" w:hAnsi="Arial" w:cs="Arial"/>
            <w:noProof/>
            <w:webHidden/>
            <w:sz w:val="24"/>
            <w:szCs w:val="24"/>
          </w:rPr>
          <w:tab/>
        </w:r>
        <w:r w:rsidR="009C3764" w:rsidRPr="00973B94">
          <w:rPr>
            <w:rFonts w:ascii="Arial" w:hAnsi="Arial" w:cs="Arial"/>
            <w:noProof/>
            <w:webHidden/>
            <w:sz w:val="24"/>
            <w:szCs w:val="24"/>
          </w:rPr>
          <w:fldChar w:fldCharType="begin"/>
        </w:r>
        <w:r w:rsidR="009C3764" w:rsidRPr="00973B94">
          <w:rPr>
            <w:rFonts w:ascii="Arial" w:hAnsi="Arial" w:cs="Arial"/>
            <w:noProof/>
            <w:webHidden/>
            <w:sz w:val="24"/>
            <w:szCs w:val="24"/>
          </w:rPr>
          <w:instrText xml:space="preserve"> PAGEREF _Toc106708903 \h </w:instrText>
        </w:r>
        <w:r w:rsidR="009C3764" w:rsidRPr="00973B94">
          <w:rPr>
            <w:rFonts w:ascii="Arial" w:hAnsi="Arial" w:cs="Arial"/>
            <w:noProof/>
            <w:webHidden/>
            <w:sz w:val="24"/>
            <w:szCs w:val="24"/>
          </w:rPr>
        </w:r>
        <w:r w:rsidR="009C3764" w:rsidRPr="00973B94">
          <w:rPr>
            <w:rFonts w:ascii="Arial" w:hAnsi="Arial" w:cs="Arial"/>
            <w:noProof/>
            <w:webHidden/>
            <w:sz w:val="24"/>
            <w:szCs w:val="24"/>
          </w:rPr>
          <w:fldChar w:fldCharType="separate"/>
        </w:r>
        <w:r w:rsidR="00C1186A">
          <w:rPr>
            <w:rFonts w:ascii="Arial" w:hAnsi="Arial" w:cs="Arial"/>
            <w:noProof/>
            <w:webHidden/>
            <w:sz w:val="24"/>
            <w:szCs w:val="24"/>
          </w:rPr>
          <w:t>13</w:t>
        </w:r>
        <w:r w:rsidR="009C3764" w:rsidRPr="00973B94">
          <w:rPr>
            <w:rFonts w:ascii="Arial" w:hAnsi="Arial" w:cs="Arial"/>
            <w:noProof/>
            <w:webHidden/>
            <w:sz w:val="24"/>
            <w:szCs w:val="24"/>
          </w:rPr>
          <w:fldChar w:fldCharType="end"/>
        </w:r>
      </w:hyperlink>
    </w:p>
    <w:p w14:paraId="1B908550" w14:textId="0479F7A0" w:rsidR="009C3764" w:rsidRPr="00973B94" w:rsidRDefault="00777693">
      <w:pPr>
        <w:pStyle w:val="TOC2"/>
        <w:rPr>
          <w:rFonts w:ascii="Arial" w:eastAsiaTheme="minorEastAsia" w:hAnsi="Arial" w:cs="Arial"/>
          <w:b w:val="0"/>
          <w:bCs w:val="0"/>
          <w:noProof/>
          <w:sz w:val="24"/>
          <w:szCs w:val="24"/>
          <w:lang w:eastAsia="en-GB"/>
        </w:rPr>
      </w:pPr>
      <w:hyperlink w:anchor="_Toc106708904" w:history="1">
        <w:r w:rsidR="009C3764" w:rsidRPr="00973B94">
          <w:rPr>
            <w:rStyle w:val="Hyperlink"/>
            <w:rFonts w:ascii="Arial" w:hAnsi="Arial" w:cs="Arial"/>
            <w:noProof/>
            <w:sz w:val="24"/>
            <w:szCs w:val="24"/>
          </w:rPr>
          <w:t>Conversion from DOAC to warfarin</w:t>
        </w:r>
        <w:r w:rsidR="009C3764" w:rsidRPr="00973B94">
          <w:rPr>
            <w:rFonts w:ascii="Arial" w:hAnsi="Arial" w:cs="Arial"/>
            <w:noProof/>
            <w:webHidden/>
            <w:sz w:val="24"/>
            <w:szCs w:val="24"/>
          </w:rPr>
          <w:tab/>
        </w:r>
        <w:r w:rsidR="009C3764" w:rsidRPr="00973B94">
          <w:rPr>
            <w:rFonts w:ascii="Arial" w:hAnsi="Arial" w:cs="Arial"/>
            <w:noProof/>
            <w:webHidden/>
            <w:sz w:val="24"/>
            <w:szCs w:val="24"/>
          </w:rPr>
          <w:fldChar w:fldCharType="begin"/>
        </w:r>
        <w:r w:rsidR="009C3764" w:rsidRPr="00973B94">
          <w:rPr>
            <w:rFonts w:ascii="Arial" w:hAnsi="Arial" w:cs="Arial"/>
            <w:noProof/>
            <w:webHidden/>
            <w:sz w:val="24"/>
            <w:szCs w:val="24"/>
          </w:rPr>
          <w:instrText xml:space="preserve"> PAGEREF _Toc106708904 \h </w:instrText>
        </w:r>
        <w:r w:rsidR="009C3764" w:rsidRPr="00973B94">
          <w:rPr>
            <w:rFonts w:ascii="Arial" w:hAnsi="Arial" w:cs="Arial"/>
            <w:noProof/>
            <w:webHidden/>
            <w:sz w:val="24"/>
            <w:szCs w:val="24"/>
          </w:rPr>
        </w:r>
        <w:r w:rsidR="009C3764" w:rsidRPr="00973B94">
          <w:rPr>
            <w:rFonts w:ascii="Arial" w:hAnsi="Arial" w:cs="Arial"/>
            <w:noProof/>
            <w:webHidden/>
            <w:sz w:val="24"/>
            <w:szCs w:val="24"/>
          </w:rPr>
          <w:fldChar w:fldCharType="separate"/>
        </w:r>
        <w:r w:rsidR="00C1186A">
          <w:rPr>
            <w:rFonts w:ascii="Arial" w:hAnsi="Arial" w:cs="Arial"/>
            <w:noProof/>
            <w:webHidden/>
            <w:sz w:val="24"/>
            <w:szCs w:val="24"/>
          </w:rPr>
          <w:t>14</w:t>
        </w:r>
        <w:r w:rsidR="009C3764" w:rsidRPr="00973B94">
          <w:rPr>
            <w:rFonts w:ascii="Arial" w:hAnsi="Arial" w:cs="Arial"/>
            <w:noProof/>
            <w:webHidden/>
            <w:sz w:val="24"/>
            <w:szCs w:val="24"/>
          </w:rPr>
          <w:fldChar w:fldCharType="end"/>
        </w:r>
      </w:hyperlink>
    </w:p>
    <w:p w14:paraId="125710E7" w14:textId="3E7CAD90" w:rsidR="009C3764" w:rsidRPr="00973B94" w:rsidRDefault="00777693">
      <w:pPr>
        <w:pStyle w:val="TOC2"/>
        <w:rPr>
          <w:rFonts w:ascii="Arial" w:eastAsiaTheme="minorEastAsia" w:hAnsi="Arial" w:cs="Arial"/>
          <w:b w:val="0"/>
          <w:bCs w:val="0"/>
          <w:noProof/>
          <w:sz w:val="24"/>
          <w:szCs w:val="24"/>
          <w:lang w:eastAsia="en-GB"/>
        </w:rPr>
      </w:pPr>
      <w:hyperlink w:anchor="_Toc106708905" w:history="1">
        <w:r w:rsidR="009C3764" w:rsidRPr="00973B94">
          <w:rPr>
            <w:rStyle w:val="Hyperlink"/>
            <w:rFonts w:ascii="Arial" w:hAnsi="Arial" w:cs="Arial"/>
            <w:noProof/>
            <w:sz w:val="24"/>
            <w:szCs w:val="24"/>
          </w:rPr>
          <w:t>Conversion from DOAC to edoxaban</w:t>
        </w:r>
        <w:r w:rsidR="009C3764" w:rsidRPr="00973B94">
          <w:rPr>
            <w:rFonts w:ascii="Arial" w:hAnsi="Arial" w:cs="Arial"/>
            <w:noProof/>
            <w:webHidden/>
            <w:sz w:val="24"/>
            <w:szCs w:val="24"/>
          </w:rPr>
          <w:tab/>
        </w:r>
        <w:r w:rsidR="009C3764" w:rsidRPr="00973B94">
          <w:rPr>
            <w:rFonts w:ascii="Arial" w:hAnsi="Arial" w:cs="Arial"/>
            <w:noProof/>
            <w:webHidden/>
            <w:sz w:val="24"/>
            <w:szCs w:val="24"/>
          </w:rPr>
          <w:fldChar w:fldCharType="begin"/>
        </w:r>
        <w:r w:rsidR="009C3764" w:rsidRPr="00973B94">
          <w:rPr>
            <w:rFonts w:ascii="Arial" w:hAnsi="Arial" w:cs="Arial"/>
            <w:noProof/>
            <w:webHidden/>
            <w:sz w:val="24"/>
            <w:szCs w:val="24"/>
          </w:rPr>
          <w:instrText xml:space="preserve"> PAGEREF _Toc106708905 \h </w:instrText>
        </w:r>
        <w:r w:rsidR="009C3764" w:rsidRPr="00973B94">
          <w:rPr>
            <w:rFonts w:ascii="Arial" w:hAnsi="Arial" w:cs="Arial"/>
            <w:noProof/>
            <w:webHidden/>
            <w:sz w:val="24"/>
            <w:szCs w:val="24"/>
          </w:rPr>
        </w:r>
        <w:r w:rsidR="009C3764" w:rsidRPr="00973B94">
          <w:rPr>
            <w:rFonts w:ascii="Arial" w:hAnsi="Arial" w:cs="Arial"/>
            <w:noProof/>
            <w:webHidden/>
            <w:sz w:val="24"/>
            <w:szCs w:val="24"/>
          </w:rPr>
          <w:fldChar w:fldCharType="separate"/>
        </w:r>
        <w:r w:rsidR="00C1186A">
          <w:rPr>
            <w:rFonts w:ascii="Arial" w:hAnsi="Arial" w:cs="Arial"/>
            <w:noProof/>
            <w:webHidden/>
            <w:sz w:val="24"/>
            <w:szCs w:val="24"/>
          </w:rPr>
          <w:t>15</w:t>
        </w:r>
        <w:r w:rsidR="009C3764" w:rsidRPr="00973B94">
          <w:rPr>
            <w:rFonts w:ascii="Arial" w:hAnsi="Arial" w:cs="Arial"/>
            <w:noProof/>
            <w:webHidden/>
            <w:sz w:val="24"/>
            <w:szCs w:val="24"/>
          </w:rPr>
          <w:fldChar w:fldCharType="end"/>
        </w:r>
      </w:hyperlink>
    </w:p>
    <w:p w14:paraId="3130224B" w14:textId="3EC53486" w:rsidR="009C3764" w:rsidRPr="00973B94" w:rsidRDefault="00777693">
      <w:pPr>
        <w:pStyle w:val="TOC2"/>
        <w:rPr>
          <w:rFonts w:ascii="Arial" w:eastAsiaTheme="minorEastAsia" w:hAnsi="Arial" w:cs="Arial"/>
          <w:b w:val="0"/>
          <w:bCs w:val="0"/>
          <w:noProof/>
          <w:sz w:val="24"/>
          <w:szCs w:val="24"/>
          <w:lang w:eastAsia="en-GB"/>
        </w:rPr>
      </w:pPr>
      <w:hyperlink w:anchor="_Toc106708906" w:history="1">
        <w:r w:rsidR="009C3764" w:rsidRPr="00973B94">
          <w:rPr>
            <w:rStyle w:val="Hyperlink"/>
            <w:rFonts w:ascii="Arial" w:hAnsi="Arial" w:cs="Arial"/>
            <w:noProof/>
            <w:sz w:val="24"/>
            <w:szCs w:val="24"/>
          </w:rPr>
          <w:t>Conversion from parenteral anticoagulant to oral anticoagulant</w:t>
        </w:r>
        <w:r w:rsidR="009C3764" w:rsidRPr="00973B94">
          <w:rPr>
            <w:rFonts w:ascii="Arial" w:hAnsi="Arial" w:cs="Arial"/>
            <w:noProof/>
            <w:webHidden/>
            <w:sz w:val="24"/>
            <w:szCs w:val="24"/>
          </w:rPr>
          <w:tab/>
        </w:r>
        <w:r w:rsidR="009C3764" w:rsidRPr="00973B94">
          <w:rPr>
            <w:rFonts w:ascii="Arial" w:hAnsi="Arial" w:cs="Arial"/>
            <w:noProof/>
            <w:webHidden/>
            <w:sz w:val="24"/>
            <w:szCs w:val="24"/>
          </w:rPr>
          <w:fldChar w:fldCharType="begin"/>
        </w:r>
        <w:r w:rsidR="009C3764" w:rsidRPr="00973B94">
          <w:rPr>
            <w:rFonts w:ascii="Arial" w:hAnsi="Arial" w:cs="Arial"/>
            <w:noProof/>
            <w:webHidden/>
            <w:sz w:val="24"/>
            <w:szCs w:val="24"/>
          </w:rPr>
          <w:instrText xml:space="preserve"> PAGEREF _Toc106708906 \h </w:instrText>
        </w:r>
        <w:r w:rsidR="009C3764" w:rsidRPr="00973B94">
          <w:rPr>
            <w:rFonts w:ascii="Arial" w:hAnsi="Arial" w:cs="Arial"/>
            <w:noProof/>
            <w:webHidden/>
            <w:sz w:val="24"/>
            <w:szCs w:val="24"/>
          </w:rPr>
        </w:r>
        <w:r w:rsidR="009C3764" w:rsidRPr="00973B94">
          <w:rPr>
            <w:rFonts w:ascii="Arial" w:hAnsi="Arial" w:cs="Arial"/>
            <w:noProof/>
            <w:webHidden/>
            <w:sz w:val="24"/>
            <w:szCs w:val="24"/>
          </w:rPr>
          <w:fldChar w:fldCharType="separate"/>
        </w:r>
        <w:r w:rsidR="00C1186A">
          <w:rPr>
            <w:rFonts w:ascii="Arial" w:hAnsi="Arial" w:cs="Arial"/>
            <w:noProof/>
            <w:webHidden/>
            <w:sz w:val="24"/>
            <w:szCs w:val="24"/>
          </w:rPr>
          <w:t>15</w:t>
        </w:r>
        <w:r w:rsidR="009C3764" w:rsidRPr="00973B94">
          <w:rPr>
            <w:rFonts w:ascii="Arial" w:hAnsi="Arial" w:cs="Arial"/>
            <w:noProof/>
            <w:webHidden/>
            <w:sz w:val="24"/>
            <w:szCs w:val="24"/>
          </w:rPr>
          <w:fldChar w:fldCharType="end"/>
        </w:r>
      </w:hyperlink>
    </w:p>
    <w:p w14:paraId="1EA06FD0" w14:textId="076855B0" w:rsidR="009C3764" w:rsidRPr="00973B94" w:rsidRDefault="00777693">
      <w:pPr>
        <w:pStyle w:val="TOC2"/>
        <w:rPr>
          <w:rFonts w:ascii="Arial" w:eastAsiaTheme="minorEastAsia" w:hAnsi="Arial" w:cs="Arial"/>
          <w:b w:val="0"/>
          <w:bCs w:val="0"/>
          <w:noProof/>
          <w:sz w:val="24"/>
          <w:szCs w:val="24"/>
          <w:lang w:eastAsia="en-GB"/>
        </w:rPr>
      </w:pPr>
      <w:hyperlink w:anchor="_Toc106708907" w:history="1">
        <w:r w:rsidR="009C3764" w:rsidRPr="00973B94">
          <w:rPr>
            <w:rStyle w:val="Hyperlink"/>
            <w:rFonts w:ascii="Arial" w:hAnsi="Arial" w:cs="Arial"/>
            <w:noProof/>
            <w:sz w:val="24"/>
            <w:szCs w:val="24"/>
          </w:rPr>
          <w:t>Missed dose</w:t>
        </w:r>
        <w:r w:rsidR="009C3764" w:rsidRPr="00973B94">
          <w:rPr>
            <w:rFonts w:ascii="Arial" w:hAnsi="Arial" w:cs="Arial"/>
            <w:noProof/>
            <w:webHidden/>
            <w:sz w:val="24"/>
            <w:szCs w:val="24"/>
          </w:rPr>
          <w:tab/>
        </w:r>
        <w:r w:rsidR="009C3764" w:rsidRPr="00973B94">
          <w:rPr>
            <w:rFonts w:ascii="Arial" w:hAnsi="Arial" w:cs="Arial"/>
            <w:noProof/>
            <w:webHidden/>
            <w:sz w:val="24"/>
            <w:szCs w:val="24"/>
          </w:rPr>
          <w:fldChar w:fldCharType="begin"/>
        </w:r>
        <w:r w:rsidR="009C3764" w:rsidRPr="00973B94">
          <w:rPr>
            <w:rFonts w:ascii="Arial" w:hAnsi="Arial" w:cs="Arial"/>
            <w:noProof/>
            <w:webHidden/>
            <w:sz w:val="24"/>
            <w:szCs w:val="24"/>
          </w:rPr>
          <w:instrText xml:space="preserve"> PAGEREF _Toc106708907 \h </w:instrText>
        </w:r>
        <w:r w:rsidR="009C3764" w:rsidRPr="00973B94">
          <w:rPr>
            <w:rFonts w:ascii="Arial" w:hAnsi="Arial" w:cs="Arial"/>
            <w:noProof/>
            <w:webHidden/>
            <w:sz w:val="24"/>
            <w:szCs w:val="24"/>
          </w:rPr>
        </w:r>
        <w:r w:rsidR="009C3764" w:rsidRPr="00973B94">
          <w:rPr>
            <w:rFonts w:ascii="Arial" w:hAnsi="Arial" w:cs="Arial"/>
            <w:noProof/>
            <w:webHidden/>
            <w:sz w:val="24"/>
            <w:szCs w:val="24"/>
          </w:rPr>
          <w:fldChar w:fldCharType="separate"/>
        </w:r>
        <w:r w:rsidR="00C1186A">
          <w:rPr>
            <w:rFonts w:ascii="Arial" w:hAnsi="Arial" w:cs="Arial"/>
            <w:noProof/>
            <w:webHidden/>
            <w:sz w:val="24"/>
            <w:szCs w:val="24"/>
          </w:rPr>
          <w:t>16</w:t>
        </w:r>
        <w:r w:rsidR="009C3764" w:rsidRPr="00973B94">
          <w:rPr>
            <w:rFonts w:ascii="Arial" w:hAnsi="Arial" w:cs="Arial"/>
            <w:noProof/>
            <w:webHidden/>
            <w:sz w:val="24"/>
            <w:szCs w:val="24"/>
          </w:rPr>
          <w:fldChar w:fldCharType="end"/>
        </w:r>
      </w:hyperlink>
    </w:p>
    <w:p w14:paraId="0BEE4CDE" w14:textId="08817009" w:rsidR="009C3764" w:rsidRPr="00973B94" w:rsidRDefault="00777693">
      <w:pPr>
        <w:pStyle w:val="TOC2"/>
        <w:rPr>
          <w:rFonts w:ascii="Arial" w:eastAsiaTheme="minorEastAsia" w:hAnsi="Arial" w:cs="Arial"/>
          <w:b w:val="0"/>
          <w:bCs w:val="0"/>
          <w:noProof/>
          <w:sz w:val="24"/>
          <w:szCs w:val="24"/>
          <w:lang w:eastAsia="en-GB"/>
        </w:rPr>
      </w:pPr>
      <w:hyperlink w:anchor="_Toc106708908" w:history="1">
        <w:r w:rsidR="009C3764" w:rsidRPr="00973B94">
          <w:rPr>
            <w:rStyle w:val="Hyperlink"/>
            <w:rFonts w:ascii="Arial" w:hAnsi="Arial" w:cs="Arial"/>
            <w:noProof/>
            <w:sz w:val="24"/>
            <w:szCs w:val="24"/>
          </w:rPr>
          <w:t>Half-life (t½)</w:t>
        </w:r>
        <w:r w:rsidR="009C3764" w:rsidRPr="00973B94">
          <w:rPr>
            <w:rFonts w:ascii="Arial" w:hAnsi="Arial" w:cs="Arial"/>
            <w:noProof/>
            <w:webHidden/>
            <w:sz w:val="24"/>
            <w:szCs w:val="24"/>
          </w:rPr>
          <w:tab/>
        </w:r>
        <w:r w:rsidR="009C3764" w:rsidRPr="00973B94">
          <w:rPr>
            <w:rFonts w:ascii="Arial" w:hAnsi="Arial" w:cs="Arial"/>
            <w:noProof/>
            <w:webHidden/>
            <w:sz w:val="24"/>
            <w:szCs w:val="24"/>
          </w:rPr>
          <w:fldChar w:fldCharType="begin"/>
        </w:r>
        <w:r w:rsidR="009C3764" w:rsidRPr="00973B94">
          <w:rPr>
            <w:rFonts w:ascii="Arial" w:hAnsi="Arial" w:cs="Arial"/>
            <w:noProof/>
            <w:webHidden/>
            <w:sz w:val="24"/>
            <w:szCs w:val="24"/>
          </w:rPr>
          <w:instrText xml:space="preserve"> PAGEREF _Toc106708908 \h </w:instrText>
        </w:r>
        <w:r w:rsidR="009C3764" w:rsidRPr="00973B94">
          <w:rPr>
            <w:rFonts w:ascii="Arial" w:hAnsi="Arial" w:cs="Arial"/>
            <w:noProof/>
            <w:webHidden/>
            <w:sz w:val="24"/>
            <w:szCs w:val="24"/>
          </w:rPr>
        </w:r>
        <w:r w:rsidR="009C3764" w:rsidRPr="00973B94">
          <w:rPr>
            <w:rFonts w:ascii="Arial" w:hAnsi="Arial" w:cs="Arial"/>
            <w:noProof/>
            <w:webHidden/>
            <w:sz w:val="24"/>
            <w:szCs w:val="24"/>
          </w:rPr>
          <w:fldChar w:fldCharType="separate"/>
        </w:r>
        <w:r w:rsidR="00C1186A">
          <w:rPr>
            <w:rFonts w:ascii="Arial" w:hAnsi="Arial" w:cs="Arial"/>
            <w:noProof/>
            <w:webHidden/>
            <w:sz w:val="24"/>
            <w:szCs w:val="24"/>
          </w:rPr>
          <w:t>17</w:t>
        </w:r>
        <w:r w:rsidR="009C3764" w:rsidRPr="00973B94">
          <w:rPr>
            <w:rFonts w:ascii="Arial" w:hAnsi="Arial" w:cs="Arial"/>
            <w:noProof/>
            <w:webHidden/>
            <w:sz w:val="24"/>
            <w:szCs w:val="24"/>
          </w:rPr>
          <w:fldChar w:fldCharType="end"/>
        </w:r>
      </w:hyperlink>
    </w:p>
    <w:p w14:paraId="50078D01" w14:textId="53A18E72" w:rsidR="009C3764" w:rsidRPr="00973B94" w:rsidRDefault="00777693">
      <w:pPr>
        <w:pStyle w:val="TOC2"/>
        <w:rPr>
          <w:rFonts w:ascii="Arial" w:eastAsiaTheme="minorEastAsia" w:hAnsi="Arial" w:cs="Arial"/>
          <w:b w:val="0"/>
          <w:bCs w:val="0"/>
          <w:noProof/>
          <w:sz w:val="24"/>
          <w:szCs w:val="24"/>
          <w:lang w:eastAsia="en-GB"/>
        </w:rPr>
      </w:pPr>
      <w:hyperlink w:anchor="_Toc106708909" w:history="1">
        <w:r w:rsidR="009C3764" w:rsidRPr="00973B94">
          <w:rPr>
            <w:rStyle w:val="Hyperlink"/>
            <w:rFonts w:ascii="Arial" w:hAnsi="Arial" w:cs="Arial"/>
            <w:noProof/>
            <w:sz w:val="24"/>
            <w:szCs w:val="24"/>
          </w:rPr>
          <w:t>Bioavailability</w:t>
        </w:r>
        <w:r w:rsidR="009C3764" w:rsidRPr="00973B94">
          <w:rPr>
            <w:rFonts w:ascii="Arial" w:hAnsi="Arial" w:cs="Arial"/>
            <w:noProof/>
            <w:webHidden/>
            <w:sz w:val="24"/>
            <w:szCs w:val="24"/>
          </w:rPr>
          <w:tab/>
        </w:r>
        <w:r w:rsidR="009C3764" w:rsidRPr="00973B94">
          <w:rPr>
            <w:rFonts w:ascii="Arial" w:hAnsi="Arial" w:cs="Arial"/>
            <w:noProof/>
            <w:webHidden/>
            <w:sz w:val="24"/>
            <w:szCs w:val="24"/>
          </w:rPr>
          <w:fldChar w:fldCharType="begin"/>
        </w:r>
        <w:r w:rsidR="009C3764" w:rsidRPr="00973B94">
          <w:rPr>
            <w:rFonts w:ascii="Arial" w:hAnsi="Arial" w:cs="Arial"/>
            <w:noProof/>
            <w:webHidden/>
            <w:sz w:val="24"/>
            <w:szCs w:val="24"/>
          </w:rPr>
          <w:instrText xml:space="preserve"> PAGEREF _Toc106708909 \h </w:instrText>
        </w:r>
        <w:r w:rsidR="009C3764" w:rsidRPr="00973B94">
          <w:rPr>
            <w:rFonts w:ascii="Arial" w:hAnsi="Arial" w:cs="Arial"/>
            <w:noProof/>
            <w:webHidden/>
            <w:sz w:val="24"/>
            <w:szCs w:val="24"/>
          </w:rPr>
        </w:r>
        <w:r w:rsidR="009C3764" w:rsidRPr="00973B94">
          <w:rPr>
            <w:rFonts w:ascii="Arial" w:hAnsi="Arial" w:cs="Arial"/>
            <w:noProof/>
            <w:webHidden/>
            <w:sz w:val="24"/>
            <w:szCs w:val="24"/>
          </w:rPr>
          <w:fldChar w:fldCharType="separate"/>
        </w:r>
        <w:r w:rsidR="00C1186A">
          <w:rPr>
            <w:rFonts w:ascii="Arial" w:hAnsi="Arial" w:cs="Arial"/>
            <w:noProof/>
            <w:webHidden/>
            <w:sz w:val="24"/>
            <w:szCs w:val="24"/>
          </w:rPr>
          <w:t>17</w:t>
        </w:r>
        <w:r w:rsidR="009C3764" w:rsidRPr="00973B94">
          <w:rPr>
            <w:rFonts w:ascii="Arial" w:hAnsi="Arial" w:cs="Arial"/>
            <w:noProof/>
            <w:webHidden/>
            <w:sz w:val="24"/>
            <w:szCs w:val="24"/>
          </w:rPr>
          <w:fldChar w:fldCharType="end"/>
        </w:r>
      </w:hyperlink>
    </w:p>
    <w:p w14:paraId="4CB94D95" w14:textId="47418A3E" w:rsidR="009C3764" w:rsidRPr="00973B94" w:rsidRDefault="00777693">
      <w:pPr>
        <w:pStyle w:val="TOC2"/>
        <w:rPr>
          <w:rFonts w:ascii="Arial" w:eastAsiaTheme="minorEastAsia" w:hAnsi="Arial" w:cs="Arial"/>
          <w:b w:val="0"/>
          <w:bCs w:val="0"/>
          <w:noProof/>
          <w:sz w:val="24"/>
          <w:szCs w:val="24"/>
          <w:lang w:eastAsia="en-GB"/>
        </w:rPr>
      </w:pPr>
      <w:hyperlink w:anchor="_Toc106708910" w:history="1">
        <w:r w:rsidR="009C3764" w:rsidRPr="00973B94">
          <w:rPr>
            <w:rStyle w:val="Hyperlink"/>
            <w:rFonts w:ascii="Arial" w:hAnsi="Arial" w:cs="Arial"/>
            <w:noProof/>
            <w:sz w:val="24"/>
            <w:szCs w:val="24"/>
          </w:rPr>
          <w:t>Protein binding</w:t>
        </w:r>
        <w:r w:rsidR="009C3764" w:rsidRPr="00973B94">
          <w:rPr>
            <w:rFonts w:ascii="Arial" w:hAnsi="Arial" w:cs="Arial"/>
            <w:noProof/>
            <w:webHidden/>
            <w:sz w:val="24"/>
            <w:szCs w:val="24"/>
          </w:rPr>
          <w:tab/>
        </w:r>
        <w:r w:rsidR="009C3764" w:rsidRPr="00973B94">
          <w:rPr>
            <w:rFonts w:ascii="Arial" w:hAnsi="Arial" w:cs="Arial"/>
            <w:noProof/>
            <w:webHidden/>
            <w:sz w:val="24"/>
            <w:szCs w:val="24"/>
          </w:rPr>
          <w:fldChar w:fldCharType="begin"/>
        </w:r>
        <w:r w:rsidR="009C3764" w:rsidRPr="00973B94">
          <w:rPr>
            <w:rFonts w:ascii="Arial" w:hAnsi="Arial" w:cs="Arial"/>
            <w:noProof/>
            <w:webHidden/>
            <w:sz w:val="24"/>
            <w:szCs w:val="24"/>
          </w:rPr>
          <w:instrText xml:space="preserve"> PAGEREF _Toc106708910 \h </w:instrText>
        </w:r>
        <w:r w:rsidR="009C3764" w:rsidRPr="00973B94">
          <w:rPr>
            <w:rFonts w:ascii="Arial" w:hAnsi="Arial" w:cs="Arial"/>
            <w:noProof/>
            <w:webHidden/>
            <w:sz w:val="24"/>
            <w:szCs w:val="24"/>
          </w:rPr>
        </w:r>
        <w:r w:rsidR="009C3764" w:rsidRPr="00973B94">
          <w:rPr>
            <w:rFonts w:ascii="Arial" w:hAnsi="Arial" w:cs="Arial"/>
            <w:noProof/>
            <w:webHidden/>
            <w:sz w:val="24"/>
            <w:szCs w:val="24"/>
          </w:rPr>
          <w:fldChar w:fldCharType="separate"/>
        </w:r>
        <w:r w:rsidR="00C1186A">
          <w:rPr>
            <w:rFonts w:ascii="Arial" w:hAnsi="Arial" w:cs="Arial"/>
            <w:noProof/>
            <w:webHidden/>
            <w:sz w:val="24"/>
            <w:szCs w:val="24"/>
          </w:rPr>
          <w:t>17</w:t>
        </w:r>
        <w:r w:rsidR="009C3764" w:rsidRPr="00973B94">
          <w:rPr>
            <w:rFonts w:ascii="Arial" w:hAnsi="Arial" w:cs="Arial"/>
            <w:noProof/>
            <w:webHidden/>
            <w:sz w:val="24"/>
            <w:szCs w:val="24"/>
          </w:rPr>
          <w:fldChar w:fldCharType="end"/>
        </w:r>
      </w:hyperlink>
    </w:p>
    <w:p w14:paraId="7BE22E62" w14:textId="08565E22" w:rsidR="009C3764" w:rsidRPr="00973B94" w:rsidRDefault="00777693">
      <w:pPr>
        <w:pStyle w:val="TOC2"/>
        <w:rPr>
          <w:rFonts w:ascii="Arial" w:eastAsiaTheme="minorEastAsia" w:hAnsi="Arial" w:cs="Arial"/>
          <w:b w:val="0"/>
          <w:bCs w:val="0"/>
          <w:noProof/>
          <w:sz w:val="24"/>
          <w:szCs w:val="24"/>
          <w:lang w:eastAsia="en-GB"/>
        </w:rPr>
      </w:pPr>
      <w:hyperlink w:anchor="_Toc106708911" w:history="1">
        <w:r w:rsidR="009C3764" w:rsidRPr="00973B94">
          <w:rPr>
            <w:rStyle w:val="Hyperlink"/>
            <w:rFonts w:ascii="Arial" w:hAnsi="Arial" w:cs="Arial"/>
            <w:noProof/>
            <w:sz w:val="24"/>
            <w:szCs w:val="24"/>
          </w:rPr>
          <w:t>Hepatic impairment</w:t>
        </w:r>
        <w:r w:rsidR="009C3764" w:rsidRPr="00973B94">
          <w:rPr>
            <w:rFonts w:ascii="Arial" w:hAnsi="Arial" w:cs="Arial"/>
            <w:noProof/>
            <w:webHidden/>
            <w:sz w:val="24"/>
            <w:szCs w:val="24"/>
          </w:rPr>
          <w:tab/>
        </w:r>
        <w:r w:rsidR="009C3764" w:rsidRPr="00973B94">
          <w:rPr>
            <w:rFonts w:ascii="Arial" w:hAnsi="Arial" w:cs="Arial"/>
            <w:noProof/>
            <w:webHidden/>
            <w:sz w:val="24"/>
            <w:szCs w:val="24"/>
          </w:rPr>
          <w:fldChar w:fldCharType="begin"/>
        </w:r>
        <w:r w:rsidR="009C3764" w:rsidRPr="00973B94">
          <w:rPr>
            <w:rFonts w:ascii="Arial" w:hAnsi="Arial" w:cs="Arial"/>
            <w:noProof/>
            <w:webHidden/>
            <w:sz w:val="24"/>
            <w:szCs w:val="24"/>
          </w:rPr>
          <w:instrText xml:space="preserve"> PAGEREF _Toc106708911 \h </w:instrText>
        </w:r>
        <w:r w:rsidR="009C3764" w:rsidRPr="00973B94">
          <w:rPr>
            <w:rFonts w:ascii="Arial" w:hAnsi="Arial" w:cs="Arial"/>
            <w:noProof/>
            <w:webHidden/>
            <w:sz w:val="24"/>
            <w:szCs w:val="24"/>
          </w:rPr>
        </w:r>
        <w:r w:rsidR="009C3764" w:rsidRPr="00973B94">
          <w:rPr>
            <w:rFonts w:ascii="Arial" w:hAnsi="Arial" w:cs="Arial"/>
            <w:noProof/>
            <w:webHidden/>
            <w:sz w:val="24"/>
            <w:szCs w:val="24"/>
          </w:rPr>
          <w:fldChar w:fldCharType="separate"/>
        </w:r>
        <w:r w:rsidR="00C1186A">
          <w:rPr>
            <w:rFonts w:ascii="Arial" w:hAnsi="Arial" w:cs="Arial"/>
            <w:noProof/>
            <w:webHidden/>
            <w:sz w:val="24"/>
            <w:szCs w:val="24"/>
          </w:rPr>
          <w:t>18</w:t>
        </w:r>
        <w:r w:rsidR="009C3764" w:rsidRPr="00973B94">
          <w:rPr>
            <w:rFonts w:ascii="Arial" w:hAnsi="Arial" w:cs="Arial"/>
            <w:noProof/>
            <w:webHidden/>
            <w:sz w:val="24"/>
            <w:szCs w:val="24"/>
          </w:rPr>
          <w:fldChar w:fldCharType="end"/>
        </w:r>
      </w:hyperlink>
    </w:p>
    <w:p w14:paraId="2F1A5CF7" w14:textId="03A53E97" w:rsidR="009C3764" w:rsidRPr="00973B94" w:rsidRDefault="00777693">
      <w:pPr>
        <w:pStyle w:val="TOC2"/>
        <w:rPr>
          <w:rFonts w:ascii="Arial" w:eastAsiaTheme="minorEastAsia" w:hAnsi="Arial" w:cs="Arial"/>
          <w:b w:val="0"/>
          <w:bCs w:val="0"/>
          <w:noProof/>
          <w:sz w:val="24"/>
          <w:szCs w:val="24"/>
          <w:lang w:eastAsia="en-GB"/>
        </w:rPr>
      </w:pPr>
      <w:hyperlink w:anchor="_Toc106708912" w:history="1">
        <w:r w:rsidR="009C3764" w:rsidRPr="00973B94">
          <w:rPr>
            <w:rStyle w:val="Hyperlink"/>
            <w:rFonts w:ascii="Arial" w:hAnsi="Arial" w:cs="Arial"/>
            <w:noProof/>
            <w:sz w:val="24"/>
            <w:szCs w:val="24"/>
          </w:rPr>
          <w:t>Drug interactions</w:t>
        </w:r>
        <w:r w:rsidR="009C3764" w:rsidRPr="00973B94">
          <w:rPr>
            <w:rFonts w:ascii="Arial" w:hAnsi="Arial" w:cs="Arial"/>
            <w:noProof/>
            <w:webHidden/>
            <w:sz w:val="24"/>
            <w:szCs w:val="24"/>
          </w:rPr>
          <w:tab/>
        </w:r>
        <w:r w:rsidR="009C3764" w:rsidRPr="00973B94">
          <w:rPr>
            <w:rFonts w:ascii="Arial" w:hAnsi="Arial" w:cs="Arial"/>
            <w:noProof/>
            <w:webHidden/>
            <w:sz w:val="24"/>
            <w:szCs w:val="24"/>
          </w:rPr>
          <w:fldChar w:fldCharType="begin"/>
        </w:r>
        <w:r w:rsidR="009C3764" w:rsidRPr="00973B94">
          <w:rPr>
            <w:rFonts w:ascii="Arial" w:hAnsi="Arial" w:cs="Arial"/>
            <w:noProof/>
            <w:webHidden/>
            <w:sz w:val="24"/>
            <w:szCs w:val="24"/>
          </w:rPr>
          <w:instrText xml:space="preserve"> PAGEREF _Toc106708912 \h </w:instrText>
        </w:r>
        <w:r w:rsidR="009C3764" w:rsidRPr="00973B94">
          <w:rPr>
            <w:rFonts w:ascii="Arial" w:hAnsi="Arial" w:cs="Arial"/>
            <w:noProof/>
            <w:webHidden/>
            <w:sz w:val="24"/>
            <w:szCs w:val="24"/>
          </w:rPr>
        </w:r>
        <w:r w:rsidR="009C3764" w:rsidRPr="00973B94">
          <w:rPr>
            <w:rFonts w:ascii="Arial" w:hAnsi="Arial" w:cs="Arial"/>
            <w:noProof/>
            <w:webHidden/>
            <w:sz w:val="24"/>
            <w:szCs w:val="24"/>
          </w:rPr>
          <w:fldChar w:fldCharType="separate"/>
        </w:r>
        <w:r w:rsidR="00C1186A">
          <w:rPr>
            <w:rFonts w:ascii="Arial" w:hAnsi="Arial" w:cs="Arial"/>
            <w:noProof/>
            <w:webHidden/>
            <w:sz w:val="24"/>
            <w:szCs w:val="24"/>
          </w:rPr>
          <w:t>18</w:t>
        </w:r>
        <w:r w:rsidR="009C3764" w:rsidRPr="00973B94">
          <w:rPr>
            <w:rFonts w:ascii="Arial" w:hAnsi="Arial" w:cs="Arial"/>
            <w:noProof/>
            <w:webHidden/>
            <w:sz w:val="24"/>
            <w:szCs w:val="24"/>
          </w:rPr>
          <w:fldChar w:fldCharType="end"/>
        </w:r>
      </w:hyperlink>
    </w:p>
    <w:p w14:paraId="216D30D8" w14:textId="54D92A4E" w:rsidR="009C3764" w:rsidRPr="00973B94" w:rsidRDefault="00777693">
      <w:pPr>
        <w:pStyle w:val="TOC2"/>
        <w:rPr>
          <w:rFonts w:ascii="Arial" w:eastAsiaTheme="minorEastAsia" w:hAnsi="Arial" w:cs="Arial"/>
          <w:b w:val="0"/>
          <w:bCs w:val="0"/>
          <w:noProof/>
          <w:sz w:val="24"/>
          <w:szCs w:val="24"/>
          <w:lang w:eastAsia="en-GB"/>
        </w:rPr>
      </w:pPr>
      <w:hyperlink w:anchor="_Toc106708913" w:history="1">
        <w:r w:rsidR="009C3764" w:rsidRPr="00973B94">
          <w:rPr>
            <w:rStyle w:val="Hyperlink"/>
            <w:rFonts w:ascii="Arial" w:hAnsi="Arial" w:cs="Arial"/>
            <w:noProof/>
            <w:sz w:val="24"/>
            <w:szCs w:val="24"/>
          </w:rPr>
          <w:t>Contraindications</w:t>
        </w:r>
        <w:r w:rsidR="009C3764" w:rsidRPr="00973B94">
          <w:rPr>
            <w:rFonts w:ascii="Arial" w:hAnsi="Arial" w:cs="Arial"/>
            <w:noProof/>
            <w:webHidden/>
            <w:sz w:val="24"/>
            <w:szCs w:val="24"/>
          </w:rPr>
          <w:tab/>
        </w:r>
        <w:r w:rsidR="009C3764" w:rsidRPr="00973B94">
          <w:rPr>
            <w:rFonts w:ascii="Arial" w:hAnsi="Arial" w:cs="Arial"/>
            <w:noProof/>
            <w:webHidden/>
            <w:sz w:val="24"/>
            <w:szCs w:val="24"/>
          </w:rPr>
          <w:fldChar w:fldCharType="begin"/>
        </w:r>
        <w:r w:rsidR="009C3764" w:rsidRPr="00973B94">
          <w:rPr>
            <w:rFonts w:ascii="Arial" w:hAnsi="Arial" w:cs="Arial"/>
            <w:noProof/>
            <w:webHidden/>
            <w:sz w:val="24"/>
            <w:szCs w:val="24"/>
          </w:rPr>
          <w:instrText xml:space="preserve"> PAGEREF _Toc106708913 \h </w:instrText>
        </w:r>
        <w:r w:rsidR="009C3764" w:rsidRPr="00973B94">
          <w:rPr>
            <w:rFonts w:ascii="Arial" w:hAnsi="Arial" w:cs="Arial"/>
            <w:noProof/>
            <w:webHidden/>
            <w:sz w:val="24"/>
            <w:szCs w:val="24"/>
          </w:rPr>
        </w:r>
        <w:r w:rsidR="009C3764" w:rsidRPr="00973B94">
          <w:rPr>
            <w:rFonts w:ascii="Arial" w:hAnsi="Arial" w:cs="Arial"/>
            <w:noProof/>
            <w:webHidden/>
            <w:sz w:val="24"/>
            <w:szCs w:val="24"/>
          </w:rPr>
          <w:fldChar w:fldCharType="separate"/>
        </w:r>
        <w:r w:rsidR="00C1186A">
          <w:rPr>
            <w:rFonts w:ascii="Arial" w:hAnsi="Arial" w:cs="Arial"/>
            <w:noProof/>
            <w:webHidden/>
            <w:sz w:val="24"/>
            <w:szCs w:val="24"/>
          </w:rPr>
          <w:t>19</w:t>
        </w:r>
        <w:r w:rsidR="009C3764" w:rsidRPr="00973B94">
          <w:rPr>
            <w:rFonts w:ascii="Arial" w:hAnsi="Arial" w:cs="Arial"/>
            <w:noProof/>
            <w:webHidden/>
            <w:sz w:val="24"/>
            <w:szCs w:val="24"/>
          </w:rPr>
          <w:fldChar w:fldCharType="end"/>
        </w:r>
      </w:hyperlink>
    </w:p>
    <w:p w14:paraId="74F7A263" w14:textId="62F489E0" w:rsidR="009C3764" w:rsidRPr="00973B94" w:rsidRDefault="00777693">
      <w:pPr>
        <w:pStyle w:val="TOC2"/>
        <w:rPr>
          <w:rFonts w:ascii="Arial" w:eastAsiaTheme="minorEastAsia" w:hAnsi="Arial" w:cs="Arial"/>
          <w:b w:val="0"/>
          <w:bCs w:val="0"/>
          <w:noProof/>
          <w:sz w:val="24"/>
          <w:szCs w:val="24"/>
          <w:lang w:eastAsia="en-GB"/>
        </w:rPr>
      </w:pPr>
      <w:hyperlink w:anchor="_Toc106708914" w:history="1">
        <w:r w:rsidR="009C3764" w:rsidRPr="00973B94">
          <w:rPr>
            <w:rStyle w:val="Hyperlink"/>
            <w:rFonts w:ascii="Arial" w:hAnsi="Arial" w:cs="Arial"/>
            <w:noProof/>
            <w:sz w:val="24"/>
            <w:szCs w:val="24"/>
          </w:rPr>
          <w:t>Prosthetic heart valves</w:t>
        </w:r>
        <w:r w:rsidR="009C3764" w:rsidRPr="00973B94">
          <w:rPr>
            <w:rFonts w:ascii="Arial" w:hAnsi="Arial" w:cs="Arial"/>
            <w:noProof/>
            <w:webHidden/>
            <w:sz w:val="24"/>
            <w:szCs w:val="24"/>
          </w:rPr>
          <w:tab/>
        </w:r>
        <w:r w:rsidR="009C3764" w:rsidRPr="00973B94">
          <w:rPr>
            <w:rFonts w:ascii="Arial" w:hAnsi="Arial" w:cs="Arial"/>
            <w:noProof/>
            <w:webHidden/>
            <w:sz w:val="24"/>
            <w:szCs w:val="24"/>
          </w:rPr>
          <w:fldChar w:fldCharType="begin"/>
        </w:r>
        <w:r w:rsidR="009C3764" w:rsidRPr="00973B94">
          <w:rPr>
            <w:rFonts w:ascii="Arial" w:hAnsi="Arial" w:cs="Arial"/>
            <w:noProof/>
            <w:webHidden/>
            <w:sz w:val="24"/>
            <w:szCs w:val="24"/>
          </w:rPr>
          <w:instrText xml:space="preserve"> PAGEREF _Toc106708914 \h </w:instrText>
        </w:r>
        <w:r w:rsidR="009C3764" w:rsidRPr="00973B94">
          <w:rPr>
            <w:rFonts w:ascii="Arial" w:hAnsi="Arial" w:cs="Arial"/>
            <w:noProof/>
            <w:webHidden/>
            <w:sz w:val="24"/>
            <w:szCs w:val="24"/>
          </w:rPr>
        </w:r>
        <w:r w:rsidR="009C3764" w:rsidRPr="00973B94">
          <w:rPr>
            <w:rFonts w:ascii="Arial" w:hAnsi="Arial" w:cs="Arial"/>
            <w:noProof/>
            <w:webHidden/>
            <w:sz w:val="24"/>
            <w:szCs w:val="24"/>
          </w:rPr>
          <w:fldChar w:fldCharType="separate"/>
        </w:r>
        <w:r w:rsidR="00C1186A">
          <w:rPr>
            <w:rFonts w:ascii="Arial" w:hAnsi="Arial" w:cs="Arial"/>
            <w:noProof/>
            <w:webHidden/>
            <w:sz w:val="24"/>
            <w:szCs w:val="24"/>
          </w:rPr>
          <w:t>20</w:t>
        </w:r>
        <w:r w:rsidR="009C3764" w:rsidRPr="00973B94">
          <w:rPr>
            <w:rFonts w:ascii="Arial" w:hAnsi="Arial" w:cs="Arial"/>
            <w:noProof/>
            <w:webHidden/>
            <w:sz w:val="24"/>
            <w:szCs w:val="24"/>
          </w:rPr>
          <w:fldChar w:fldCharType="end"/>
        </w:r>
      </w:hyperlink>
    </w:p>
    <w:p w14:paraId="5B1D9A96" w14:textId="54961602" w:rsidR="009C3764" w:rsidRPr="00973B94" w:rsidRDefault="00777693">
      <w:pPr>
        <w:pStyle w:val="TOC2"/>
        <w:rPr>
          <w:rFonts w:ascii="Arial" w:eastAsiaTheme="minorEastAsia" w:hAnsi="Arial" w:cs="Arial"/>
          <w:b w:val="0"/>
          <w:bCs w:val="0"/>
          <w:noProof/>
          <w:sz w:val="24"/>
          <w:szCs w:val="24"/>
          <w:lang w:eastAsia="en-GB"/>
        </w:rPr>
      </w:pPr>
      <w:hyperlink w:anchor="_Toc106708915" w:history="1">
        <w:r w:rsidR="009C3764" w:rsidRPr="00973B94">
          <w:rPr>
            <w:rStyle w:val="Hyperlink"/>
            <w:rFonts w:ascii="Arial" w:hAnsi="Arial" w:cs="Arial"/>
            <w:noProof/>
            <w:sz w:val="24"/>
            <w:szCs w:val="24"/>
          </w:rPr>
          <w:t>Antiphospholipid syndrome</w:t>
        </w:r>
        <w:r w:rsidR="009C3764" w:rsidRPr="00973B94">
          <w:rPr>
            <w:rFonts w:ascii="Arial" w:hAnsi="Arial" w:cs="Arial"/>
            <w:noProof/>
            <w:webHidden/>
            <w:sz w:val="24"/>
            <w:szCs w:val="24"/>
          </w:rPr>
          <w:tab/>
        </w:r>
        <w:r w:rsidR="009C3764" w:rsidRPr="00973B94">
          <w:rPr>
            <w:rFonts w:ascii="Arial" w:hAnsi="Arial" w:cs="Arial"/>
            <w:noProof/>
            <w:webHidden/>
            <w:sz w:val="24"/>
            <w:szCs w:val="24"/>
          </w:rPr>
          <w:fldChar w:fldCharType="begin"/>
        </w:r>
        <w:r w:rsidR="009C3764" w:rsidRPr="00973B94">
          <w:rPr>
            <w:rFonts w:ascii="Arial" w:hAnsi="Arial" w:cs="Arial"/>
            <w:noProof/>
            <w:webHidden/>
            <w:sz w:val="24"/>
            <w:szCs w:val="24"/>
          </w:rPr>
          <w:instrText xml:space="preserve"> PAGEREF _Toc106708915 \h </w:instrText>
        </w:r>
        <w:r w:rsidR="009C3764" w:rsidRPr="00973B94">
          <w:rPr>
            <w:rFonts w:ascii="Arial" w:hAnsi="Arial" w:cs="Arial"/>
            <w:noProof/>
            <w:webHidden/>
            <w:sz w:val="24"/>
            <w:szCs w:val="24"/>
          </w:rPr>
        </w:r>
        <w:r w:rsidR="009C3764" w:rsidRPr="00973B94">
          <w:rPr>
            <w:rFonts w:ascii="Arial" w:hAnsi="Arial" w:cs="Arial"/>
            <w:noProof/>
            <w:webHidden/>
            <w:sz w:val="24"/>
            <w:szCs w:val="24"/>
          </w:rPr>
          <w:fldChar w:fldCharType="separate"/>
        </w:r>
        <w:r w:rsidR="00C1186A">
          <w:rPr>
            <w:rFonts w:ascii="Arial" w:hAnsi="Arial" w:cs="Arial"/>
            <w:noProof/>
            <w:webHidden/>
            <w:sz w:val="24"/>
            <w:szCs w:val="24"/>
          </w:rPr>
          <w:t>21</w:t>
        </w:r>
        <w:r w:rsidR="009C3764" w:rsidRPr="00973B94">
          <w:rPr>
            <w:rFonts w:ascii="Arial" w:hAnsi="Arial" w:cs="Arial"/>
            <w:noProof/>
            <w:webHidden/>
            <w:sz w:val="24"/>
            <w:szCs w:val="24"/>
          </w:rPr>
          <w:fldChar w:fldCharType="end"/>
        </w:r>
      </w:hyperlink>
    </w:p>
    <w:p w14:paraId="19C0589E" w14:textId="06ED05F8" w:rsidR="009C3764" w:rsidRPr="00973B94" w:rsidRDefault="00777693">
      <w:pPr>
        <w:pStyle w:val="TOC2"/>
        <w:rPr>
          <w:rFonts w:ascii="Arial" w:eastAsiaTheme="minorEastAsia" w:hAnsi="Arial" w:cs="Arial"/>
          <w:b w:val="0"/>
          <w:bCs w:val="0"/>
          <w:noProof/>
          <w:sz w:val="24"/>
          <w:szCs w:val="24"/>
          <w:lang w:eastAsia="en-GB"/>
        </w:rPr>
      </w:pPr>
      <w:hyperlink w:anchor="_Toc106708916" w:history="1">
        <w:r w:rsidR="009C3764" w:rsidRPr="00973B94">
          <w:rPr>
            <w:rStyle w:val="Hyperlink"/>
            <w:rFonts w:ascii="Arial" w:hAnsi="Arial" w:cs="Arial"/>
            <w:noProof/>
            <w:sz w:val="24"/>
            <w:szCs w:val="24"/>
          </w:rPr>
          <w:t>Compliance aids</w:t>
        </w:r>
        <w:r w:rsidR="009C3764" w:rsidRPr="00973B94">
          <w:rPr>
            <w:rFonts w:ascii="Arial" w:hAnsi="Arial" w:cs="Arial"/>
            <w:noProof/>
            <w:webHidden/>
            <w:sz w:val="24"/>
            <w:szCs w:val="24"/>
          </w:rPr>
          <w:tab/>
        </w:r>
        <w:r w:rsidR="009C3764" w:rsidRPr="00973B94">
          <w:rPr>
            <w:rFonts w:ascii="Arial" w:hAnsi="Arial" w:cs="Arial"/>
            <w:noProof/>
            <w:webHidden/>
            <w:sz w:val="24"/>
            <w:szCs w:val="24"/>
          </w:rPr>
          <w:fldChar w:fldCharType="begin"/>
        </w:r>
        <w:r w:rsidR="009C3764" w:rsidRPr="00973B94">
          <w:rPr>
            <w:rFonts w:ascii="Arial" w:hAnsi="Arial" w:cs="Arial"/>
            <w:noProof/>
            <w:webHidden/>
            <w:sz w:val="24"/>
            <w:szCs w:val="24"/>
          </w:rPr>
          <w:instrText xml:space="preserve"> PAGEREF _Toc106708916 \h </w:instrText>
        </w:r>
        <w:r w:rsidR="009C3764" w:rsidRPr="00973B94">
          <w:rPr>
            <w:rFonts w:ascii="Arial" w:hAnsi="Arial" w:cs="Arial"/>
            <w:noProof/>
            <w:webHidden/>
            <w:sz w:val="24"/>
            <w:szCs w:val="24"/>
          </w:rPr>
        </w:r>
        <w:r w:rsidR="009C3764" w:rsidRPr="00973B94">
          <w:rPr>
            <w:rFonts w:ascii="Arial" w:hAnsi="Arial" w:cs="Arial"/>
            <w:noProof/>
            <w:webHidden/>
            <w:sz w:val="24"/>
            <w:szCs w:val="24"/>
          </w:rPr>
          <w:fldChar w:fldCharType="separate"/>
        </w:r>
        <w:r w:rsidR="00C1186A">
          <w:rPr>
            <w:rFonts w:ascii="Arial" w:hAnsi="Arial" w:cs="Arial"/>
            <w:noProof/>
            <w:webHidden/>
            <w:sz w:val="24"/>
            <w:szCs w:val="24"/>
          </w:rPr>
          <w:t>21</w:t>
        </w:r>
        <w:r w:rsidR="009C3764" w:rsidRPr="00973B94">
          <w:rPr>
            <w:rFonts w:ascii="Arial" w:hAnsi="Arial" w:cs="Arial"/>
            <w:noProof/>
            <w:webHidden/>
            <w:sz w:val="24"/>
            <w:szCs w:val="24"/>
          </w:rPr>
          <w:fldChar w:fldCharType="end"/>
        </w:r>
      </w:hyperlink>
    </w:p>
    <w:p w14:paraId="03145D00" w14:textId="0B4523CD" w:rsidR="009C3764" w:rsidRPr="00973B94" w:rsidRDefault="00777693">
      <w:pPr>
        <w:pStyle w:val="TOC2"/>
        <w:rPr>
          <w:rFonts w:ascii="Arial" w:eastAsiaTheme="minorEastAsia" w:hAnsi="Arial" w:cs="Arial"/>
          <w:b w:val="0"/>
          <w:bCs w:val="0"/>
          <w:noProof/>
          <w:sz w:val="24"/>
          <w:szCs w:val="24"/>
          <w:lang w:eastAsia="en-GB"/>
        </w:rPr>
      </w:pPr>
      <w:hyperlink w:anchor="_Toc106708917" w:history="1">
        <w:r w:rsidR="009C3764" w:rsidRPr="00973B94">
          <w:rPr>
            <w:rStyle w:val="Hyperlink"/>
            <w:rFonts w:ascii="Arial" w:hAnsi="Arial" w:cs="Arial"/>
            <w:noProof/>
            <w:sz w:val="24"/>
            <w:szCs w:val="24"/>
          </w:rPr>
          <w:t>Cost per 28 days at dose stated</w:t>
        </w:r>
        <w:r w:rsidR="009C3764" w:rsidRPr="00973B94">
          <w:rPr>
            <w:rFonts w:ascii="Arial" w:hAnsi="Arial" w:cs="Arial"/>
            <w:noProof/>
            <w:webHidden/>
            <w:sz w:val="24"/>
            <w:szCs w:val="24"/>
          </w:rPr>
          <w:tab/>
        </w:r>
        <w:r w:rsidR="009C3764" w:rsidRPr="00973B94">
          <w:rPr>
            <w:rFonts w:ascii="Arial" w:hAnsi="Arial" w:cs="Arial"/>
            <w:noProof/>
            <w:webHidden/>
            <w:sz w:val="24"/>
            <w:szCs w:val="24"/>
          </w:rPr>
          <w:fldChar w:fldCharType="begin"/>
        </w:r>
        <w:r w:rsidR="009C3764" w:rsidRPr="00973B94">
          <w:rPr>
            <w:rFonts w:ascii="Arial" w:hAnsi="Arial" w:cs="Arial"/>
            <w:noProof/>
            <w:webHidden/>
            <w:sz w:val="24"/>
            <w:szCs w:val="24"/>
          </w:rPr>
          <w:instrText xml:space="preserve"> PAGEREF _Toc106708917 \h </w:instrText>
        </w:r>
        <w:r w:rsidR="009C3764" w:rsidRPr="00973B94">
          <w:rPr>
            <w:rFonts w:ascii="Arial" w:hAnsi="Arial" w:cs="Arial"/>
            <w:noProof/>
            <w:webHidden/>
            <w:sz w:val="24"/>
            <w:szCs w:val="24"/>
          </w:rPr>
        </w:r>
        <w:r w:rsidR="009C3764" w:rsidRPr="00973B94">
          <w:rPr>
            <w:rFonts w:ascii="Arial" w:hAnsi="Arial" w:cs="Arial"/>
            <w:noProof/>
            <w:webHidden/>
            <w:sz w:val="24"/>
            <w:szCs w:val="24"/>
          </w:rPr>
          <w:fldChar w:fldCharType="separate"/>
        </w:r>
        <w:r w:rsidR="00C1186A">
          <w:rPr>
            <w:rFonts w:ascii="Arial" w:hAnsi="Arial" w:cs="Arial"/>
            <w:noProof/>
            <w:webHidden/>
            <w:sz w:val="24"/>
            <w:szCs w:val="24"/>
          </w:rPr>
          <w:t>21</w:t>
        </w:r>
        <w:r w:rsidR="009C3764" w:rsidRPr="00973B94">
          <w:rPr>
            <w:rFonts w:ascii="Arial" w:hAnsi="Arial" w:cs="Arial"/>
            <w:noProof/>
            <w:webHidden/>
            <w:sz w:val="24"/>
            <w:szCs w:val="24"/>
          </w:rPr>
          <w:fldChar w:fldCharType="end"/>
        </w:r>
      </w:hyperlink>
    </w:p>
    <w:p w14:paraId="3F4073EF" w14:textId="6C6E9C28" w:rsidR="009C3764" w:rsidRPr="00973B94" w:rsidRDefault="00777693">
      <w:pPr>
        <w:pStyle w:val="TOC2"/>
        <w:rPr>
          <w:rFonts w:ascii="Arial" w:eastAsiaTheme="minorEastAsia" w:hAnsi="Arial" w:cs="Arial"/>
          <w:b w:val="0"/>
          <w:bCs w:val="0"/>
          <w:noProof/>
          <w:sz w:val="24"/>
          <w:szCs w:val="24"/>
          <w:lang w:eastAsia="en-GB"/>
        </w:rPr>
      </w:pPr>
      <w:hyperlink w:anchor="_Toc106708918" w:history="1">
        <w:r w:rsidR="009C3764" w:rsidRPr="00973B94">
          <w:rPr>
            <w:rStyle w:val="Hyperlink"/>
            <w:rFonts w:ascii="Arial" w:hAnsi="Arial" w:cs="Arial"/>
            <w:noProof/>
            <w:sz w:val="24"/>
            <w:szCs w:val="24"/>
          </w:rPr>
          <w:t>References</w:t>
        </w:r>
        <w:r w:rsidR="009C3764" w:rsidRPr="00973B94">
          <w:rPr>
            <w:rFonts w:ascii="Arial" w:hAnsi="Arial" w:cs="Arial"/>
            <w:noProof/>
            <w:webHidden/>
            <w:sz w:val="24"/>
            <w:szCs w:val="24"/>
          </w:rPr>
          <w:tab/>
        </w:r>
        <w:r w:rsidR="009C3764" w:rsidRPr="00973B94">
          <w:rPr>
            <w:rFonts w:ascii="Arial" w:hAnsi="Arial" w:cs="Arial"/>
            <w:noProof/>
            <w:webHidden/>
            <w:sz w:val="24"/>
            <w:szCs w:val="24"/>
          </w:rPr>
          <w:fldChar w:fldCharType="begin"/>
        </w:r>
        <w:r w:rsidR="009C3764" w:rsidRPr="00973B94">
          <w:rPr>
            <w:rFonts w:ascii="Arial" w:hAnsi="Arial" w:cs="Arial"/>
            <w:noProof/>
            <w:webHidden/>
            <w:sz w:val="24"/>
            <w:szCs w:val="24"/>
          </w:rPr>
          <w:instrText xml:space="preserve"> PAGEREF _Toc106708918 \h </w:instrText>
        </w:r>
        <w:r w:rsidR="009C3764" w:rsidRPr="00973B94">
          <w:rPr>
            <w:rFonts w:ascii="Arial" w:hAnsi="Arial" w:cs="Arial"/>
            <w:noProof/>
            <w:webHidden/>
            <w:sz w:val="24"/>
            <w:szCs w:val="24"/>
          </w:rPr>
        </w:r>
        <w:r w:rsidR="009C3764" w:rsidRPr="00973B94">
          <w:rPr>
            <w:rFonts w:ascii="Arial" w:hAnsi="Arial" w:cs="Arial"/>
            <w:noProof/>
            <w:webHidden/>
            <w:sz w:val="24"/>
            <w:szCs w:val="24"/>
          </w:rPr>
          <w:fldChar w:fldCharType="separate"/>
        </w:r>
        <w:r w:rsidR="00C1186A">
          <w:rPr>
            <w:rFonts w:ascii="Arial" w:hAnsi="Arial" w:cs="Arial"/>
            <w:noProof/>
            <w:webHidden/>
            <w:sz w:val="24"/>
            <w:szCs w:val="24"/>
          </w:rPr>
          <w:t>22</w:t>
        </w:r>
        <w:r w:rsidR="009C3764" w:rsidRPr="00973B94">
          <w:rPr>
            <w:rFonts w:ascii="Arial" w:hAnsi="Arial" w:cs="Arial"/>
            <w:noProof/>
            <w:webHidden/>
            <w:sz w:val="24"/>
            <w:szCs w:val="24"/>
          </w:rPr>
          <w:fldChar w:fldCharType="end"/>
        </w:r>
      </w:hyperlink>
    </w:p>
    <w:p w14:paraId="3552F591" w14:textId="26AC74BD" w:rsidR="00735E20" w:rsidRDefault="00413C8F" w:rsidP="00413C8F">
      <w:pPr>
        <w:pStyle w:val="Heading2"/>
        <w:spacing w:before="60" w:after="60"/>
        <w:rPr>
          <w:rFonts w:asciiTheme="majorHAnsi" w:hAnsiTheme="majorHAnsi" w:cstheme="majorHAnsi"/>
          <w:sz w:val="22"/>
          <w:szCs w:val="22"/>
        </w:rPr>
      </w:pPr>
      <w:r w:rsidRPr="00413C8F">
        <w:rPr>
          <w:rFonts w:cs="Arial"/>
          <w:b w:val="0"/>
          <w:sz w:val="22"/>
          <w:szCs w:val="22"/>
        </w:rPr>
        <w:fldChar w:fldCharType="end"/>
      </w:r>
      <w:r w:rsidR="00735E20">
        <w:rPr>
          <w:rFonts w:asciiTheme="majorHAnsi" w:hAnsiTheme="majorHAnsi" w:cstheme="majorHAnsi"/>
          <w:sz w:val="22"/>
          <w:szCs w:val="22"/>
        </w:rPr>
        <w:br w:type="page"/>
      </w:r>
    </w:p>
    <w:p w14:paraId="0F17122B" w14:textId="77777777" w:rsidR="002D580A" w:rsidRPr="00735E20" w:rsidRDefault="002D580A" w:rsidP="002D580A">
      <w:pPr>
        <w:pStyle w:val="Heading1"/>
      </w:pPr>
      <w:bookmarkStart w:id="24" w:name="_Toc106708887"/>
      <w:r w:rsidRPr="00735E20">
        <w:lastRenderedPageBreak/>
        <w:t>Comparison of Anticoagulants (DOACs and warfarin)</w:t>
      </w:r>
      <w:bookmarkEnd w:id="24"/>
      <w:r>
        <w:t xml:space="preserve"> </w:t>
      </w:r>
    </w:p>
    <w:p w14:paraId="521F6BA3" w14:textId="77777777" w:rsidR="002D580A" w:rsidRPr="007D4F98" w:rsidRDefault="002D580A" w:rsidP="002315F1"/>
    <w:tbl>
      <w:tblPr>
        <w:tblStyle w:val="TableGrid"/>
        <w:tblW w:w="10485" w:type="dxa"/>
        <w:jc w:val="center"/>
        <w:tblLayout w:type="fixed"/>
        <w:tblLook w:val="04A0" w:firstRow="1" w:lastRow="0" w:firstColumn="1" w:lastColumn="0" w:noHBand="0" w:noVBand="1"/>
      </w:tblPr>
      <w:tblGrid>
        <w:gridCol w:w="3681"/>
        <w:gridCol w:w="1417"/>
        <w:gridCol w:w="1560"/>
        <w:gridCol w:w="1275"/>
        <w:gridCol w:w="1276"/>
        <w:gridCol w:w="1276"/>
      </w:tblGrid>
      <w:tr w:rsidR="00735E20" w:rsidRPr="00735E20" w14:paraId="7E16985E" w14:textId="77777777" w:rsidTr="00C84129">
        <w:trPr>
          <w:trHeight w:val="983"/>
          <w:tblHeader/>
          <w:jc w:val="center"/>
        </w:trPr>
        <w:tc>
          <w:tcPr>
            <w:tcW w:w="10485" w:type="dxa"/>
            <w:gridSpan w:val="6"/>
            <w:shd w:val="clear" w:color="auto" w:fill="F2F2F2" w:themeFill="background1" w:themeFillShade="F2"/>
            <w:vAlign w:val="center"/>
          </w:tcPr>
          <w:p w14:paraId="4AA38448" w14:textId="1486064A" w:rsidR="00735E20" w:rsidRPr="00735E20" w:rsidRDefault="00735E20" w:rsidP="00C84129">
            <w:pPr>
              <w:pStyle w:val="Heading2"/>
              <w:rPr>
                <w:rFonts w:cs="Arial"/>
              </w:rPr>
            </w:pPr>
            <w:bookmarkStart w:id="25" w:name="_Toc96868244"/>
            <w:bookmarkStart w:id="26" w:name="_Toc96966790"/>
            <w:bookmarkStart w:id="27" w:name="_Toc104910440"/>
            <w:bookmarkStart w:id="28" w:name="_Toc106708888"/>
            <w:r w:rsidRPr="00735E20">
              <w:rPr>
                <w:rFonts w:cs="Arial"/>
              </w:rPr>
              <w:t>Licensed indication and NICE recommendations</w:t>
            </w:r>
            <w:bookmarkEnd w:id="25"/>
            <w:bookmarkEnd w:id="26"/>
            <w:bookmarkEnd w:id="27"/>
            <w:bookmarkEnd w:id="28"/>
            <w:r w:rsidR="00C71032">
              <w:rPr>
                <w:rFonts w:cs="Arial"/>
              </w:rPr>
              <w:t xml:space="preserve">   </w:t>
            </w:r>
          </w:p>
        </w:tc>
      </w:tr>
      <w:tr w:rsidR="00735E20" w:rsidRPr="00735E20" w14:paraId="40E6F9D9" w14:textId="77777777" w:rsidTr="00852362">
        <w:trPr>
          <w:tblHeader/>
          <w:jc w:val="center"/>
        </w:trPr>
        <w:tc>
          <w:tcPr>
            <w:tcW w:w="3681" w:type="dxa"/>
            <w:shd w:val="clear" w:color="auto" w:fill="DBE5F1" w:themeFill="accent1" w:themeFillTint="33"/>
            <w:vAlign w:val="center"/>
          </w:tcPr>
          <w:p w14:paraId="43E042A9" w14:textId="77777777" w:rsidR="00735E20" w:rsidRPr="00735E20" w:rsidRDefault="00735E20" w:rsidP="00C84129">
            <w:pPr>
              <w:rPr>
                <w:rFonts w:cs="Arial"/>
                <w:b/>
                <w:szCs w:val="22"/>
              </w:rPr>
            </w:pPr>
          </w:p>
        </w:tc>
        <w:tc>
          <w:tcPr>
            <w:tcW w:w="1417" w:type="dxa"/>
            <w:shd w:val="clear" w:color="auto" w:fill="DBE5F1" w:themeFill="accent1" w:themeFillTint="33"/>
            <w:vAlign w:val="center"/>
          </w:tcPr>
          <w:p w14:paraId="0D6A389F" w14:textId="77777777" w:rsidR="00735E20" w:rsidRPr="00C84129" w:rsidRDefault="00735E20" w:rsidP="00C84129">
            <w:pPr>
              <w:rPr>
                <w:rFonts w:cs="Arial"/>
                <w:b/>
                <w:sz w:val="20"/>
                <w:szCs w:val="20"/>
              </w:rPr>
            </w:pPr>
            <w:r w:rsidRPr="00C84129">
              <w:rPr>
                <w:rFonts w:cs="Arial"/>
                <w:b/>
                <w:sz w:val="20"/>
                <w:szCs w:val="20"/>
              </w:rPr>
              <w:t>Dabigatran (Pradaxa</w:t>
            </w:r>
            <w:r w:rsidRPr="00C84129">
              <w:rPr>
                <w:rFonts w:cs="Arial"/>
                <w:b/>
                <w:sz w:val="20"/>
                <w:szCs w:val="20"/>
              </w:rPr>
              <w:sym w:font="Symbol" w:char="F0D2"/>
            </w:r>
            <w:r w:rsidRPr="00C84129">
              <w:rPr>
                <w:rFonts w:cs="Arial"/>
                <w:b/>
                <w:sz w:val="20"/>
                <w:szCs w:val="20"/>
              </w:rPr>
              <w:t>)</w:t>
            </w:r>
            <w:r w:rsidRPr="00C84129">
              <w:rPr>
                <w:rFonts w:cs="Arial"/>
                <w:b/>
                <w:sz w:val="20"/>
                <w:szCs w:val="20"/>
                <w:vertAlign w:val="superscript"/>
              </w:rPr>
              <w:t>1</w:t>
            </w:r>
          </w:p>
        </w:tc>
        <w:tc>
          <w:tcPr>
            <w:tcW w:w="1560" w:type="dxa"/>
            <w:shd w:val="clear" w:color="auto" w:fill="F2DBDB" w:themeFill="accent2" w:themeFillTint="33"/>
            <w:vAlign w:val="center"/>
          </w:tcPr>
          <w:p w14:paraId="3F0ADC77" w14:textId="77777777" w:rsidR="00735E20" w:rsidRPr="00C84129" w:rsidRDefault="00735E20" w:rsidP="00C84129">
            <w:pPr>
              <w:rPr>
                <w:rFonts w:cs="Arial"/>
                <w:b/>
                <w:sz w:val="20"/>
                <w:szCs w:val="20"/>
              </w:rPr>
            </w:pPr>
            <w:r w:rsidRPr="00C84129">
              <w:rPr>
                <w:rFonts w:cs="Arial"/>
                <w:b/>
                <w:sz w:val="20"/>
                <w:szCs w:val="20"/>
              </w:rPr>
              <w:t>Rivaroxaban (Xarelto</w:t>
            </w:r>
            <w:r w:rsidRPr="00C84129">
              <w:rPr>
                <w:rFonts w:cs="Arial"/>
                <w:b/>
                <w:sz w:val="20"/>
                <w:szCs w:val="20"/>
              </w:rPr>
              <w:sym w:font="Symbol" w:char="F0D2"/>
            </w:r>
            <w:r w:rsidRPr="00C84129">
              <w:rPr>
                <w:rFonts w:cs="Arial"/>
                <w:sz w:val="20"/>
                <w:szCs w:val="20"/>
              </w:rPr>
              <w:t>▼</w:t>
            </w:r>
            <w:r w:rsidRPr="00C84129">
              <w:rPr>
                <w:rFonts w:cs="Arial"/>
                <w:b/>
                <w:sz w:val="20"/>
                <w:szCs w:val="20"/>
              </w:rPr>
              <w:t>)</w:t>
            </w:r>
            <w:r w:rsidRPr="00C84129">
              <w:rPr>
                <w:rFonts w:cs="Arial"/>
                <w:b/>
                <w:sz w:val="20"/>
                <w:szCs w:val="20"/>
                <w:vertAlign w:val="superscript"/>
              </w:rPr>
              <w:t>2</w:t>
            </w:r>
          </w:p>
        </w:tc>
        <w:tc>
          <w:tcPr>
            <w:tcW w:w="1275" w:type="dxa"/>
            <w:shd w:val="clear" w:color="auto" w:fill="E5DFEC" w:themeFill="accent4" w:themeFillTint="33"/>
            <w:vAlign w:val="center"/>
          </w:tcPr>
          <w:p w14:paraId="1EB89D9F" w14:textId="77777777" w:rsidR="00735E20" w:rsidRPr="00C84129" w:rsidRDefault="00735E20" w:rsidP="00C84129">
            <w:pPr>
              <w:rPr>
                <w:rFonts w:cs="Arial"/>
                <w:b/>
                <w:sz w:val="20"/>
                <w:szCs w:val="20"/>
              </w:rPr>
            </w:pPr>
            <w:r w:rsidRPr="00C84129">
              <w:rPr>
                <w:rFonts w:cs="Arial"/>
                <w:b/>
                <w:sz w:val="20"/>
                <w:szCs w:val="20"/>
              </w:rPr>
              <w:t>Apixaban (Eliquis</w:t>
            </w:r>
            <w:r w:rsidRPr="00C84129">
              <w:rPr>
                <w:rFonts w:cs="Arial"/>
                <w:b/>
                <w:sz w:val="20"/>
                <w:szCs w:val="20"/>
              </w:rPr>
              <w:sym w:font="Symbol" w:char="F0D2"/>
            </w:r>
            <w:r w:rsidRPr="00C84129">
              <w:rPr>
                <w:rFonts w:cs="Arial"/>
                <w:b/>
                <w:sz w:val="20"/>
                <w:szCs w:val="20"/>
              </w:rPr>
              <w:t>)</w:t>
            </w:r>
            <w:r w:rsidRPr="00C84129">
              <w:rPr>
                <w:rFonts w:cs="Arial"/>
                <w:b/>
                <w:sz w:val="20"/>
                <w:szCs w:val="20"/>
                <w:vertAlign w:val="superscript"/>
              </w:rPr>
              <w:t>3</w:t>
            </w:r>
          </w:p>
        </w:tc>
        <w:tc>
          <w:tcPr>
            <w:tcW w:w="1276" w:type="dxa"/>
            <w:shd w:val="clear" w:color="auto" w:fill="FDE9D9" w:themeFill="accent6" w:themeFillTint="33"/>
            <w:vAlign w:val="center"/>
          </w:tcPr>
          <w:p w14:paraId="2B838ED1" w14:textId="77777777" w:rsidR="00735E20" w:rsidRPr="00C84129" w:rsidRDefault="00735E20" w:rsidP="00C84129">
            <w:pPr>
              <w:rPr>
                <w:rFonts w:cs="Arial"/>
                <w:b/>
                <w:sz w:val="20"/>
                <w:szCs w:val="20"/>
              </w:rPr>
            </w:pPr>
            <w:r w:rsidRPr="00C84129">
              <w:rPr>
                <w:rFonts w:cs="Arial"/>
                <w:b/>
                <w:sz w:val="20"/>
                <w:szCs w:val="20"/>
              </w:rPr>
              <w:t>Edoxaban (Lixiana</w:t>
            </w:r>
            <w:r w:rsidRPr="00C84129">
              <w:rPr>
                <w:rFonts w:cs="Arial"/>
                <w:b/>
                <w:sz w:val="20"/>
                <w:szCs w:val="20"/>
              </w:rPr>
              <w:sym w:font="Symbol" w:char="F0D2"/>
            </w:r>
            <w:r w:rsidRPr="00C84129">
              <w:rPr>
                <w:rFonts w:cs="Arial"/>
                <w:b/>
                <w:sz w:val="20"/>
                <w:szCs w:val="20"/>
              </w:rPr>
              <w:t>)</w:t>
            </w:r>
            <w:r w:rsidRPr="00C84129">
              <w:rPr>
                <w:rFonts w:cs="Arial"/>
                <w:b/>
                <w:sz w:val="20"/>
                <w:szCs w:val="20"/>
                <w:vertAlign w:val="superscript"/>
              </w:rPr>
              <w:t>4</w:t>
            </w:r>
          </w:p>
        </w:tc>
        <w:tc>
          <w:tcPr>
            <w:tcW w:w="1276" w:type="dxa"/>
            <w:shd w:val="clear" w:color="auto" w:fill="EAF1DD" w:themeFill="accent3" w:themeFillTint="33"/>
            <w:vAlign w:val="center"/>
          </w:tcPr>
          <w:p w14:paraId="710AA849" w14:textId="77777777" w:rsidR="00735E20" w:rsidRPr="00C84129" w:rsidRDefault="00735E20" w:rsidP="00C84129">
            <w:pPr>
              <w:rPr>
                <w:rFonts w:cs="Arial"/>
                <w:b/>
                <w:sz w:val="20"/>
                <w:szCs w:val="20"/>
                <w:lang w:val="de-DE"/>
              </w:rPr>
            </w:pPr>
            <w:r w:rsidRPr="00C84129">
              <w:rPr>
                <w:rFonts w:cs="Arial"/>
                <w:b/>
                <w:sz w:val="20"/>
                <w:szCs w:val="20"/>
                <w:lang w:val="de-DE"/>
              </w:rPr>
              <w:t>Warfarin</w:t>
            </w:r>
            <w:r w:rsidRPr="00C84129">
              <w:rPr>
                <w:rFonts w:cs="Arial"/>
                <w:b/>
                <w:sz w:val="20"/>
                <w:szCs w:val="20"/>
                <w:vertAlign w:val="superscript"/>
                <w:lang w:val="de-DE"/>
              </w:rPr>
              <w:t>5,</w:t>
            </w:r>
            <w:r w:rsidRPr="00C84129">
              <w:rPr>
                <w:rFonts w:cs="Arial"/>
                <w:sz w:val="20"/>
                <w:szCs w:val="20"/>
                <w:vertAlign w:val="superscript"/>
                <w:lang w:val="de-DE"/>
              </w:rPr>
              <w:t>6</w:t>
            </w:r>
          </w:p>
        </w:tc>
      </w:tr>
      <w:tr w:rsidR="00735E20" w:rsidRPr="00735E20" w14:paraId="0D392509" w14:textId="77777777" w:rsidTr="00C84129">
        <w:trPr>
          <w:trHeight w:val="1382"/>
          <w:jc w:val="center"/>
        </w:trPr>
        <w:tc>
          <w:tcPr>
            <w:tcW w:w="3681" w:type="dxa"/>
            <w:vAlign w:val="center"/>
          </w:tcPr>
          <w:p w14:paraId="780BC116" w14:textId="079F8118" w:rsidR="00735E20" w:rsidRPr="00C84129" w:rsidRDefault="00735E20" w:rsidP="00C84129">
            <w:pPr>
              <w:rPr>
                <w:rFonts w:cs="Arial"/>
                <w:szCs w:val="22"/>
              </w:rPr>
            </w:pPr>
            <w:r w:rsidRPr="00C84129">
              <w:rPr>
                <w:rFonts w:cs="Arial"/>
                <w:szCs w:val="22"/>
              </w:rPr>
              <w:t>Prevention of stroke and systemic embolism in adult patients with non-valvular atrial fibrillation (NVAF) with one or more risk factors, such as prior stroke or transient ischemic attack (TIA); age ≥75 years; heart failure (NYHA Class ≥ II); diabetes mellitus; hypertension</w:t>
            </w:r>
            <w:r w:rsidRPr="00C84129">
              <w:rPr>
                <w:rFonts w:cs="Arial"/>
                <w:szCs w:val="22"/>
                <w:vertAlign w:val="superscript"/>
              </w:rPr>
              <w:t>1,2,3,4</w:t>
            </w:r>
          </w:p>
        </w:tc>
        <w:tc>
          <w:tcPr>
            <w:tcW w:w="1417" w:type="dxa"/>
            <w:shd w:val="clear" w:color="auto" w:fill="auto"/>
            <w:vAlign w:val="center"/>
          </w:tcPr>
          <w:p w14:paraId="75FB5F3A" w14:textId="77777777" w:rsidR="00735E20" w:rsidRPr="00C84129" w:rsidRDefault="00735E20" w:rsidP="00C84129">
            <w:pPr>
              <w:jc w:val="center"/>
              <w:rPr>
                <w:rFonts w:cs="Arial"/>
                <w:sz w:val="24"/>
              </w:rPr>
            </w:pPr>
            <w:r w:rsidRPr="00C84129">
              <w:rPr>
                <w:rFonts w:cs="Arial"/>
                <w:sz w:val="24"/>
              </w:rPr>
              <w:sym w:font="Symbol" w:char="F0D6"/>
            </w:r>
          </w:p>
          <w:p w14:paraId="40A2CB7D" w14:textId="1E519CED" w:rsidR="00735E20" w:rsidRPr="00C84129" w:rsidRDefault="00735E20" w:rsidP="002E0A78">
            <w:pPr>
              <w:jc w:val="center"/>
              <w:rPr>
                <w:rFonts w:cs="Arial"/>
                <w:sz w:val="24"/>
              </w:rPr>
            </w:pPr>
            <w:r w:rsidRPr="00C84129">
              <w:rPr>
                <w:rFonts w:cs="Arial"/>
                <w:sz w:val="24"/>
              </w:rPr>
              <w:t>NICE TA 249</w:t>
            </w:r>
            <w:r w:rsidRPr="00C84129">
              <w:rPr>
                <w:rFonts w:cs="Arial"/>
                <w:sz w:val="24"/>
                <w:vertAlign w:val="superscript"/>
              </w:rPr>
              <w:t>7</w:t>
            </w:r>
          </w:p>
        </w:tc>
        <w:tc>
          <w:tcPr>
            <w:tcW w:w="1560" w:type="dxa"/>
            <w:shd w:val="clear" w:color="auto" w:fill="auto"/>
            <w:vAlign w:val="center"/>
          </w:tcPr>
          <w:p w14:paraId="40656243" w14:textId="77777777" w:rsidR="00735E20" w:rsidRPr="00C84129" w:rsidRDefault="00735E20" w:rsidP="00C84129">
            <w:pPr>
              <w:jc w:val="center"/>
              <w:rPr>
                <w:rFonts w:cs="Arial"/>
                <w:sz w:val="24"/>
              </w:rPr>
            </w:pPr>
            <w:r w:rsidRPr="00C84129">
              <w:rPr>
                <w:rFonts w:cs="Arial"/>
                <w:sz w:val="24"/>
              </w:rPr>
              <w:sym w:font="Symbol" w:char="F0D6"/>
            </w:r>
          </w:p>
          <w:p w14:paraId="5DC64CAD" w14:textId="2A5D559A" w:rsidR="00735E20" w:rsidRPr="00C84129" w:rsidRDefault="00735E20" w:rsidP="002E0A78">
            <w:pPr>
              <w:jc w:val="center"/>
              <w:rPr>
                <w:rFonts w:cs="Arial"/>
                <w:sz w:val="24"/>
              </w:rPr>
            </w:pPr>
            <w:r w:rsidRPr="00C84129">
              <w:rPr>
                <w:rFonts w:cs="Arial"/>
                <w:sz w:val="24"/>
              </w:rPr>
              <w:t>NICE TA 256</w:t>
            </w:r>
            <w:r w:rsidRPr="00C84129">
              <w:rPr>
                <w:rFonts w:cs="Arial"/>
                <w:sz w:val="24"/>
                <w:vertAlign w:val="superscript"/>
              </w:rPr>
              <w:t>8</w:t>
            </w:r>
          </w:p>
        </w:tc>
        <w:tc>
          <w:tcPr>
            <w:tcW w:w="1275" w:type="dxa"/>
            <w:shd w:val="clear" w:color="auto" w:fill="auto"/>
            <w:vAlign w:val="center"/>
          </w:tcPr>
          <w:p w14:paraId="1B7876C5" w14:textId="77777777" w:rsidR="00735E20" w:rsidRPr="00C84129" w:rsidRDefault="00735E20" w:rsidP="00C84129">
            <w:pPr>
              <w:jc w:val="center"/>
              <w:rPr>
                <w:rFonts w:cs="Arial"/>
                <w:sz w:val="24"/>
              </w:rPr>
            </w:pPr>
            <w:r w:rsidRPr="00C84129">
              <w:rPr>
                <w:rFonts w:cs="Arial"/>
                <w:sz w:val="24"/>
              </w:rPr>
              <w:sym w:font="Symbol" w:char="F0D6"/>
            </w:r>
          </w:p>
          <w:p w14:paraId="777128F2" w14:textId="77777777" w:rsidR="00735E20" w:rsidRPr="00C84129" w:rsidRDefault="00735E20" w:rsidP="00C84129">
            <w:pPr>
              <w:jc w:val="center"/>
              <w:rPr>
                <w:rFonts w:cs="Arial"/>
                <w:sz w:val="24"/>
              </w:rPr>
            </w:pPr>
            <w:r w:rsidRPr="00C84129">
              <w:rPr>
                <w:rFonts w:cs="Arial"/>
                <w:sz w:val="24"/>
              </w:rPr>
              <w:t>NICE TA 275</w:t>
            </w:r>
            <w:r w:rsidRPr="00C84129">
              <w:rPr>
                <w:rFonts w:cs="Arial"/>
                <w:sz w:val="24"/>
                <w:vertAlign w:val="superscript"/>
              </w:rPr>
              <w:t>9</w:t>
            </w:r>
          </w:p>
        </w:tc>
        <w:tc>
          <w:tcPr>
            <w:tcW w:w="1276" w:type="dxa"/>
            <w:shd w:val="clear" w:color="auto" w:fill="auto"/>
            <w:vAlign w:val="center"/>
          </w:tcPr>
          <w:p w14:paraId="4B3CD3C2" w14:textId="77777777" w:rsidR="00735E20" w:rsidRPr="00C84129" w:rsidRDefault="00735E20" w:rsidP="00C84129">
            <w:pPr>
              <w:jc w:val="center"/>
              <w:rPr>
                <w:rFonts w:cs="Arial"/>
                <w:sz w:val="24"/>
              </w:rPr>
            </w:pPr>
            <w:r w:rsidRPr="00C84129">
              <w:rPr>
                <w:rFonts w:cs="Arial"/>
                <w:sz w:val="24"/>
              </w:rPr>
              <w:sym w:font="Symbol" w:char="F0D6"/>
            </w:r>
          </w:p>
          <w:p w14:paraId="1BB60726" w14:textId="03330122" w:rsidR="00735E20" w:rsidRPr="00C84129" w:rsidRDefault="00735E20" w:rsidP="002315F1">
            <w:pPr>
              <w:jc w:val="center"/>
              <w:rPr>
                <w:rFonts w:cs="Arial"/>
                <w:sz w:val="24"/>
              </w:rPr>
            </w:pPr>
            <w:r w:rsidRPr="00C84129">
              <w:rPr>
                <w:rFonts w:cs="Arial"/>
                <w:sz w:val="24"/>
              </w:rPr>
              <w:t>NICE TA 355</w:t>
            </w:r>
            <w:r w:rsidRPr="00C84129">
              <w:rPr>
                <w:rFonts w:cs="Arial"/>
                <w:sz w:val="24"/>
                <w:vertAlign w:val="superscript"/>
              </w:rPr>
              <w:t>10</w:t>
            </w:r>
          </w:p>
        </w:tc>
        <w:tc>
          <w:tcPr>
            <w:tcW w:w="1276" w:type="dxa"/>
            <w:vAlign w:val="center"/>
          </w:tcPr>
          <w:p w14:paraId="313D06C3" w14:textId="4C8412A9" w:rsidR="00CA027D" w:rsidRPr="00C84129" w:rsidRDefault="00735E20" w:rsidP="00CA027D">
            <w:pPr>
              <w:jc w:val="center"/>
              <w:rPr>
                <w:rFonts w:cs="Arial"/>
                <w:sz w:val="24"/>
              </w:rPr>
            </w:pPr>
            <w:r w:rsidRPr="00C84129">
              <w:rPr>
                <w:rFonts w:cs="Arial"/>
                <w:sz w:val="24"/>
              </w:rPr>
              <w:sym w:font="Symbol" w:char="F0D6"/>
            </w:r>
          </w:p>
        </w:tc>
      </w:tr>
      <w:tr w:rsidR="00735E20" w:rsidRPr="00735E20" w14:paraId="1FCC4603" w14:textId="77777777" w:rsidTr="00C84129">
        <w:trPr>
          <w:trHeight w:val="707"/>
          <w:jc w:val="center"/>
        </w:trPr>
        <w:tc>
          <w:tcPr>
            <w:tcW w:w="3681" w:type="dxa"/>
            <w:vAlign w:val="center"/>
          </w:tcPr>
          <w:p w14:paraId="644E749A" w14:textId="2EF9ED46" w:rsidR="00735E20" w:rsidRPr="00C84129" w:rsidRDefault="00735E20" w:rsidP="00C84129">
            <w:pPr>
              <w:rPr>
                <w:rFonts w:cs="Arial"/>
                <w:szCs w:val="22"/>
              </w:rPr>
            </w:pPr>
            <w:r w:rsidRPr="00C84129">
              <w:rPr>
                <w:rFonts w:cs="Arial"/>
                <w:szCs w:val="22"/>
              </w:rPr>
              <w:t>Treatment of deep vein thrombosis (DVT) and pulmonary embolism (PE), and prevention of recurrent DVT and PE in adults</w:t>
            </w:r>
            <w:r w:rsidRPr="00C84129">
              <w:rPr>
                <w:rFonts w:cs="Arial"/>
                <w:szCs w:val="22"/>
                <w:vertAlign w:val="superscript"/>
              </w:rPr>
              <w:t>1,2,3,4</w:t>
            </w:r>
          </w:p>
        </w:tc>
        <w:tc>
          <w:tcPr>
            <w:tcW w:w="1417" w:type="dxa"/>
            <w:shd w:val="clear" w:color="auto" w:fill="auto"/>
            <w:vAlign w:val="center"/>
          </w:tcPr>
          <w:p w14:paraId="30DC29D6" w14:textId="77777777" w:rsidR="00735E20" w:rsidRPr="00C84129" w:rsidRDefault="00735E20" w:rsidP="00C84129">
            <w:pPr>
              <w:jc w:val="center"/>
              <w:rPr>
                <w:rFonts w:cs="Arial"/>
                <w:sz w:val="24"/>
              </w:rPr>
            </w:pPr>
            <w:r w:rsidRPr="00C84129">
              <w:rPr>
                <w:rFonts w:cs="Arial"/>
                <w:sz w:val="24"/>
              </w:rPr>
              <w:sym w:font="Symbol" w:char="F0D6"/>
            </w:r>
          </w:p>
          <w:p w14:paraId="093DD42E" w14:textId="77777777" w:rsidR="00735E20" w:rsidRPr="00C84129" w:rsidRDefault="00735E20" w:rsidP="00C84129">
            <w:pPr>
              <w:jc w:val="center"/>
              <w:rPr>
                <w:rFonts w:cs="Arial"/>
                <w:sz w:val="24"/>
              </w:rPr>
            </w:pPr>
            <w:r w:rsidRPr="00C84129">
              <w:rPr>
                <w:rFonts w:cs="Arial"/>
                <w:sz w:val="24"/>
              </w:rPr>
              <w:t>NICE TA 327</w:t>
            </w:r>
            <w:r w:rsidRPr="00C84129">
              <w:rPr>
                <w:rFonts w:cs="Arial"/>
                <w:sz w:val="24"/>
                <w:vertAlign w:val="superscript"/>
              </w:rPr>
              <w:t>11</w:t>
            </w:r>
          </w:p>
        </w:tc>
        <w:tc>
          <w:tcPr>
            <w:tcW w:w="1560" w:type="dxa"/>
            <w:shd w:val="clear" w:color="auto" w:fill="auto"/>
            <w:vAlign w:val="center"/>
          </w:tcPr>
          <w:p w14:paraId="2401AF98" w14:textId="77777777" w:rsidR="00735E20" w:rsidRPr="00C84129" w:rsidRDefault="00735E20" w:rsidP="00C84129">
            <w:pPr>
              <w:jc w:val="center"/>
              <w:rPr>
                <w:rFonts w:cs="Arial"/>
                <w:sz w:val="24"/>
              </w:rPr>
            </w:pPr>
            <w:r w:rsidRPr="00C84129">
              <w:rPr>
                <w:rFonts w:cs="Arial"/>
                <w:sz w:val="24"/>
              </w:rPr>
              <w:sym w:font="Symbol" w:char="F0D6"/>
            </w:r>
          </w:p>
          <w:p w14:paraId="6FBA2D9D" w14:textId="77777777" w:rsidR="00735E20" w:rsidRPr="00C84129" w:rsidRDefault="00735E20" w:rsidP="00C84129">
            <w:pPr>
              <w:jc w:val="center"/>
              <w:rPr>
                <w:rFonts w:cs="Arial"/>
                <w:sz w:val="24"/>
              </w:rPr>
            </w:pPr>
            <w:r w:rsidRPr="00C84129">
              <w:rPr>
                <w:rFonts w:cs="Arial"/>
                <w:sz w:val="24"/>
              </w:rPr>
              <w:t>NICE TA 261</w:t>
            </w:r>
            <w:r w:rsidRPr="00C84129">
              <w:rPr>
                <w:rFonts w:cs="Arial"/>
                <w:sz w:val="24"/>
                <w:vertAlign w:val="superscript"/>
              </w:rPr>
              <w:t>12</w:t>
            </w:r>
            <w:r w:rsidRPr="00C84129">
              <w:rPr>
                <w:rFonts w:cs="Arial"/>
                <w:sz w:val="24"/>
              </w:rPr>
              <w:t xml:space="preserve"> and 287</w:t>
            </w:r>
            <w:r w:rsidRPr="00C84129">
              <w:rPr>
                <w:rFonts w:cs="Arial"/>
                <w:sz w:val="24"/>
                <w:vertAlign w:val="superscript"/>
              </w:rPr>
              <w:t>13</w:t>
            </w:r>
          </w:p>
        </w:tc>
        <w:tc>
          <w:tcPr>
            <w:tcW w:w="1275" w:type="dxa"/>
            <w:shd w:val="clear" w:color="auto" w:fill="auto"/>
            <w:vAlign w:val="center"/>
          </w:tcPr>
          <w:p w14:paraId="5474C03E" w14:textId="77777777" w:rsidR="00735E20" w:rsidRPr="00C84129" w:rsidRDefault="00735E20" w:rsidP="00C84129">
            <w:pPr>
              <w:jc w:val="center"/>
              <w:rPr>
                <w:rFonts w:cs="Arial"/>
                <w:sz w:val="24"/>
              </w:rPr>
            </w:pPr>
            <w:r w:rsidRPr="00C84129">
              <w:rPr>
                <w:rFonts w:cs="Arial"/>
                <w:sz w:val="24"/>
              </w:rPr>
              <w:sym w:font="Symbol" w:char="F0D6"/>
            </w:r>
          </w:p>
          <w:p w14:paraId="7E360674" w14:textId="56BF3903" w:rsidR="00735E20" w:rsidRPr="00C84129" w:rsidRDefault="00735E20" w:rsidP="002315F1">
            <w:pPr>
              <w:jc w:val="center"/>
              <w:rPr>
                <w:rFonts w:cs="Arial"/>
                <w:sz w:val="24"/>
              </w:rPr>
            </w:pPr>
            <w:r w:rsidRPr="00C84129">
              <w:rPr>
                <w:rFonts w:cs="Arial"/>
                <w:sz w:val="24"/>
              </w:rPr>
              <w:t>NICE TA 341</w:t>
            </w:r>
            <w:r w:rsidRPr="00C84129">
              <w:rPr>
                <w:rFonts w:cs="Arial"/>
                <w:sz w:val="24"/>
                <w:vertAlign w:val="superscript"/>
              </w:rPr>
              <w:t>14</w:t>
            </w:r>
          </w:p>
        </w:tc>
        <w:tc>
          <w:tcPr>
            <w:tcW w:w="1276" w:type="dxa"/>
            <w:shd w:val="clear" w:color="auto" w:fill="auto"/>
            <w:vAlign w:val="center"/>
          </w:tcPr>
          <w:p w14:paraId="79A27E35" w14:textId="77777777" w:rsidR="00735E20" w:rsidRPr="00C84129" w:rsidRDefault="00735E20" w:rsidP="00C84129">
            <w:pPr>
              <w:jc w:val="center"/>
              <w:rPr>
                <w:rFonts w:cs="Arial"/>
                <w:sz w:val="24"/>
              </w:rPr>
            </w:pPr>
            <w:r w:rsidRPr="00C84129">
              <w:rPr>
                <w:rFonts w:cs="Arial"/>
                <w:sz w:val="24"/>
              </w:rPr>
              <w:sym w:font="Symbol" w:char="F0D6"/>
            </w:r>
          </w:p>
          <w:p w14:paraId="69D0B103" w14:textId="77777777" w:rsidR="00735E20" w:rsidRPr="00C84129" w:rsidRDefault="00735E20" w:rsidP="00C84129">
            <w:pPr>
              <w:jc w:val="center"/>
              <w:rPr>
                <w:rFonts w:cs="Arial"/>
                <w:sz w:val="24"/>
              </w:rPr>
            </w:pPr>
            <w:r w:rsidRPr="00C84129">
              <w:rPr>
                <w:rFonts w:cs="Arial"/>
                <w:sz w:val="24"/>
              </w:rPr>
              <w:t>NICE TA 354</w:t>
            </w:r>
            <w:r w:rsidRPr="00C84129">
              <w:rPr>
                <w:rFonts w:cs="Arial"/>
                <w:sz w:val="24"/>
                <w:vertAlign w:val="superscript"/>
              </w:rPr>
              <w:t>15</w:t>
            </w:r>
          </w:p>
        </w:tc>
        <w:tc>
          <w:tcPr>
            <w:tcW w:w="1276" w:type="dxa"/>
            <w:vAlign w:val="center"/>
          </w:tcPr>
          <w:p w14:paraId="0623A060" w14:textId="77777777" w:rsidR="00735E20" w:rsidRPr="00C84129" w:rsidRDefault="00735E20" w:rsidP="00C84129">
            <w:pPr>
              <w:jc w:val="center"/>
              <w:rPr>
                <w:rFonts w:cs="Arial"/>
                <w:sz w:val="24"/>
              </w:rPr>
            </w:pPr>
            <w:r w:rsidRPr="00C84129">
              <w:rPr>
                <w:rFonts w:cs="Arial"/>
                <w:sz w:val="24"/>
              </w:rPr>
              <w:sym w:font="Symbol" w:char="F0D6"/>
            </w:r>
          </w:p>
        </w:tc>
      </w:tr>
      <w:tr w:rsidR="00735E20" w:rsidRPr="00735E20" w14:paraId="4350A3DA" w14:textId="77777777" w:rsidTr="00C84129">
        <w:trPr>
          <w:trHeight w:val="993"/>
          <w:jc w:val="center"/>
        </w:trPr>
        <w:tc>
          <w:tcPr>
            <w:tcW w:w="3681" w:type="dxa"/>
            <w:vAlign w:val="center"/>
          </w:tcPr>
          <w:p w14:paraId="7AA6B156" w14:textId="402556AD" w:rsidR="00735E20" w:rsidRPr="00C84129" w:rsidRDefault="00735E20" w:rsidP="00C84129">
            <w:pPr>
              <w:rPr>
                <w:rFonts w:cs="Arial"/>
                <w:szCs w:val="22"/>
              </w:rPr>
            </w:pPr>
            <w:r w:rsidRPr="00C84129">
              <w:rPr>
                <w:rFonts w:cs="Arial"/>
                <w:szCs w:val="22"/>
              </w:rPr>
              <w:t>Primary prevention of venous thromboembolic events in adult patients who have undergone elective total hip replacement surgery or total knee replacement surgery</w:t>
            </w:r>
            <w:r w:rsidRPr="00C84129">
              <w:rPr>
                <w:rFonts w:cs="Arial"/>
                <w:szCs w:val="22"/>
                <w:vertAlign w:val="superscript"/>
              </w:rPr>
              <w:t>1,2,3</w:t>
            </w:r>
            <w:r w:rsidRPr="00C84129">
              <w:rPr>
                <w:rFonts w:cs="Arial"/>
                <w:szCs w:val="22"/>
              </w:rPr>
              <w:t xml:space="preserve"> </w:t>
            </w:r>
          </w:p>
        </w:tc>
        <w:tc>
          <w:tcPr>
            <w:tcW w:w="1417" w:type="dxa"/>
            <w:shd w:val="clear" w:color="auto" w:fill="auto"/>
            <w:vAlign w:val="center"/>
          </w:tcPr>
          <w:p w14:paraId="67EE1EAF" w14:textId="77777777" w:rsidR="00735E20" w:rsidRPr="00C84129" w:rsidRDefault="00735E20" w:rsidP="00C84129">
            <w:pPr>
              <w:jc w:val="center"/>
              <w:rPr>
                <w:rFonts w:cs="Arial"/>
                <w:sz w:val="24"/>
              </w:rPr>
            </w:pPr>
            <w:r w:rsidRPr="00C84129">
              <w:rPr>
                <w:rFonts w:cs="Arial"/>
                <w:sz w:val="24"/>
              </w:rPr>
              <w:sym w:font="Symbol" w:char="F0D6"/>
            </w:r>
          </w:p>
          <w:p w14:paraId="1180780A" w14:textId="38A58EB7" w:rsidR="00735E20" w:rsidRPr="00C84129" w:rsidRDefault="00735E20" w:rsidP="002315F1">
            <w:pPr>
              <w:jc w:val="center"/>
              <w:rPr>
                <w:rFonts w:cs="Arial"/>
                <w:sz w:val="24"/>
              </w:rPr>
            </w:pPr>
            <w:r w:rsidRPr="00C84129">
              <w:rPr>
                <w:rFonts w:cs="Arial"/>
                <w:sz w:val="24"/>
              </w:rPr>
              <w:t>NICE TA 157</w:t>
            </w:r>
            <w:r w:rsidRPr="00C84129">
              <w:rPr>
                <w:rFonts w:cs="Arial"/>
                <w:sz w:val="24"/>
                <w:vertAlign w:val="superscript"/>
              </w:rPr>
              <w:t>16</w:t>
            </w:r>
          </w:p>
        </w:tc>
        <w:tc>
          <w:tcPr>
            <w:tcW w:w="1560" w:type="dxa"/>
            <w:shd w:val="clear" w:color="auto" w:fill="auto"/>
            <w:vAlign w:val="center"/>
          </w:tcPr>
          <w:p w14:paraId="0889D18E" w14:textId="77777777" w:rsidR="00735E20" w:rsidRPr="00C84129" w:rsidRDefault="00735E20" w:rsidP="00C84129">
            <w:pPr>
              <w:jc w:val="center"/>
              <w:rPr>
                <w:rFonts w:cs="Arial"/>
                <w:sz w:val="24"/>
              </w:rPr>
            </w:pPr>
            <w:r w:rsidRPr="00C84129">
              <w:rPr>
                <w:rFonts w:cs="Arial"/>
                <w:sz w:val="24"/>
              </w:rPr>
              <w:sym w:font="Symbol" w:char="F0D6"/>
            </w:r>
            <w:r w:rsidRPr="00C84129">
              <w:rPr>
                <w:rFonts w:cs="Arial"/>
                <w:sz w:val="24"/>
              </w:rPr>
              <w:t xml:space="preserve"> 10mg only</w:t>
            </w:r>
          </w:p>
          <w:p w14:paraId="66844474" w14:textId="00FB02C2" w:rsidR="00735E20" w:rsidRPr="00C84129" w:rsidRDefault="00735E20" w:rsidP="002315F1">
            <w:pPr>
              <w:jc w:val="center"/>
              <w:rPr>
                <w:rFonts w:cs="Arial"/>
                <w:sz w:val="24"/>
              </w:rPr>
            </w:pPr>
            <w:r w:rsidRPr="00C84129">
              <w:rPr>
                <w:rFonts w:cs="Arial"/>
                <w:sz w:val="24"/>
              </w:rPr>
              <w:t>NICE TA 170</w:t>
            </w:r>
            <w:r w:rsidRPr="00C84129">
              <w:rPr>
                <w:rFonts w:cs="Arial"/>
                <w:sz w:val="24"/>
                <w:vertAlign w:val="superscript"/>
              </w:rPr>
              <w:t>17</w:t>
            </w:r>
          </w:p>
        </w:tc>
        <w:tc>
          <w:tcPr>
            <w:tcW w:w="1275" w:type="dxa"/>
            <w:shd w:val="clear" w:color="auto" w:fill="auto"/>
            <w:vAlign w:val="center"/>
          </w:tcPr>
          <w:p w14:paraId="7B430495" w14:textId="77777777" w:rsidR="00735E20" w:rsidRPr="00C84129" w:rsidRDefault="00735E20" w:rsidP="00C84129">
            <w:pPr>
              <w:jc w:val="center"/>
              <w:rPr>
                <w:rFonts w:cs="Arial"/>
                <w:sz w:val="24"/>
              </w:rPr>
            </w:pPr>
            <w:r w:rsidRPr="00C84129">
              <w:rPr>
                <w:rFonts w:cs="Arial"/>
                <w:sz w:val="24"/>
              </w:rPr>
              <w:sym w:font="Symbol" w:char="F0D6"/>
            </w:r>
          </w:p>
          <w:p w14:paraId="717807F4" w14:textId="4260CBD6" w:rsidR="00735E20" w:rsidRPr="00C84129" w:rsidRDefault="00735E20" w:rsidP="002315F1">
            <w:pPr>
              <w:jc w:val="center"/>
              <w:rPr>
                <w:rFonts w:cs="Arial"/>
                <w:sz w:val="24"/>
              </w:rPr>
            </w:pPr>
            <w:r w:rsidRPr="00C84129">
              <w:rPr>
                <w:rFonts w:cs="Arial"/>
                <w:sz w:val="24"/>
              </w:rPr>
              <w:t>NICE TA 245</w:t>
            </w:r>
            <w:r w:rsidRPr="00C84129">
              <w:rPr>
                <w:rFonts w:cs="Arial"/>
                <w:sz w:val="24"/>
                <w:vertAlign w:val="superscript"/>
              </w:rPr>
              <w:t>18</w:t>
            </w:r>
          </w:p>
        </w:tc>
        <w:tc>
          <w:tcPr>
            <w:tcW w:w="1276" w:type="dxa"/>
            <w:shd w:val="clear" w:color="auto" w:fill="auto"/>
            <w:vAlign w:val="center"/>
          </w:tcPr>
          <w:p w14:paraId="24D60B23" w14:textId="77777777" w:rsidR="00735E20" w:rsidRPr="00C84129" w:rsidRDefault="00735E20" w:rsidP="00C84129">
            <w:pPr>
              <w:jc w:val="center"/>
              <w:rPr>
                <w:rFonts w:cs="Arial"/>
                <w:sz w:val="24"/>
              </w:rPr>
            </w:pPr>
            <w:r w:rsidRPr="00C84129">
              <w:rPr>
                <w:rFonts w:cs="Arial"/>
                <w:sz w:val="24"/>
              </w:rPr>
              <w:t>x</w:t>
            </w:r>
          </w:p>
        </w:tc>
        <w:tc>
          <w:tcPr>
            <w:tcW w:w="1276" w:type="dxa"/>
            <w:vAlign w:val="center"/>
          </w:tcPr>
          <w:p w14:paraId="4275FBFB" w14:textId="77777777" w:rsidR="00735E20" w:rsidRPr="00C84129" w:rsidRDefault="00735E20" w:rsidP="00C84129">
            <w:pPr>
              <w:jc w:val="center"/>
              <w:rPr>
                <w:rFonts w:cs="Arial"/>
                <w:sz w:val="24"/>
              </w:rPr>
            </w:pPr>
            <w:r w:rsidRPr="00C84129">
              <w:rPr>
                <w:rFonts w:cs="Arial"/>
                <w:sz w:val="24"/>
              </w:rPr>
              <w:sym w:font="Symbol" w:char="F0D6"/>
            </w:r>
          </w:p>
        </w:tc>
      </w:tr>
      <w:tr w:rsidR="00735E20" w:rsidRPr="00735E20" w14:paraId="730E0031" w14:textId="77777777" w:rsidTr="00C84129">
        <w:trPr>
          <w:trHeight w:val="958"/>
          <w:jc w:val="center"/>
        </w:trPr>
        <w:tc>
          <w:tcPr>
            <w:tcW w:w="3681" w:type="dxa"/>
            <w:vAlign w:val="center"/>
          </w:tcPr>
          <w:p w14:paraId="07AAA99B" w14:textId="05D6826A" w:rsidR="00735E20" w:rsidRPr="00C84129" w:rsidRDefault="00735E20" w:rsidP="00C84129">
            <w:pPr>
              <w:rPr>
                <w:rFonts w:cs="Arial"/>
                <w:szCs w:val="22"/>
                <w:vertAlign w:val="superscript"/>
              </w:rPr>
            </w:pPr>
            <w:r w:rsidRPr="00C84129">
              <w:rPr>
                <w:rFonts w:cs="Arial"/>
                <w:szCs w:val="22"/>
              </w:rPr>
              <w:t>Co-administered with acetylsalicylic acid* (ASA) alone or with ASA plus clopidogrel or ticlopidine, indicated for</w:t>
            </w:r>
            <w:r w:rsidR="00C71032">
              <w:rPr>
                <w:rFonts w:cs="Arial"/>
                <w:szCs w:val="22"/>
              </w:rPr>
              <w:t xml:space="preserve"> </w:t>
            </w:r>
            <w:r w:rsidRPr="00C84129">
              <w:rPr>
                <w:rFonts w:cs="Arial"/>
                <w:szCs w:val="22"/>
              </w:rPr>
              <w:t>prevention of atherothrombotic events in adult patients after an acute coronary syndrome (ACS) with elevated cardiac biomarkers</w:t>
            </w:r>
            <w:r w:rsidRPr="00C84129">
              <w:rPr>
                <w:rFonts w:cs="Arial"/>
                <w:szCs w:val="22"/>
                <w:vertAlign w:val="superscript"/>
              </w:rPr>
              <w:t>2</w:t>
            </w:r>
          </w:p>
          <w:p w14:paraId="393956C2" w14:textId="77777777" w:rsidR="00735E20" w:rsidRPr="00C84129" w:rsidRDefault="00735E20" w:rsidP="00C84129">
            <w:pPr>
              <w:rPr>
                <w:rFonts w:cs="Arial"/>
                <w:szCs w:val="22"/>
              </w:rPr>
            </w:pPr>
            <w:r w:rsidRPr="00C84129">
              <w:rPr>
                <w:rFonts w:cs="Arial"/>
                <w:szCs w:val="22"/>
              </w:rPr>
              <w:t>*acetylsalicylic acid (ASA) = Aspirin</w:t>
            </w:r>
          </w:p>
        </w:tc>
        <w:tc>
          <w:tcPr>
            <w:tcW w:w="1417" w:type="dxa"/>
            <w:shd w:val="clear" w:color="auto" w:fill="auto"/>
            <w:vAlign w:val="center"/>
          </w:tcPr>
          <w:p w14:paraId="67C213D6" w14:textId="77777777" w:rsidR="00735E20" w:rsidRPr="00C84129" w:rsidRDefault="00735E20" w:rsidP="00C84129">
            <w:pPr>
              <w:jc w:val="center"/>
              <w:rPr>
                <w:rFonts w:cs="Arial"/>
                <w:sz w:val="24"/>
              </w:rPr>
            </w:pPr>
            <w:r w:rsidRPr="00C84129">
              <w:rPr>
                <w:rFonts w:cs="Arial"/>
                <w:sz w:val="24"/>
              </w:rPr>
              <w:t>x</w:t>
            </w:r>
          </w:p>
        </w:tc>
        <w:tc>
          <w:tcPr>
            <w:tcW w:w="1560" w:type="dxa"/>
            <w:shd w:val="clear" w:color="auto" w:fill="auto"/>
            <w:vAlign w:val="center"/>
          </w:tcPr>
          <w:p w14:paraId="1B7FDDE6" w14:textId="77777777" w:rsidR="00735E20" w:rsidRPr="00C84129" w:rsidRDefault="00735E20" w:rsidP="00C84129">
            <w:pPr>
              <w:jc w:val="center"/>
              <w:rPr>
                <w:rFonts w:cs="Arial"/>
                <w:sz w:val="24"/>
              </w:rPr>
            </w:pPr>
            <w:r w:rsidRPr="00C84129">
              <w:rPr>
                <w:rFonts w:cs="Arial"/>
                <w:sz w:val="24"/>
              </w:rPr>
              <w:sym w:font="Symbol" w:char="F0D6"/>
            </w:r>
            <w:r w:rsidRPr="00C84129">
              <w:rPr>
                <w:rFonts w:cs="Arial"/>
                <w:sz w:val="24"/>
              </w:rPr>
              <w:t xml:space="preserve"> 2.5mg only</w:t>
            </w:r>
          </w:p>
          <w:p w14:paraId="5D5C5A5A" w14:textId="1678AF61" w:rsidR="00735E20" w:rsidRPr="00C84129" w:rsidRDefault="00735E20" w:rsidP="002315F1">
            <w:pPr>
              <w:jc w:val="center"/>
              <w:rPr>
                <w:rFonts w:cs="Arial"/>
                <w:sz w:val="24"/>
              </w:rPr>
            </w:pPr>
            <w:r w:rsidRPr="00C84129">
              <w:rPr>
                <w:rFonts w:cs="Arial"/>
                <w:sz w:val="24"/>
              </w:rPr>
              <w:t>NICE TA 355</w:t>
            </w:r>
            <w:r w:rsidRPr="00C84129">
              <w:rPr>
                <w:rFonts w:cs="Arial"/>
                <w:sz w:val="24"/>
                <w:vertAlign w:val="superscript"/>
              </w:rPr>
              <w:t>19</w:t>
            </w:r>
          </w:p>
        </w:tc>
        <w:tc>
          <w:tcPr>
            <w:tcW w:w="1275" w:type="dxa"/>
            <w:shd w:val="clear" w:color="auto" w:fill="auto"/>
            <w:vAlign w:val="center"/>
          </w:tcPr>
          <w:p w14:paraId="3B030F21" w14:textId="77777777" w:rsidR="00735E20" w:rsidRPr="00C84129" w:rsidRDefault="00735E20" w:rsidP="00C84129">
            <w:pPr>
              <w:jc w:val="center"/>
              <w:rPr>
                <w:rFonts w:cs="Arial"/>
                <w:sz w:val="24"/>
              </w:rPr>
            </w:pPr>
            <w:r w:rsidRPr="00C84129">
              <w:rPr>
                <w:rFonts w:cs="Arial"/>
                <w:sz w:val="24"/>
              </w:rPr>
              <w:t>x</w:t>
            </w:r>
          </w:p>
        </w:tc>
        <w:tc>
          <w:tcPr>
            <w:tcW w:w="1276" w:type="dxa"/>
            <w:shd w:val="clear" w:color="auto" w:fill="auto"/>
            <w:vAlign w:val="center"/>
          </w:tcPr>
          <w:p w14:paraId="7F68360F" w14:textId="77777777" w:rsidR="00735E20" w:rsidRPr="00C84129" w:rsidRDefault="00735E20" w:rsidP="00C84129">
            <w:pPr>
              <w:jc w:val="center"/>
              <w:rPr>
                <w:rFonts w:cs="Arial"/>
                <w:sz w:val="24"/>
              </w:rPr>
            </w:pPr>
            <w:r w:rsidRPr="00C84129">
              <w:rPr>
                <w:rFonts w:cs="Arial"/>
                <w:sz w:val="24"/>
              </w:rPr>
              <w:t>x</w:t>
            </w:r>
          </w:p>
        </w:tc>
        <w:tc>
          <w:tcPr>
            <w:tcW w:w="1276" w:type="dxa"/>
            <w:vAlign w:val="center"/>
          </w:tcPr>
          <w:p w14:paraId="5BEECBD1" w14:textId="77777777" w:rsidR="00735E20" w:rsidRPr="00C84129" w:rsidRDefault="00735E20" w:rsidP="00C84129">
            <w:pPr>
              <w:jc w:val="center"/>
              <w:rPr>
                <w:rFonts w:cs="Arial"/>
                <w:sz w:val="24"/>
              </w:rPr>
            </w:pPr>
            <w:r w:rsidRPr="00C84129">
              <w:rPr>
                <w:rFonts w:cs="Arial"/>
                <w:sz w:val="24"/>
              </w:rPr>
              <w:t>x</w:t>
            </w:r>
          </w:p>
        </w:tc>
      </w:tr>
      <w:tr w:rsidR="00735E20" w:rsidRPr="00735E20" w14:paraId="59FDBDE8" w14:textId="77777777" w:rsidTr="00C84129">
        <w:trPr>
          <w:trHeight w:val="2675"/>
          <w:jc w:val="center"/>
        </w:trPr>
        <w:tc>
          <w:tcPr>
            <w:tcW w:w="3681" w:type="dxa"/>
            <w:vAlign w:val="center"/>
          </w:tcPr>
          <w:p w14:paraId="7B2A4DE2" w14:textId="4EFAA4BE" w:rsidR="00735E20" w:rsidRPr="00C84129" w:rsidRDefault="00735E20" w:rsidP="00C84129">
            <w:pPr>
              <w:pStyle w:val="NormalWeb"/>
              <w:shd w:val="clear" w:color="auto" w:fill="FFFFFF"/>
              <w:spacing w:before="0" w:beforeAutospacing="0" w:after="0" w:afterAutospacing="0"/>
              <w:rPr>
                <w:rFonts w:cs="Arial"/>
                <w:color w:val="000000"/>
                <w:szCs w:val="22"/>
                <w:vertAlign w:val="superscript"/>
              </w:rPr>
            </w:pPr>
            <w:r w:rsidRPr="00C84129">
              <w:rPr>
                <w:rFonts w:cs="Arial"/>
                <w:color w:val="000000"/>
                <w:szCs w:val="22"/>
              </w:rPr>
              <w:t>Co-administered with acetylsalicylic acid (ASA) is indicated for the prevention of atherothrombotic events in adult patients with coronary artery disease (CAD) or symptomatic peripheral artery disease (PAD) at high risk of ischaemic events</w:t>
            </w:r>
            <w:r w:rsidRPr="00C84129">
              <w:rPr>
                <w:rFonts w:cs="Arial"/>
                <w:color w:val="000000"/>
                <w:szCs w:val="22"/>
                <w:vertAlign w:val="superscript"/>
              </w:rPr>
              <w:t>2</w:t>
            </w:r>
          </w:p>
          <w:p w14:paraId="20FAE17F" w14:textId="77777777" w:rsidR="00735E20" w:rsidRPr="00C84129" w:rsidRDefault="00735E20" w:rsidP="00C84129">
            <w:pPr>
              <w:pStyle w:val="NormalWeb"/>
              <w:shd w:val="clear" w:color="auto" w:fill="FFFFFF"/>
              <w:spacing w:before="0" w:beforeAutospacing="0" w:after="0" w:afterAutospacing="0"/>
              <w:rPr>
                <w:rFonts w:cs="Arial"/>
                <w:szCs w:val="22"/>
              </w:rPr>
            </w:pPr>
            <w:r w:rsidRPr="00C84129">
              <w:rPr>
                <w:rFonts w:cs="Arial"/>
                <w:szCs w:val="22"/>
              </w:rPr>
              <w:t>*acetylsalicylic acid (ASA) = Aspirin</w:t>
            </w:r>
          </w:p>
        </w:tc>
        <w:tc>
          <w:tcPr>
            <w:tcW w:w="1417" w:type="dxa"/>
            <w:shd w:val="clear" w:color="auto" w:fill="auto"/>
            <w:vAlign w:val="center"/>
          </w:tcPr>
          <w:p w14:paraId="53A98B7E" w14:textId="77777777" w:rsidR="00735E20" w:rsidRPr="00C84129" w:rsidRDefault="00735E20" w:rsidP="00C84129">
            <w:pPr>
              <w:jc w:val="center"/>
              <w:rPr>
                <w:rFonts w:cs="Arial"/>
                <w:sz w:val="24"/>
              </w:rPr>
            </w:pPr>
            <w:r w:rsidRPr="00C84129">
              <w:rPr>
                <w:rFonts w:cs="Arial"/>
                <w:sz w:val="24"/>
              </w:rPr>
              <w:t>x</w:t>
            </w:r>
          </w:p>
        </w:tc>
        <w:tc>
          <w:tcPr>
            <w:tcW w:w="1560" w:type="dxa"/>
            <w:shd w:val="clear" w:color="auto" w:fill="auto"/>
            <w:vAlign w:val="center"/>
          </w:tcPr>
          <w:p w14:paraId="2A59501E" w14:textId="77777777" w:rsidR="00735E20" w:rsidRPr="00C84129" w:rsidRDefault="00735E20" w:rsidP="00C84129">
            <w:pPr>
              <w:jc w:val="center"/>
              <w:rPr>
                <w:rFonts w:cs="Arial"/>
                <w:sz w:val="24"/>
              </w:rPr>
            </w:pPr>
            <w:r w:rsidRPr="00C84129">
              <w:rPr>
                <w:rFonts w:cs="Arial"/>
                <w:sz w:val="24"/>
              </w:rPr>
              <w:sym w:font="Symbol" w:char="F0D6"/>
            </w:r>
            <w:r w:rsidRPr="00C84129">
              <w:rPr>
                <w:rFonts w:cs="Arial"/>
                <w:sz w:val="24"/>
              </w:rPr>
              <w:t xml:space="preserve"> 2.5mg only</w:t>
            </w:r>
          </w:p>
          <w:p w14:paraId="633D31C3" w14:textId="2EECDF86" w:rsidR="00735E20" w:rsidRPr="00C84129" w:rsidRDefault="00735E20" w:rsidP="002315F1">
            <w:pPr>
              <w:jc w:val="center"/>
              <w:rPr>
                <w:rFonts w:cs="Arial"/>
                <w:sz w:val="24"/>
              </w:rPr>
            </w:pPr>
            <w:r w:rsidRPr="00C84129">
              <w:rPr>
                <w:rFonts w:cs="Arial"/>
                <w:sz w:val="24"/>
              </w:rPr>
              <w:t>NICE TA 607</w:t>
            </w:r>
            <w:r w:rsidRPr="00C84129">
              <w:rPr>
                <w:rFonts w:cs="Arial"/>
                <w:sz w:val="24"/>
                <w:vertAlign w:val="superscript"/>
              </w:rPr>
              <w:t>20</w:t>
            </w:r>
          </w:p>
        </w:tc>
        <w:tc>
          <w:tcPr>
            <w:tcW w:w="1275" w:type="dxa"/>
            <w:shd w:val="clear" w:color="auto" w:fill="auto"/>
            <w:vAlign w:val="center"/>
          </w:tcPr>
          <w:p w14:paraId="3DAAF2DC" w14:textId="77777777" w:rsidR="00735E20" w:rsidRPr="00C84129" w:rsidRDefault="00735E20" w:rsidP="00C84129">
            <w:pPr>
              <w:jc w:val="center"/>
              <w:rPr>
                <w:rFonts w:cs="Arial"/>
                <w:sz w:val="24"/>
              </w:rPr>
            </w:pPr>
            <w:r w:rsidRPr="00C84129">
              <w:rPr>
                <w:rFonts w:cs="Arial"/>
                <w:sz w:val="24"/>
              </w:rPr>
              <w:t>x</w:t>
            </w:r>
          </w:p>
        </w:tc>
        <w:tc>
          <w:tcPr>
            <w:tcW w:w="1276" w:type="dxa"/>
            <w:shd w:val="clear" w:color="auto" w:fill="auto"/>
            <w:vAlign w:val="center"/>
          </w:tcPr>
          <w:p w14:paraId="6233C6C6" w14:textId="77777777" w:rsidR="00735E20" w:rsidRPr="00C84129" w:rsidRDefault="00735E20" w:rsidP="00C84129">
            <w:pPr>
              <w:jc w:val="center"/>
              <w:rPr>
                <w:rFonts w:cs="Arial"/>
                <w:sz w:val="24"/>
              </w:rPr>
            </w:pPr>
            <w:r w:rsidRPr="00C84129">
              <w:rPr>
                <w:rFonts w:cs="Arial"/>
                <w:sz w:val="24"/>
              </w:rPr>
              <w:t>x</w:t>
            </w:r>
          </w:p>
        </w:tc>
        <w:tc>
          <w:tcPr>
            <w:tcW w:w="1276" w:type="dxa"/>
            <w:vAlign w:val="center"/>
          </w:tcPr>
          <w:p w14:paraId="775D867F" w14:textId="77777777" w:rsidR="00735E20" w:rsidRPr="00C84129" w:rsidRDefault="00735E20" w:rsidP="00C84129">
            <w:pPr>
              <w:jc w:val="center"/>
              <w:rPr>
                <w:rFonts w:cs="Arial"/>
                <w:sz w:val="24"/>
              </w:rPr>
            </w:pPr>
            <w:r w:rsidRPr="00C84129">
              <w:rPr>
                <w:rFonts w:cs="Arial"/>
                <w:sz w:val="24"/>
              </w:rPr>
              <w:t>x</w:t>
            </w:r>
          </w:p>
        </w:tc>
      </w:tr>
      <w:tr w:rsidR="00735E20" w:rsidRPr="00735E20" w14:paraId="2882B772" w14:textId="77777777" w:rsidTr="00C84129">
        <w:trPr>
          <w:trHeight w:val="799"/>
          <w:jc w:val="center"/>
        </w:trPr>
        <w:tc>
          <w:tcPr>
            <w:tcW w:w="3681" w:type="dxa"/>
            <w:vAlign w:val="center"/>
          </w:tcPr>
          <w:p w14:paraId="766B4C36" w14:textId="0881A1D2" w:rsidR="00735E20" w:rsidRPr="00C84129" w:rsidRDefault="005467EF" w:rsidP="00C84129">
            <w:pPr>
              <w:pStyle w:val="NormalWeb"/>
              <w:shd w:val="clear" w:color="auto" w:fill="FFFFFF"/>
              <w:spacing w:after="143"/>
              <w:rPr>
                <w:rFonts w:cs="Arial"/>
                <w:color w:val="000000"/>
                <w:szCs w:val="22"/>
              </w:rPr>
            </w:pPr>
            <w:r>
              <w:rPr>
                <w:rFonts w:cs="Arial"/>
                <w:color w:val="000000"/>
                <w:szCs w:val="22"/>
              </w:rPr>
              <w:t>T</w:t>
            </w:r>
            <w:r w:rsidR="00735E20" w:rsidRPr="00C84129">
              <w:rPr>
                <w:rFonts w:cs="Arial"/>
                <w:color w:val="000000"/>
                <w:szCs w:val="22"/>
              </w:rPr>
              <w:t>ransient cerebral ischaemic attacks</w:t>
            </w:r>
          </w:p>
        </w:tc>
        <w:tc>
          <w:tcPr>
            <w:tcW w:w="1417" w:type="dxa"/>
            <w:shd w:val="clear" w:color="auto" w:fill="auto"/>
            <w:vAlign w:val="center"/>
          </w:tcPr>
          <w:p w14:paraId="0D57B925" w14:textId="77777777" w:rsidR="00735E20" w:rsidRPr="00C84129" w:rsidRDefault="00735E20" w:rsidP="00C84129">
            <w:pPr>
              <w:jc w:val="center"/>
              <w:rPr>
                <w:rFonts w:cs="Arial"/>
                <w:sz w:val="24"/>
              </w:rPr>
            </w:pPr>
            <w:r w:rsidRPr="00C84129">
              <w:rPr>
                <w:rFonts w:cs="Arial"/>
                <w:sz w:val="24"/>
              </w:rPr>
              <w:t>x</w:t>
            </w:r>
          </w:p>
        </w:tc>
        <w:tc>
          <w:tcPr>
            <w:tcW w:w="1560" w:type="dxa"/>
            <w:shd w:val="clear" w:color="auto" w:fill="auto"/>
            <w:vAlign w:val="center"/>
          </w:tcPr>
          <w:p w14:paraId="796667ED" w14:textId="77777777" w:rsidR="00735E20" w:rsidRPr="00C84129" w:rsidRDefault="00735E20" w:rsidP="00C84129">
            <w:pPr>
              <w:jc w:val="center"/>
              <w:rPr>
                <w:rFonts w:cs="Arial"/>
                <w:sz w:val="24"/>
              </w:rPr>
            </w:pPr>
            <w:r w:rsidRPr="00C84129">
              <w:rPr>
                <w:rFonts w:cs="Arial"/>
                <w:sz w:val="24"/>
              </w:rPr>
              <w:t>x</w:t>
            </w:r>
          </w:p>
        </w:tc>
        <w:tc>
          <w:tcPr>
            <w:tcW w:w="1275" w:type="dxa"/>
            <w:shd w:val="clear" w:color="auto" w:fill="auto"/>
            <w:vAlign w:val="center"/>
          </w:tcPr>
          <w:p w14:paraId="68ADE4BC" w14:textId="77777777" w:rsidR="00735E20" w:rsidRPr="00C84129" w:rsidRDefault="00735E20" w:rsidP="00C84129">
            <w:pPr>
              <w:jc w:val="center"/>
              <w:rPr>
                <w:rFonts w:cs="Arial"/>
                <w:sz w:val="24"/>
              </w:rPr>
            </w:pPr>
            <w:r w:rsidRPr="00C84129">
              <w:rPr>
                <w:rFonts w:cs="Arial"/>
                <w:sz w:val="24"/>
              </w:rPr>
              <w:t>x</w:t>
            </w:r>
          </w:p>
        </w:tc>
        <w:tc>
          <w:tcPr>
            <w:tcW w:w="1276" w:type="dxa"/>
            <w:shd w:val="clear" w:color="auto" w:fill="auto"/>
            <w:vAlign w:val="center"/>
          </w:tcPr>
          <w:p w14:paraId="722CE107" w14:textId="77777777" w:rsidR="00735E20" w:rsidRPr="00C84129" w:rsidRDefault="00735E20" w:rsidP="00C84129">
            <w:pPr>
              <w:jc w:val="center"/>
              <w:rPr>
                <w:rFonts w:cs="Arial"/>
                <w:sz w:val="24"/>
              </w:rPr>
            </w:pPr>
            <w:r w:rsidRPr="00C84129">
              <w:rPr>
                <w:rFonts w:cs="Arial"/>
                <w:sz w:val="24"/>
              </w:rPr>
              <w:t>x</w:t>
            </w:r>
          </w:p>
        </w:tc>
        <w:tc>
          <w:tcPr>
            <w:tcW w:w="1276" w:type="dxa"/>
            <w:vAlign w:val="center"/>
          </w:tcPr>
          <w:p w14:paraId="3EC1B67D" w14:textId="77777777" w:rsidR="00735E20" w:rsidRPr="00C84129" w:rsidRDefault="00735E20" w:rsidP="00C84129">
            <w:pPr>
              <w:jc w:val="center"/>
              <w:rPr>
                <w:rFonts w:cs="Arial"/>
                <w:sz w:val="24"/>
              </w:rPr>
            </w:pPr>
            <w:r w:rsidRPr="00C84129">
              <w:rPr>
                <w:rFonts w:cs="Arial"/>
                <w:sz w:val="24"/>
              </w:rPr>
              <w:sym w:font="Symbol" w:char="F0D6"/>
            </w:r>
          </w:p>
        </w:tc>
      </w:tr>
    </w:tbl>
    <w:p w14:paraId="641C7D01" w14:textId="38AF3A0E" w:rsidR="00FF706E" w:rsidRPr="00EB561B" w:rsidRDefault="00FF706E" w:rsidP="0093634D">
      <w:pPr>
        <w:pStyle w:val="Heading2"/>
        <w:rPr>
          <w:rFonts w:asciiTheme="majorHAnsi" w:hAnsiTheme="majorHAnsi" w:cstheme="majorHAnsi"/>
          <w:sz w:val="22"/>
          <w:szCs w:val="22"/>
        </w:rPr>
        <w:sectPr w:rsidR="00FF706E" w:rsidRPr="00EB561B" w:rsidSect="00FF706E">
          <w:footerReference w:type="default" r:id="rId9"/>
          <w:pgSz w:w="11900" w:h="16840"/>
          <w:pgMar w:top="1134" w:right="1021" w:bottom="1134" w:left="1134" w:header="567" w:footer="567" w:gutter="0"/>
          <w:cols w:space="708"/>
          <w:docGrid w:linePitch="360"/>
        </w:sectPr>
      </w:pPr>
    </w:p>
    <w:p w14:paraId="13F02865" w14:textId="6A778D1B" w:rsidR="00FF706E" w:rsidRPr="00EB561B" w:rsidRDefault="00FF706E" w:rsidP="00AC5AE4">
      <w:pPr>
        <w:pStyle w:val="ListParagraph"/>
        <w:rPr>
          <w:rFonts w:asciiTheme="majorHAnsi" w:hAnsiTheme="majorHAnsi" w:cstheme="majorHAnsi"/>
          <w:szCs w:val="22"/>
        </w:rPr>
      </w:pPr>
    </w:p>
    <w:tbl>
      <w:tblPr>
        <w:tblStyle w:val="TableGrid"/>
        <w:tblW w:w="5000" w:type="pct"/>
        <w:jc w:val="center"/>
        <w:tblLook w:val="04A0" w:firstRow="1" w:lastRow="0" w:firstColumn="1" w:lastColumn="0" w:noHBand="0" w:noVBand="1"/>
      </w:tblPr>
      <w:tblGrid>
        <w:gridCol w:w="2326"/>
        <w:gridCol w:w="1704"/>
        <w:gridCol w:w="1620"/>
        <w:gridCol w:w="2023"/>
        <w:gridCol w:w="2062"/>
      </w:tblGrid>
      <w:tr w:rsidR="009230F1" w:rsidRPr="00EB561B" w14:paraId="3BDEE8A2" w14:textId="77777777" w:rsidTr="006352E6">
        <w:trPr>
          <w:tblHeader/>
          <w:jc w:val="center"/>
        </w:trPr>
        <w:tc>
          <w:tcPr>
            <w:tcW w:w="5000" w:type="pct"/>
            <w:gridSpan w:val="5"/>
            <w:shd w:val="clear" w:color="auto" w:fill="F2F2F2" w:themeFill="background1" w:themeFillShade="F2"/>
            <w:vAlign w:val="center"/>
          </w:tcPr>
          <w:p w14:paraId="7BE28395" w14:textId="5629CEF5" w:rsidR="009230F1" w:rsidRPr="00C84129" w:rsidRDefault="002D580A" w:rsidP="006352E6">
            <w:pPr>
              <w:pStyle w:val="Heading2"/>
            </w:pPr>
            <w:bookmarkStart w:id="29" w:name="_Toc363736442"/>
            <w:bookmarkStart w:id="30" w:name="_Toc365717729"/>
            <w:bookmarkStart w:id="31" w:name="_Toc96868245"/>
            <w:bookmarkStart w:id="32" w:name="_Toc104910441"/>
            <w:bookmarkStart w:id="33" w:name="_Toc106708889"/>
            <w:r>
              <w:t>Mode of a</w:t>
            </w:r>
            <w:r w:rsidR="009230F1" w:rsidRPr="00EB561B">
              <w:t>ction</w:t>
            </w:r>
            <w:bookmarkEnd w:id="29"/>
            <w:bookmarkEnd w:id="30"/>
            <w:bookmarkEnd w:id="31"/>
            <w:bookmarkEnd w:id="32"/>
            <w:bookmarkEnd w:id="33"/>
          </w:p>
        </w:tc>
      </w:tr>
      <w:tr w:rsidR="009230F1" w:rsidRPr="00EB561B" w14:paraId="2309F14D" w14:textId="77777777" w:rsidTr="00852362">
        <w:trPr>
          <w:tblHeader/>
          <w:jc w:val="center"/>
        </w:trPr>
        <w:tc>
          <w:tcPr>
            <w:tcW w:w="1195" w:type="pct"/>
            <w:shd w:val="clear" w:color="auto" w:fill="DBE5F1" w:themeFill="accent1" w:themeFillTint="33"/>
            <w:vAlign w:val="center"/>
          </w:tcPr>
          <w:p w14:paraId="718F7247" w14:textId="4CC97D64" w:rsidR="009230F1" w:rsidRPr="00C84129" w:rsidRDefault="009230F1" w:rsidP="006352E6">
            <w:pPr>
              <w:rPr>
                <w:b/>
                <w:bCs/>
              </w:rPr>
            </w:pPr>
            <w:r w:rsidRPr="00C84129">
              <w:rPr>
                <w:b/>
                <w:bCs/>
              </w:rPr>
              <w:t>Dabigatran (Pradaxa</w:t>
            </w:r>
            <w:r w:rsidRPr="00C84129">
              <w:rPr>
                <w:b/>
                <w:bCs/>
              </w:rPr>
              <w:sym w:font="Symbol" w:char="F0D2"/>
            </w:r>
            <w:r w:rsidRPr="00C84129">
              <w:rPr>
                <w:b/>
                <w:bCs/>
              </w:rPr>
              <w:t>)</w:t>
            </w:r>
            <w:r w:rsidRPr="00C84129">
              <w:rPr>
                <w:b/>
                <w:bCs/>
                <w:vertAlign w:val="superscript"/>
              </w:rPr>
              <w:t>1</w:t>
            </w:r>
            <w:r w:rsidR="00172937" w:rsidRPr="00C84129">
              <w:rPr>
                <w:b/>
                <w:bCs/>
                <w:vertAlign w:val="superscript"/>
              </w:rPr>
              <w:t>,5</w:t>
            </w:r>
          </w:p>
        </w:tc>
        <w:tc>
          <w:tcPr>
            <w:tcW w:w="875" w:type="pct"/>
            <w:shd w:val="clear" w:color="auto" w:fill="F2DBDB" w:themeFill="accent2" w:themeFillTint="33"/>
            <w:vAlign w:val="center"/>
          </w:tcPr>
          <w:p w14:paraId="27200F6C" w14:textId="77777777" w:rsidR="009230F1" w:rsidRPr="00C84129" w:rsidRDefault="009230F1" w:rsidP="006352E6">
            <w:pPr>
              <w:rPr>
                <w:b/>
                <w:bCs/>
              </w:rPr>
            </w:pPr>
            <w:r w:rsidRPr="00C84129">
              <w:rPr>
                <w:b/>
                <w:bCs/>
              </w:rPr>
              <w:t>Rivaroxaban (Xarelto</w:t>
            </w:r>
            <w:r w:rsidRPr="00C84129">
              <w:rPr>
                <w:b/>
                <w:bCs/>
              </w:rPr>
              <w:sym w:font="Symbol" w:char="F0D2"/>
            </w:r>
            <w:r w:rsidRPr="00C84129">
              <w:rPr>
                <w:rFonts w:cs="Arial"/>
                <w:b/>
                <w:bCs/>
              </w:rPr>
              <w:t>▼</w:t>
            </w:r>
            <w:r w:rsidRPr="00C84129">
              <w:rPr>
                <w:b/>
                <w:bCs/>
              </w:rPr>
              <w:t>)</w:t>
            </w:r>
            <w:r w:rsidRPr="00C84129">
              <w:rPr>
                <w:b/>
                <w:bCs/>
                <w:vertAlign w:val="superscript"/>
              </w:rPr>
              <w:t>2</w:t>
            </w:r>
          </w:p>
        </w:tc>
        <w:tc>
          <w:tcPr>
            <w:tcW w:w="832" w:type="pct"/>
            <w:shd w:val="clear" w:color="auto" w:fill="E5DFEC" w:themeFill="accent4" w:themeFillTint="33"/>
            <w:vAlign w:val="center"/>
          </w:tcPr>
          <w:p w14:paraId="13FC5F01" w14:textId="77777777" w:rsidR="009230F1" w:rsidRPr="00C84129" w:rsidRDefault="009230F1" w:rsidP="006352E6">
            <w:pPr>
              <w:rPr>
                <w:b/>
                <w:bCs/>
              </w:rPr>
            </w:pPr>
            <w:r w:rsidRPr="00C84129">
              <w:rPr>
                <w:b/>
                <w:bCs/>
              </w:rPr>
              <w:t>Apixaban (Eliquis</w:t>
            </w:r>
            <w:r w:rsidRPr="00C84129">
              <w:rPr>
                <w:b/>
                <w:bCs/>
              </w:rPr>
              <w:sym w:font="Symbol" w:char="F0D2"/>
            </w:r>
            <w:r w:rsidRPr="00C84129">
              <w:rPr>
                <w:b/>
                <w:bCs/>
              </w:rPr>
              <w:t>)</w:t>
            </w:r>
            <w:r w:rsidRPr="00C84129">
              <w:rPr>
                <w:b/>
                <w:bCs/>
                <w:vertAlign w:val="superscript"/>
              </w:rPr>
              <w:t>3</w:t>
            </w:r>
          </w:p>
        </w:tc>
        <w:tc>
          <w:tcPr>
            <w:tcW w:w="1039" w:type="pct"/>
            <w:shd w:val="clear" w:color="auto" w:fill="FDE9D9" w:themeFill="accent6" w:themeFillTint="33"/>
            <w:vAlign w:val="center"/>
          </w:tcPr>
          <w:p w14:paraId="53D568C0" w14:textId="79321217" w:rsidR="009230F1" w:rsidRPr="00C84129" w:rsidRDefault="009230F1" w:rsidP="006352E6">
            <w:pPr>
              <w:rPr>
                <w:b/>
                <w:bCs/>
              </w:rPr>
            </w:pPr>
            <w:r w:rsidRPr="00C84129">
              <w:rPr>
                <w:b/>
                <w:bCs/>
              </w:rPr>
              <w:t>Edoxaban (Lixiana</w:t>
            </w:r>
            <w:r w:rsidRPr="00C84129">
              <w:rPr>
                <w:b/>
                <w:bCs/>
              </w:rPr>
              <w:sym w:font="Symbol" w:char="F0D2"/>
            </w:r>
            <w:r w:rsidRPr="00C84129">
              <w:rPr>
                <w:b/>
                <w:bCs/>
              </w:rPr>
              <w:t>)</w:t>
            </w:r>
            <w:r w:rsidRPr="00C84129">
              <w:rPr>
                <w:b/>
                <w:bCs/>
                <w:vertAlign w:val="superscript"/>
              </w:rPr>
              <w:t>4</w:t>
            </w:r>
          </w:p>
        </w:tc>
        <w:tc>
          <w:tcPr>
            <w:tcW w:w="1059" w:type="pct"/>
            <w:shd w:val="clear" w:color="auto" w:fill="EAF1DD" w:themeFill="accent3" w:themeFillTint="33"/>
            <w:vAlign w:val="center"/>
          </w:tcPr>
          <w:p w14:paraId="3D208137" w14:textId="1373F154" w:rsidR="009230F1" w:rsidRPr="00C84129" w:rsidRDefault="009230F1" w:rsidP="006352E6">
            <w:pPr>
              <w:rPr>
                <w:b/>
                <w:bCs/>
              </w:rPr>
            </w:pPr>
            <w:r w:rsidRPr="00C84129">
              <w:rPr>
                <w:b/>
                <w:bCs/>
              </w:rPr>
              <w:t>Warfarin</w:t>
            </w:r>
            <w:r w:rsidR="004350D5" w:rsidRPr="00C84129">
              <w:rPr>
                <w:b/>
                <w:bCs/>
                <w:vertAlign w:val="superscript"/>
              </w:rPr>
              <w:t>5</w:t>
            </w:r>
            <w:r w:rsidR="00EE50A0" w:rsidRPr="00C84129">
              <w:rPr>
                <w:b/>
                <w:bCs/>
                <w:vertAlign w:val="superscript"/>
              </w:rPr>
              <w:t>,6</w:t>
            </w:r>
          </w:p>
        </w:tc>
      </w:tr>
      <w:tr w:rsidR="009230F1" w:rsidRPr="00EB561B" w14:paraId="0F6D5140" w14:textId="77777777" w:rsidTr="006352E6">
        <w:trPr>
          <w:trHeight w:val="1757"/>
          <w:jc w:val="center"/>
        </w:trPr>
        <w:tc>
          <w:tcPr>
            <w:tcW w:w="1195" w:type="pct"/>
            <w:shd w:val="clear" w:color="auto" w:fill="auto"/>
            <w:vAlign w:val="center"/>
          </w:tcPr>
          <w:p w14:paraId="4F7AD40A" w14:textId="2FFD2805" w:rsidR="009230F1" w:rsidRPr="00EB561B" w:rsidRDefault="008C5614" w:rsidP="006352E6">
            <w:r w:rsidRPr="00EB561B">
              <w:t>Direct t</w:t>
            </w:r>
            <w:r w:rsidR="009230F1" w:rsidRPr="00EB561B">
              <w:t>hrombin</w:t>
            </w:r>
            <w:r w:rsidRPr="00EB561B">
              <w:t xml:space="preserve"> inhibitor</w:t>
            </w:r>
          </w:p>
        </w:tc>
        <w:tc>
          <w:tcPr>
            <w:tcW w:w="875" w:type="pct"/>
            <w:shd w:val="clear" w:color="auto" w:fill="auto"/>
            <w:vAlign w:val="center"/>
          </w:tcPr>
          <w:p w14:paraId="36255EE5" w14:textId="18D2FE1D" w:rsidR="009230F1" w:rsidRPr="00EB561B" w:rsidRDefault="009230F1" w:rsidP="006352E6">
            <w:bookmarkStart w:id="34" w:name="OLE_LINK12"/>
            <w:bookmarkStart w:id="35" w:name="OLE_LINK13"/>
            <w:r w:rsidRPr="00EB561B">
              <w:t xml:space="preserve">Direct inhibitor of </w:t>
            </w:r>
            <w:r w:rsidR="008C5614" w:rsidRPr="00EB561B">
              <w:t>f</w:t>
            </w:r>
            <w:r w:rsidRPr="00EB561B">
              <w:t>actor Xa</w:t>
            </w:r>
            <w:bookmarkEnd w:id="34"/>
            <w:bookmarkEnd w:id="35"/>
          </w:p>
        </w:tc>
        <w:tc>
          <w:tcPr>
            <w:tcW w:w="832" w:type="pct"/>
            <w:shd w:val="clear" w:color="auto" w:fill="auto"/>
            <w:vAlign w:val="center"/>
          </w:tcPr>
          <w:p w14:paraId="52B65A2C" w14:textId="728F1E0C" w:rsidR="009230F1" w:rsidRPr="00EB561B" w:rsidRDefault="009230F1" w:rsidP="006352E6">
            <w:r w:rsidRPr="00EB561B">
              <w:t xml:space="preserve">Direct inhibitor of </w:t>
            </w:r>
            <w:r w:rsidR="008C5614" w:rsidRPr="00EB561B">
              <w:t>f</w:t>
            </w:r>
            <w:r w:rsidRPr="00EB561B">
              <w:t>actor Xa</w:t>
            </w:r>
          </w:p>
        </w:tc>
        <w:tc>
          <w:tcPr>
            <w:tcW w:w="1039" w:type="pct"/>
            <w:shd w:val="clear" w:color="auto" w:fill="auto"/>
            <w:vAlign w:val="center"/>
          </w:tcPr>
          <w:p w14:paraId="38AE21CD" w14:textId="5BFB0A23" w:rsidR="009230F1" w:rsidRPr="00EB561B" w:rsidRDefault="009230F1" w:rsidP="006352E6">
            <w:r w:rsidRPr="00EB561B">
              <w:t xml:space="preserve">Direct inhibitor of </w:t>
            </w:r>
            <w:r w:rsidR="008C5614" w:rsidRPr="00EB561B">
              <w:t>f</w:t>
            </w:r>
            <w:r w:rsidRPr="00EB561B">
              <w:t>actor Xa</w:t>
            </w:r>
          </w:p>
        </w:tc>
        <w:tc>
          <w:tcPr>
            <w:tcW w:w="1059" w:type="pct"/>
            <w:vAlign w:val="center"/>
          </w:tcPr>
          <w:p w14:paraId="1F01497F" w14:textId="5F665C7F" w:rsidR="009230F1" w:rsidRPr="00EB561B" w:rsidRDefault="009230F1" w:rsidP="006352E6">
            <w:r w:rsidRPr="00EB561B">
              <w:t xml:space="preserve">Inhibits the synthesis of vitamin K dependent clotting factors, which include </w:t>
            </w:r>
            <w:r w:rsidR="008C5614" w:rsidRPr="00EB561B">
              <w:t>f</w:t>
            </w:r>
            <w:r w:rsidRPr="00EB561B">
              <w:t>actors II, VII, IX and X, and the anticoagulant proteins C and S</w:t>
            </w:r>
          </w:p>
        </w:tc>
      </w:tr>
    </w:tbl>
    <w:p w14:paraId="79515B4E" w14:textId="3A690E4D" w:rsidR="00FF706E" w:rsidRPr="00EB561B" w:rsidRDefault="00FF706E">
      <w:pPr>
        <w:rPr>
          <w:rFonts w:asciiTheme="majorHAnsi" w:hAnsiTheme="majorHAnsi" w:cstheme="majorHAnsi"/>
          <w:szCs w:val="22"/>
        </w:rPr>
      </w:pPr>
    </w:p>
    <w:p w14:paraId="6B567A8F" w14:textId="77777777" w:rsidR="0005253C" w:rsidRPr="00EB561B" w:rsidRDefault="0005253C">
      <w:pPr>
        <w:rPr>
          <w:rFonts w:asciiTheme="majorHAnsi" w:hAnsiTheme="majorHAnsi" w:cstheme="majorHAnsi"/>
          <w:szCs w:val="22"/>
        </w:rPr>
      </w:pPr>
    </w:p>
    <w:tbl>
      <w:tblPr>
        <w:tblStyle w:val="TableGrid"/>
        <w:tblW w:w="5000" w:type="pct"/>
        <w:jc w:val="center"/>
        <w:tblLook w:val="04A0" w:firstRow="1" w:lastRow="0" w:firstColumn="1" w:lastColumn="0" w:noHBand="0" w:noVBand="1"/>
      </w:tblPr>
      <w:tblGrid>
        <w:gridCol w:w="1947"/>
        <w:gridCol w:w="1947"/>
        <w:gridCol w:w="1947"/>
        <w:gridCol w:w="1947"/>
        <w:gridCol w:w="1947"/>
      </w:tblGrid>
      <w:tr w:rsidR="00CB300D" w:rsidRPr="00EB561B" w14:paraId="2E692F62" w14:textId="02DFFC24" w:rsidTr="006352E6">
        <w:trPr>
          <w:tblHeader/>
          <w:jc w:val="center"/>
        </w:trPr>
        <w:tc>
          <w:tcPr>
            <w:tcW w:w="5000" w:type="pct"/>
            <w:gridSpan w:val="5"/>
            <w:shd w:val="clear" w:color="auto" w:fill="F2F2F2" w:themeFill="background1" w:themeFillShade="F2"/>
            <w:vAlign w:val="center"/>
          </w:tcPr>
          <w:p w14:paraId="65D8AA8C" w14:textId="03388562" w:rsidR="00CB300D" w:rsidRPr="00EB561B" w:rsidRDefault="00CB300D" w:rsidP="00C84129">
            <w:pPr>
              <w:pStyle w:val="Heading2"/>
            </w:pPr>
            <w:bookmarkStart w:id="36" w:name="_Toc363736443"/>
            <w:bookmarkStart w:id="37" w:name="_Toc365717730"/>
            <w:bookmarkStart w:id="38" w:name="_Toc96868246"/>
            <w:bookmarkStart w:id="39" w:name="_Toc104910442"/>
            <w:bookmarkStart w:id="40" w:name="_Toc106708890"/>
            <w:r w:rsidRPr="00EB561B">
              <w:t>Preparation (oral tablets or capsules)</w:t>
            </w:r>
            <w:bookmarkEnd w:id="36"/>
            <w:bookmarkEnd w:id="37"/>
            <w:bookmarkEnd w:id="38"/>
            <w:bookmarkEnd w:id="39"/>
            <w:bookmarkEnd w:id="40"/>
          </w:p>
        </w:tc>
      </w:tr>
      <w:tr w:rsidR="000C7431" w:rsidRPr="00EB561B" w14:paraId="49A9C6FD" w14:textId="4413A2EA" w:rsidTr="00852362">
        <w:trPr>
          <w:tblHeader/>
          <w:jc w:val="center"/>
        </w:trPr>
        <w:tc>
          <w:tcPr>
            <w:tcW w:w="1000" w:type="pct"/>
            <w:shd w:val="clear" w:color="auto" w:fill="DBE5F1" w:themeFill="accent1" w:themeFillTint="33"/>
            <w:vAlign w:val="center"/>
          </w:tcPr>
          <w:p w14:paraId="144B9A6C" w14:textId="3242368D" w:rsidR="000C7431" w:rsidRPr="00C84129" w:rsidRDefault="000C7431" w:rsidP="00C84129">
            <w:pPr>
              <w:rPr>
                <w:b/>
                <w:bCs/>
              </w:rPr>
            </w:pPr>
            <w:r w:rsidRPr="00C84129">
              <w:rPr>
                <w:b/>
                <w:bCs/>
              </w:rPr>
              <w:t>Dabigatran (Pradaxa</w:t>
            </w:r>
            <w:r w:rsidRPr="00C84129">
              <w:rPr>
                <w:b/>
                <w:bCs/>
              </w:rPr>
              <w:sym w:font="Symbol" w:char="F0D2"/>
            </w:r>
            <w:r w:rsidRPr="00C84129">
              <w:rPr>
                <w:b/>
                <w:bCs/>
              </w:rPr>
              <w:t>)</w:t>
            </w:r>
            <w:r w:rsidRPr="00C84129">
              <w:rPr>
                <w:b/>
                <w:bCs/>
                <w:vertAlign w:val="superscript"/>
              </w:rPr>
              <w:t>1</w:t>
            </w:r>
          </w:p>
        </w:tc>
        <w:tc>
          <w:tcPr>
            <w:tcW w:w="1000" w:type="pct"/>
            <w:shd w:val="clear" w:color="auto" w:fill="F2DBDB" w:themeFill="accent2" w:themeFillTint="33"/>
            <w:vAlign w:val="center"/>
          </w:tcPr>
          <w:p w14:paraId="336FD037" w14:textId="6D88C9CC" w:rsidR="000C7431" w:rsidRPr="00C84129" w:rsidRDefault="000C7431" w:rsidP="00C84129">
            <w:pPr>
              <w:rPr>
                <w:b/>
                <w:bCs/>
              </w:rPr>
            </w:pPr>
            <w:r w:rsidRPr="00C84129">
              <w:rPr>
                <w:b/>
                <w:bCs/>
              </w:rPr>
              <w:t>Rivaroxaban (Xarelto</w:t>
            </w:r>
            <w:r w:rsidRPr="00C84129">
              <w:rPr>
                <w:b/>
                <w:bCs/>
              </w:rPr>
              <w:sym w:font="Symbol" w:char="F0D2"/>
            </w:r>
            <w:r w:rsidRPr="00C84129">
              <w:rPr>
                <w:rFonts w:cs="Arial"/>
                <w:b/>
                <w:bCs/>
              </w:rPr>
              <w:t>▼</w:t>
            </w:r>
            <w:r w:rsidRPr="00C84129">
              <w:rPr>
                <w:b/>
                <w:bCs/>
              </w:rPr>
              <w:t>)</w:t>
            </w:r>
            <w:r w:rsidRPr="00C84129">
              <w:rPr>
                <w:b/>
                <w:bCs/>
                <w:vertAlign w:val="superscript"/>
              </w:rPr>
              <w:t>2</w:t>
            </w:r>
            <w:r w:rsidR="00295CD9" w:rsidRPr="00C84129">
              <w:rPr>
                <w:b/>
                <w:bCs/>
                <w:vertAlign w:val="superscript"/>
              </w:rPr>
              <w:t>,</w:t>
            </w:r>
            <w:r w:rsidR="000864AE">
              <w:rPr>
                <w:b/>
                <w:bCs/>
                <w:vertAlign w:val="superscript"/>
              </w:rPr>
              <w:t>6</w:t>
            </w:r>
          </w:p>
        </w:tc>
        <w:tc>
          <w:tcPr>
            <w:tcW w:w="1000" w:type="pct"/>
            <w:shd w:val="clear" w:color="auto" w:fill="E5DFEC" w:themeFill="accent4" w:themeFillTint="33"/>
            <w:vAlign w:val="center"/>
          </w:tcPr>
          <w:p w14:paraId="6393A38C" w14:textId="1872DC4E" w:rsidR="000C7431" w:rsidRPr="00C84129" w:rsidRDefault="000C7431" w:rsidP="00C84129">
            <w:pPr>
              <w:rPr>
                <w:b/>
                <w:bCs/>
              </w:rPr>
            </w:pPr>
            <w:r w:rsidRPr="00C84129">
              <w:rPr>
                <w:b/>
                <w:bCs/>
              </w:rPr>
              <w:t>Apixaban (Eliquis</w:t>
            </w:r>
            <w:r w:rsidRPr="00C84129">
              <w:rPr>
                <w:b/>
                <w:bCs/>
              </w:rPr>
              <w:sym w:font="Symbol" w:char="F0D2"/>
            </w:r>
            <w:r w:rsidRPr="00C84129">
              <w:rPr>
                <w:b/>
                <w:bCs/>
              </w:rPr>
              <w:t>)</w:t>
            </w:r>
            <w:r w:rsidRPr="00C84129">
              <w:rPr>
                <w:b/>
                <w:bCs/>
                <w:vertAlign w:val="superscript"/>
              </w:rPr>
              <w:t>3</w:t>
            </w:r>
          </w:p>
        </w:tc>
        <w:tc>
          <w:tcPr>
            <w:tcW w:w="1000" w:type="pct"/>
            <w:shd w:val="clear" w:color="auto" w:fill="FDE9D9" w:themeFill="accent6" w:themeFillTint="33"/>
            <w:vAlign w:val="center"/>
          </w:tcPr>
          <w:p w14:paraId="31F61C55" w14:textId="10ECF093" w:rsidR="000C7431" w:rsidRPr="00C84129" w:rsidRDefault="000C7431" w:rsidP="00C84129">
            <w:pPr>
              <w:rPr>
                <w:b/>
                <w:bCs/>
              </w:rPr>
            </w:pPr>
            <w:r w:rsidRPr="00C84129">
              <w:rPr>
                <w:b/>
                <w:bCs/>
              </w:rPr>
              <w:t>Edoxaban (Lixiana</w:t>
            </w:r>
            <w:r w:rsidRPr="00C84129">
              <w:rPr>
                <w:b/>
                <w:bCs/>
              </w:rPr>
              <w:sym w:font="Symbol" w:char="F0D2"/>
            </w:r>
            <w:r w:rsidRPr="00C84129">
              <w:rPr>
                <w:b/>
                <w:bCs/>
              </w:rPr>
              <w:t>)</w:t>
            </w:r>
            <w:r w:rsidRPr="00C84129">
              <w:rPr>
                <w:b/>
                <w:bCs/>
                <w:vertAlign w:val="superscript"/>
              </w:rPr>
              <w:t>4</w:t>
            </w:r>
          </w:p>
        </w:tc>
        <w:tc>
          <w:tcPr>
            <w:tcW w:w="1000" w:type="pct"/>
            <w:shd w:val="clear" w:color="auto" w:fill="EAF1DD" w:themeFill="accent3" w:themeFillTint="33"/>
            <w:vAlign w:val="center"/>
          </w:tcPr>
          <w:p w14:paraId="405DC49F" w14:textId="444770F1" w:rsidR="000C7431" w:rsidRPr="00C84129" w:rsidRDefault="000C7431" w:rsidP="00C84129">
            <w:pPr>
              <w:rPr>
                <w:b/>
                <w:bCs/>
              </w:rPr>
            </w:pPr>
            <w:r w:rsidRPr="00C84129">
              <w:rPr>
                <w:b/>
                <w:bCs/>
              </w:rPr>
              <w:t>Warfarin</w:t>
            </w:r>
            <w:r w:rsidR="00306F69" w:rsidRPr="00C84129">
              <w:rPr>
                <w:b/>
                <w:bCs/>
                <w:vertAlign w:val="superscript"/>
              </w:rPr>
              <w:t>5</w:t>
            </w:r>
          </w:p>
        </w:tc>
      </w:tr>
      <w:tr w:rsidR="000C7431" w:rsidRPr="00EB561B" w14:paraId="6A5C1EE2" w14:textId="684CEAE4" w:rsidTr="006352E6">
        <w:trPr>
          <w:trHeight w:val="2585"/>
          <w:jc w:val="center"/>
        </w:trPr>
        <w:tc>
          <w:tcPr>
            <w:tcW w:w="1000" w:type="pct"/>
            <w:shd w:val="clear" w:color="auto" w:fill="auto"/>
            <w:vAlign w:val="center"/>
          </w:tcPr>
          <w:p w14:paraId="1143B726" w14:textId="60F96671" w:rsidR="000C7431" w:rsidRPr="00EB561B" w:rsidRDefault="000C7431" w:rsidP="00C84129">
            <w:r w:rsidRPr="00EB561B">
              <w:t xml:space="preserve">75mg, 110mg and 150mg </w:t>
            </w:r>
            <w:r w:rsidR="008A4692" w:rsidRPr="00EB561B">
              <w:t>capsules (gelatin free)</w:t>
            </w:r>
          </w:p>
        </w:tc>
        <w:tc>
          <w:tcPr>
            <w:tcW w:w="1000" w:type="pct"/>
            <w:shd w:val="clear" w:color="auto" w:fill="auto"/>
            <w:vAlign w:val="center"/>
          </w:tcPr>
          <w:p w14:paraId="6DD5DB1C" w14:textId="660A8F7A" w:rsidR="000C7431" w:rsidRPr="00EB561B" w:rsidRDefault="000C7431" w:rsidP="00C84129">
            <w:r w:rsidRPr="00EB561B">
              <w:t xml:space="preserve">2.5mg, 10mg, 15mg and 20mg </w:t>
            </w:r>
            <w:r w:rsidR="008A4692" w:rsidRPr="00EB561B">
              <w:t>tablets</w:t>
            </w:r>
          </w:p>
        </w:tc>
        <w:tc>
          <w:tcPr>
            <w:tcW w:w="1000" w:type="pct"/>
            <w:shd w:val="clear" w:color="auto" w:fill="auto"/>
            <w:vAlign w:val="center"/>
          </w:tcPr>
          <w:p w14:paraId="4043A4C0" w14:textId="4B5D78AE" w:rsidR="000C7431" w:rsidRPr="00EB561B" w:rsidRDefault="000C7431" w:rsidP="00C84129">
            <w:r w:rsidRPr="00EB561B">
              <w:t xml:space="preserve">2.5mg and 5mg </w:t>
            </w:r>
            <w:r w:rsidR="008A4692" w:rsidRPr="00EB561B">
              <w:t xml:space="preserve">tablets </w:t>
            </w:r>
          </w:p>
        </w:tc>
        <w:tc>
          <w:tcPr>
            <w:tcW w:w="1000" w:type="pct"/>
            <w:shd w:val="clear" w:color="auto" w:fill="auto"/>
            <w:vAlign w:val="center"/>
          </w:tcPr>
          <w:p w14:paraId="7E144305" w14:textId="6D43DA5D" w:rsidR="000C7431" w:rsidRPr="00EB561B" w:rsidRDefault="000C7431" w:rsidP="00C84129">
            <w:r w:rsidRPr="00EB561B">
              <w:t>15mg, 30mg and 60mg</w:t>
            </w:r>
            <w:r w:rsidR="008A4692" w:rsidRPr="00EB561B">
              <w:t xml:space="preserve"> tablets</w:t>
            </w:r>
          </w:p>
        </w:tc>
        <w:tc>
          <w:tcPr>
            <w:tcW w:w="1000" w:type="pct"/>
            <w:vAlign w:val="center"/>
          </w:tcPr>
          <w:p w14:paraId="69DC1294" w14:textId="5818A828" w:rsidR="000C7431" w:rsidRPr="00EB561B" w:rsidRDefault="00CB300D" w:rsidP="00C84129">
            <w:r w:rsidRPr="00EB561B">
              <w:t>0.5mg, 1mg, 3mg, 5mg</w:t>
            </w:r>
            <w:r w:rsidR="008A4692" w:rsidRPr="00EB561B">
              <w:t xml:space="preserve"> tablets</w:t>
            </w:r>
          </w:p>
        </w:tc>
      </w:tr>
    </w:tbl>
    <w:p w14:paraId="21DC0486" w14:textId="44C29B51" w:rsidR="006352E6" w:rsidRDefault="006352E6">
      <w:pPr>
        <w:rPr>
          <w:rFonts w:asciiTheme="majorHAnsi" w:hAnsiTheme="majorHAnsi" w:cstheme="majorHAnsi"/>
          <w:szCs w:val="22"/>
        </w:rPr>
      </w:pPr>
      <w:r>
        <w:rPr>
          <w:rFonts w:asciiTheme="majorHAnsi" w:hAnsiTheme="majorHAnsi" w:cstheme="majorHAnsi"/>
          <w:szCs w:val="22"/>
        </w:rPr>
        <w:br w:type="page"/>
      </w:r>
    </w:p>
    <w:p w14:paraId="78CD5E2B" w14:textId="77777777" w:rsidR="000F7F87" w:rsidRPr="00EB561B" w:rsidRDefault="000F7F87">
      <w:pPr>
        <w:rPr>
          <w:rFonts w:asciiTheme="majorHAnsi" w:hAnsiTheme="majorHAnsi" w:cstheme="majorHAnsi"/>
          <w:szCs w:val="22"/>
        </w:rPr>
      </w:pPr>
    </w:p>
    <w:tbl>
      <w:tblPr>
        <w:tblStyle w:val="TableGrid"/>
        <w:tblpPr w:leftFromText="180" w:rightFromText="180" w:vertAnchor="text" w:horzAnchor="margin" w:tblpY="-32"/>
        <w:tblW w:w="5000" w:type="pct"/>
        <w:tblLook w:val="04A0" w:firstRow="1" w:lastRow="0" w:firstColumn="1" w:lastColumn="0" w:noHBand="0" w:noVBand="1"/>
      </w:tblPr>
      <w:tblGrid>
        <w:gridCol w:w="2689"/>
        <w:gridCol w:w="7046"/>
      </w:tblGrid>
      <w:tr w:rsidR="00AD2AF4" w:rsidRPr="00EB561B" w14:paraId="4E386903" w14:textId="77777777" w:rsidTr="00852362">
        <w:trPr>
          <w:cantSplit/>
          <w:trHeight w:val="841"/>
        </w:trPr>
        <w:tc>
          <w:tcPr>
            <w:tcW w:w="5000" w:type="pct"/>
            <w:gridSpan w:val="2"/>
            <w:shd w:val="clear" w:color="auto" w:fill="F2F2F2" w:themeFill="background1" w:themeFillShade="F2"/>
            <w:vAlign w:val="center"/>
          </w:tcPr>
          <w:p w14:paraId="0C69B459" w14:textId="4C32A265" w:rsidR="00AD2AF4" w:rsidRPr="00EB561B" w:rsidRDefault="009F099D" w:rsidP="006352E6">
            <w:pPr>
              <w:pStyle w:val="Heading2"/>
            </w:pPr>
            <w:bookmarkStart w:id="41" w:name="_Toc104910443"/>
            <w:bookmarkStart w:id="42" w:name="_Toc106708891"/>
            <w:r w:rsidRPr="006352E6">
              <w:t>Difficulty</w:t>
            </w:r>
            <w:r w:rsidRPr="00EB561B">
              <w:t xml:space="preserve"> swallowing </w:t>
            </w:r>
            <w:r w:rsidR="00AD2AF4" w:rsidRPr="00EB561B">
              <w:t>medication</w:t>
            </w:r>
            <w:bookmarkEnd w:id="41"/>
            <w:bookmarkEnd w:id="42"/>
            <w:r w:rsidR="00AD2AF4" w:rsidRPr="00EB561B">
              <w:t xml:space="preserve"> </w:t>
            </w:r>
          </w:p>
        </w:tc>
      </w:tr>
      <w:tr w:rsidR="006352E6" w:rsidRPr="00EB561B" w14:paraId="44BC1552" w14:textId="77777777" w:rsidTr="00852362">
        <w:trPr>
          <w:cantSplit/>
          <w:trHeight w:val="832"/>
        </w:trPr>
        <w:tc>
          <w:tcPr>
            <w:tcW w:w="1381" w:type="pct"/>
            <w:shd w:val="clear" w:color="auto" w:fill="DBE5F1" w:themeFill="accent1" w:themeFillTint="33"/>
            <w:vAlign w:val="center"/>
          </w:tcPr>
          <w:p w14:paraId="11BEBD87" w14:textId="69AB7A44" w:rsidR="006352E6" w:rsidRPr="006352E6" w:rsidRDefault="006352E6" w:rsidP="006352E6">
            <w:pPr>
              <w:rPr>
                <w:b/>
                <w:bCs/>
              </w:rPr>
            </w:pPr>
            <w:r w:rsidRPr="006352E6">
              <w:rPr>
                <w:b/>
                <w:bCs/>
              </w:rPr>
              <w:t xml:space="preserve">Dabigatran </w:t>
            </w:r>
            <w:r w:rsidR="007D1B0D">
              <w:rPr>
                <w:b/>
                <w:bCs/>
              </w:rPr>
              <w:t xml:space="preserve"> </w:t>
            </w:r>
            <w:r w:rsidRPr="006352E6">
              <w:rPr>
                <w:b/>
                <w:bCs/>
              </w:rPr>
              <w:t>(Pradaxa</w:t>
            </w:r>
            <w:r w:rsidRPr="006352E6">
              <w:rPr>
                <w:b/>
                <w:bCs/>
              </w:rPr>
              <w:sym w:font="Symbol" w:char="F0D2"/>
            </w:r>
            <w:r w:rsidRPr="006352E6">
              <w:rPr>
                <w:b/>
                <w:bCs/>
              </w:rPr>
              <w:t>)</w:t>
            </w:r>
            <w:r w:rsidRPr="006352E6">
              <w:rPr>
                <w:b/>
                <w:bCs/>
                <w:vertAlign w:val="superscript"/>
              </w:rPr>
              <w:t>1</w:t>
            </w:r>
          </w:p>
        </w:tc>
        <w:tc>
          <w:tcPr>
            <w:tcW w:w="3619" w:type="pct"/>
            <w:shd w:val="clear" w:color="auto" w:fill="auto"/>
            <w:vAlign w:val="center"/>
          </w:tcPr>
          <w:p w14:paraId="5E74DFD7" w14:textId="19646D11" w:rsidR="006352E6" w:rsidRPr="006352E6" w:rsidRDefault="006352E6" w:rsidP="006352E6">
            <w:r w:rsidRPr="00EB561B">
              <w:t>Do not open the capsule as this may increase the risk of bleeding</w:t>
            </w:r>
            <w:r w:rsidR="00362A02">
              <w:t xml:space="preserve"> due to increased bioavailability</w:t>
            </w:r>
            <w:r w:rsidR="00453318">
              <w:t xml:space="preserve"> of dabigatran etexilate.</w:t>
            </w:r>
          </w:p>
        </w:tc>
      </w:tr>
      <w:tr w:rsidR="006352E6" w:rsidRPr="00EB561B" w14:paraId="33498A4E" w14:textId="77777777" w:rsidTr="00852362">
        <w:trPr>
          <w:cantSplit/>
          <w:trHeight w:val="3150"/>
        </w:trPr>
        <w:tc>
          <w:tcPr>
            <w:tcW w:w="1381" w:type="pct"/>
            <w:shd w:val="clear" w:color="auto" w:fill="F2DBDB" w:themeFill="accent2" w:themeFillTint="33"/>
            <w:vAlign w:val="center"/>
          </w:tcPr>
          <w:p w14:paraId="51E0152B" w14:textId="15779104" w:rsidR="006352E6" w:rsidRPr="006352E6" w:rsidRDefault="006352E6" w:rsidP="006352E6">
            <w:pPr>
              <w:rPr>
                <w:b/>
                <w:bCs/>
              </w:rPr>
            </w:pPr>
            <w:r w:rsidRPr="006352E6">
              <w:rPr>
                <w:b/>
                <w:bCs/>
              </w:rPr>
              <w:t>Rivaroxaban (Xarelto</w:t>
            </w:r>
            <w:r w:rsidRPr="006352E6">
              <w:rPr>
                <w:b/>
                <w:bCs/>
              </w:rPr>
              <w:sym w:font="Symbol" w:char="F0D2"/>
            </w:r>
            <w:r w:rsidRPr="006352E6">
              <w:rPr>
                <w:rFonts w:cs="Arial"/>
                <w:b/>
                <w:bCs/>
              </w:rPr>
              <w:t>▼</w:t>
            </w:r>
            <w:r w:rsidRPr="006352E6">
              <w:rPr>
                <w:b/>
                <w:bCs/>
              </w:rPr>
              <w:t>)</w:t>
            </w:r>
            <w:r w:rsidRPr="006352E6">
              <w:rPr>
                <w:b/>
                <w:bCs/>
                <w:vertAlign w:val="superscript"/>
              </w:rPr>
              <w:t>2</w:t>
            </w:r>
          </w:p>
        </w:tc>
        <w:tc>
          <w:tcPr>
            <w:tcW w:w="3619" w:type="pct"/>
            <w:shd w:val="clear" w:color="auto" w:fill="auto"/>
            <w:vAlign w:val="center"/>
          </w:tcPr>
          <w:p w14:paraId="50FD8B9E" w14:textId="619B1633" w:rsidR="006352E6" w:rsidRPr="00EB561B" w:rsidRDefault="006352E6" w:rsidP="006352E6">
            <w:r w:rsidRPr="00EB561B">
              <w:t>Tablets may be crushed and mixed with water or apple puree immediately prior to use and administered orally</w:t>
            </w:r>
            <w:r w:rsidR="0016108B">
              <w:t>.</w:t>
            </w:r>
            <w:r w:rsidRPr="00EB561B">
              <w:t> </w:t>
            </w:r>
          </w:p>
          <w:p w14:paraId="619FC69A" w14:textId="15AF8297" w:rsidR="006352E6" w:rsidRPr="00EB561B" w:rsidRDefault="006352E6" w:rsidP="006352E6">
            <w:r w:rsidRPr="00EB561B">
              <w:t>The crushed tablet may also be given through gastric tubes after confirmation of the correct gastric placement of the tube</w:t>
            </w:r>
            <w:r w:rsidR="0016108B">
              <w:t>.</w:t>
            </w:r>
            <w:r w:rsidRPr="00EB561B">
              <w:t xml:space="preserve"> </w:t>
            </w:r>
          </w:p>
          <w:p w14:paraId="261CD09E" w14:textId="09318917" w:rsidR="006352E6" w:rsidRPr="00EB561B" w:rsidRDefault="006352E6" w:rsidP="006352E6">
            <w:r w:rsidRPr="00EB561B">
              <w:t>The crushed tablet should be administered in 50ml of water via a gastric tube after which it should be flushed with water</w:t>
            </w:r>
            <w:r w:rsidR="0016108B">
              <w:t>.</w:t>
            </w:r>
          </w:p>
          <w:p w14:paraId="1C98F707" w14:textId="4C64ED9A" w:rsidR="006352E6" w:rsidRPr="006352E6" w:rsidRDefault="006352E6" w:rsidP="006352E6">
            <w:r w:rsidRPr="00EB561B">
              <w:t>After the administration of crushed 15 mg or 20 mg film-coated tablets, the dose should then be immediately followed by enteral feeding</w:t>
            </w:r>
            <w:r w:rsidR="0016108B">
              <w:t>.</w:t>
            </w:r>
          </w:p>
        </w:tc>
      </w:tr>
      <w:tr w:rsidR="006352E6" w:rsidRPr="00EB561B" w14:paraId="629DD58C" w14:textId="77777777" w:rsidTr="00852362">
        <w:trPr>
          <w:cantSplit/>
          <w:trHeight w:val="2680"/>
        </w:trPr>
        <w:tc>
          <w:tcPr>
            <w:tcW w:w="1381" w:type="pct"/>
            <w:shd w:val="clear" w:color="auto" w:fill="E5DFEC" w:themeFill="accent4" w:themeFillTint="33"/>
            <w:vAlign w:val="center"/>
          </w:tcPr>
          <w:p w14:paraId="00A77411" w14:textId="1767CC1C" w:rsidR="006352E6" w:rsidRPr="006352E6" w:rsidRDefault="006352E6" w:rsidP="006352E6">
            <w:pPr>
              <w:rPr>
                <w:b/>
                <w:bCs/>
              </w:rPr>
            </w:pPr>
            <w:r w:rsidRPr="006352E6">
              <w:rPr>
                <w:b/>
                <w:bCs/>
              </w:rPr>
              <w:t xml:space="preserve">Apixaban </w:t>
            </w:r>
            <w:r w:rsidR="007D1B0D">
              <w:rPr>
                <w:b/>
                <w:bCs/>
              </w:rPr>
              <w:t xml:space="preserve">     </w:t>
            </w:r>
            <w:r w:rsidRPr="006352E6">
              <w:rPr>
                <w:b/>
                <w:bCs/>
              </w:rPr>
              <w:t>(Eliquis</w:t>
            </w:r>
            <w:r w:rsidRPr="006352E6">
              <w:rPr>
                <w:b/>
                <w:bCs/>
              </w:rPr>
              <w:sym w:font="Symbol" w:char="F0D2"/>
            </w:r>
            <w:r w:rsidRPr="006352E6">
              <w:rPr>
                <w:b/>
                <w:bCs/>
              </w:rPr>
              <w:t>)</w:t>
            </w:r>
            <w:r w:rsidRPr="006352E6">
              <w:rPr>
                <w:b/>
                <w:bCs/>
                <w:vertAlign w:val="superscript"/>
              </w:rPr>
              <w:t>3</w:t>
            </w:r>
          </w:p>
        </w:tc>
        <w:tc>
          <w:tcPr>
            <w:tcW w:w="3619" w:type="pct"/>
            <w:shd w:val="clear" w:color="auto" w:fill="auto"/>
            <w:vAlign w:val="center"/>
          </w:tcPr>
          <w:p w14:paraId="4BAEADB0" w14:textId="56FC1A44" w:rsidR="006352E6" w:rsidRPr="00EB561B" w:rsidRDefault="006352E6" w:rsidP="006352E6">
            <w:r w:rsidRPr="00EB561B">
              <w:t>Tablets may be crushed and suspended in water, or 5% dextrose in water (D5W), or apple juice or mixed with apple puree and immediately administered</w:t>
            </w:r>
            <w:r w:rsidR="0016108B">
              <w:t>.</w:t>
            </w:r>
          </w:p>
          <w:p w14:paraId="4096C444" w14:textId="20887D12" w:rsidR="006352E6" w:rsidRPr="00EB561B" w:rsidRDefault="006352E6" w:rsidP="006352E6">
            <w:r w:rsidRPr="00EB561B">
              <w:t>Alternatively, tablets may be crushed and suspended in 60 mL of water or D5W and immediately delivered through a nasogastric tube</w:t>
            </w:r>
            <w:r w:rsidR="0016108B">
              <w:t>.</w:t>
            </w:r>
          </w:p>
          <w:p w14:paraId="331C600E" w14:textId="2F32D144" w:rsidR="006352E6" w:rsidRPr="006352E6" w:rsidRDefault="006352E6" w:rsidP="006352E6">
            <w:r w:rsidRPr="00EB561B">
              <w:t>Crushed tablets are stable in water, D5W, apple juice, and apple puree for up to four hours</w:t>
            </w:r>
            <w:r w:rsidR="0016108B">
              <w:t>.</w:t>
            </w:r>
          </w:p>
        </w:tc>
      </w:tr>
      <w:tr w:rsidR="006352E6" w:rsidRPr="00EB561B" w14:paraId="3B86B762" w14:textId="77777777" w:rsidTr="00852362">
        <w:trPr>
          <w:cantSplit/>
          <w:trHeight w:val="2542"/>
        </w:trPr>
        <w:tc>
          <w:tcPr>
            <w:tcW w:w="1381" w:type="pct"/>
            <w:shd w:val="clear" w:color="auto" w:fill="FDE9D9" w:themeFill="accent6" w:themeFillTint="33"/>
            <w:vAlign w:val="center"/>
          </w:tcPr>
          <w:p w14:paraId="180B677B" w14:textId="2BC50F26" w:rsidR="006352E6" w:rsidRPr="006352E6" w:rsidRDefault="006352E6" w:rsidP="006352E6">
            <w:pPr>
              <w:rPr>
                <w:b/>
                <w:bCs/>
              </w:rPr>
            </w:pPr>
            <w:r w:rsidRPr="006352E6">
              <w:rPr>
                <w:b/>
                <w:bCs/>
              </w:rPr>
              <w:t xml:space="preserve">Edoxaban </w:t>
            </w:r>
            <w:r w:rsidR="007D1B0D">
              <w:rPr>
                <w:b/>
                <w:bCs/>
              </w:rPr>
              <w:t xml:space="preserve">    </w:t>
            </w:r>
            <w:r w:rsidRPr="006352E6">
              <w:rPr>
                <w:b/>
                <w:bCs/>
              </w:rPr>
              <w:t>(Lixiana</w:t>
            </w:r>
            <w:r w:rsidRPr="006352E6">
              <w:rPr>
                <w:b/>
                <w:bCs/>
              </w:rPr>
              <w:sym w:font="Symbol" w:char="F0D2"/>
            </w:r>
            <w:r w:rsidRPr="006352E6">
              <w:rPr>
                <w:b/>
                <w:bCs/>
              </w:rPr>
              <w:t>)</w:t>
            </w:r>
            <w:r w:rsidRPr="006352E6">
              <w:rPr>
                <w:b/>
                <w:bCs/>
                <w:vertAlign w:val="superscript"/>
              </w:rPr>
              <w:t>4</w:t>
            </w:r>
          </w:p>
        </w:tc>
        <w:tc>
          <w:tcPr>
            <w:tcW w:w="3619" w:type="pct"/>
            <w:shd w:val="clear" w:color="auto" w:fill="auto"/>
            <w:vAlign w:val="center"/>
          </w:tcPr>
          <w:p w14:paraId="259F71BD" w14:textId="4B92DA3F" w:rsidR="006352E6" w:rsidRPr="00EB561B" w:rsidRDefault="006352E6" w:rsidP="006352E6">
            <w:r w:rsidRPr="00EB561B">
              <w:t>Tablets may be crushed and mixed with water or apple puree and immediately administered orally</w:t>
            </w:r>
            <w:r w:rsidR="0016108B">
              <w:t>.</w:t>
            </w:r>
            <w:r w:rsidRPr="00EB561B">
              <w:t> </w:t>
            </w:r>
          </w:p>
          <w:p w14:paraId="23DDE4D3" w14:textId="5BCB73BC" w:rsidR="006352E6" w:rsidRPr="00EB561B" w:rsidRDefault="006352E6" w:rsidP="006352E6">
            <w:r w:rsidRPr="00EB561B">
              <w:t>Tablets may be crushed and suspended in a small amount of water and immediately delivered through a gastric tube after which it should be flushed with water</w:t>
            </w:r>
            <w:r w:rsidR="0016108B">
              <w:t>.</w:t>
            </w:r>
          </w:p>
          <w:p w14:paraId="088D9B2D" w14:textId="2723CCC3" w:rsidR="006352E6" w:rsidRPr="006352E6" w:rsidRDefault="006352E6" w:rsidP="006352E6">
            <w:r w:rsidRPr="00EB561B">
              <w:t>Crushed tablets are stable in water and apple puree for up to 4 hours</w:t>
            </w:r>
            <w:r w:rsidR="0016108B">
              <w:t>.</w:t>
            </w:r>
          </w:p>
        </w:tc>
      </w:tr>
      <w:tr w:rsidR="006352E6" w:rsidRPr="00EB561B" w14:paraId="0B87246C" w14:textId="77777777" w:rsidTr="00852362">
        <w:trPr>
          <w:cantSplit/>
          <w:trHeight w:val="2372"/>
        </w:trPr>
        <w:tc>
          <w:tcPr>
            <w:tcW w:w="1381" w:type="pct"/>
            <w:shd w:val="clear" w:color="auto" w:fill="EAF1DD" w:themeFill="accent3" w:themeFillTint="33"/>
            <w:vAlign w:val="center"/>
          </w:tcPr>
          <w:p w14:paraId="0E4A1CC4" w14:textId="3A2D053B" w:rsidR="006352E6" w:rsidRPr="006352E6" w:rsidRDefault="006352E6" w:rsidP="006352E6">
            <w:pPr>
              <w:rPr>
                <w:b/>
                <w:bCs/>
              </w:rPr>
            </w:pPr>
            <w:r w:rsidRPr="006352E6">
              <w:rPr>
                <w:b/>
                <w:bCs/>
              </w:rPr>
              <w:t>Warfarin</w:t>
            </w:r>
            <w:r w:rsidRPr="006352E6">
              <w:rPr>
                <w:b/>
                <w:bCs/>
                <w:vertAlign w:val="superscript"/>
              </w:rPr>
              <w:t>5</w:t>
            </w:r>
          </w:p>
        </w:tc>
        <w:tc>
          <w:tcPr>
            <w:tcW w:w="3619" w:type="pct"/>
            <w:shd w:val="clear" w:color="auto" w:fill="auto"/>
            <w:vAlign w:val="center"/>
          </w:tcPr>
          <w:p w14:paraId="11C6A0AC" w14:textId="5D54A078" w:rsidR="006352E6" w:rsidRPr="00EB561B" w:rsidRDefault="002315F1" w:rsidP="006352E6">
            <w:pPr>
              <w:rPr>
                <w:color w:val="333333"/>
                <w:shd w:val="clear" w:color="auto" w:fill="FFFFFF"/>
              </w:rPr>
            </w:pPr>
            <w:r>
              <w:rPr>
                <w:color w:val="333333"/>
                <w:shd w:val="clear" w:color="auto" w:fill="FFFFFF"/>
              </w:rPr>
              <w:t>Tablets may</w:t>
            </w:r>
            <w:r w:rsidR="006352E6" w:rsidRPr="00EB561B">
              <w:rPr>
                <w:color w:val="333333"/>
                <w:shd w:val="clear" w:color="auto" w:fill="FFFFFF"/>
              </w:rPr>
              <w:t xml:space="preserve"> be crushed and/or dispersed in water or crushed and given with soft food</w:t>
            </w:r>
            <w:r w:rsidR="0016108B">
              <w:rPr>
                <w:color w:val="333333"/>
                <w:shd w:val="clear" w:color="auto" w:fill="FFFFFF"/>
              </w:rPr>
              <w:t>.</w:t>
            </w:r>
          </w:p>
          <w:p w14:paraId="4C3E426D" w14:textId="2E8B9248" w:rsidR="006352E6" w:rsidRPr="006352E6" w:rsidRDefault="006352E6" w:rsidP="00295A52">
            <w:r w:rsidRPr="00EB561B">
              <w:t>Warfarin 1mg/1ml oral suspension is available as a licensed preparation</w:t>
            </w:r>
            <w:r w:rsidR="0016108B">
              <w:t>.</w:t>
            </w:r>
            <w:r w:rsidR="00295A52">
              <w:t xml:space="preserve"> </w:t>
            </w:r>
            <w:r w:rsidRPr="00EB561B">
              <w:t>It does not require fridge storage and has an expiry of 28 days once opened</w:t>
            </w:r>
            <w:r w:rsidR="00016E13">
              <w:t>.</w:t>
            </w:r>
            <w:r w:rsidRPr="00EB561B">
              <w:rPr>
                <w:vertAlign w:val="superscript"/>
              </w:rPr>
              <w:t>2</w:t>
            </w:r>
            <w:r w:rsidR="00D009AC">
              <w:rPr>
                <w:vertAlign w:val="superscript"/>
              </w:rPr>
              <w:t>1</w:t>
            </w:r>
          </w:p>
        </w:tc>
      </w:tr>
    </w:tbl>
    <w:p w14:paraId="0C9154A5" w14:textId="77777777" w:rsidR="006352E6" w:rsidRDefault="006352E6"/>
    <w:p w14:paraId="21EA52CC" w14:textId="23530EA1" w:rsidR="00B9302C" w:rsidRDefault="00B9302C">
      <w:pPr>
        <w:rPr>
          <w:rFonts w:asciiTheme="majorHAnsi" w:hAnsiTheme="majorHAnsi" w:cstheme="majorHAnsi"/>
          <w:szCs w:val="22"/>
        </w:rPr>
      </w:pPr>
    </w:p>
    <w:p w14:paraId="44650204" w14:textId="720B30E3" w:rsidR="00544874" w:rsidRDefault="00544874">
      <w:pPr>
        <w:rPr>
          <w:rFonts w:asciiTheme="majorHAnsi" w:hAnsiTheme="majorHAnsi" w:cstheme="majorHAnsi"/>
          <w:szCs w:val="22"/>
        </w:rPr>
      </w:pPr>
    </w:p>
    <w:p w14:paraId="325F61B6" w14:textId="2C42AB6C" w:rsidR="00544874" w:rsidRDefault="00544874">
      <w:pPr>
        <w:rPr>
          <w:rFonts w:asciiTheme="majorHAnsi" w:hAnsiTheme="majorHAnsi" w:cstheme="majorHAnsi"/>
          <w:szCs w:val="22"/>
        </w:rPr>
      </w:pPr>
    </w:p>
    <w:p w14:paraId="2C635A4F" w14:textId="77777777" w:rsidR="00D17B56" w:rsidRDefault="007129A9" w:rsidP="00D17B56">
      <w:pPr>
        <w:pStyle w:val="Heading1"/>
      </w:pPr>
      <w:bookmarkStart w:id="43" w:name="_Toc104910444"/>
      <w:bookmarkStart w:id="44" w:name="_Toc106708892"/>
      <w:r w:rsidRPr="00EB561B">
        <w:lastRenderedPageBreak/>
        <w:t>Calculating DOAC dosages</w:t>
      </w:r>
      <w:bookmarkStart w:id="45" w:name="_Toc104910445"/>
      <w:bookmarkStart w:id="46" w:name="_Toc106708893"/>
      <w:bookmarkEnd w:id="43"/>
      <w:bookmarkEnd w:id="44"/>
    </w:p>
    <w:p w14:paraId="6BFCCE8E" w14:textId="7CD9035F" w:rsidR="00114D48" w:rsidRPr="00EB561B" w:rsidRDefault="00114D48" w:rsidP="00D17B56">
      <w:pPr>
        <w:pStyle w:val="Heading1"/>
        <w:rPr>
          <w:rFonts w:asciiTheme="majorHAnsi" w:hAnsiTheme="majorHAnsi" w:cstheme="majorHAnsi"/>
          <w:bCs/>
          <w:sz w:val="22"/>
          <w:szCs w:val="22"/>
        </w:rPr>
      </w:pPr>
      <w:r w:rsidRPr="00EB561B">
        <w:rPr>
          <w:rFonts w:asciiTheme="majorHAnsi" w:hAnsiTheme="majorHAnsi" w:cstheme="majorHAnsi"/>
          <w:bCs/>
        </w:rPr>
        <w:t>Renal function</w:t>
      </w:r>
      <w:bookmarkEnd w:id="45"/>
      <w:bookmarkEnd w:id="46"/>
      <w:r w:rsidRPr="00EB561B">
        <w:rPr>
          <w:rFonts w:asciiTheme="majorHAnsi" w:hAnsiTheme="majorHAnsi" w:cstheme="majorHAnsi"/>
          <w:bCs/>
          <w:sz w:val="22"/>
          <w:szCs w:val="22"/>
        </w:rPr>
        <w:t xml:space="preserve"> </w:t>
      </w:r>
    </w:p>
    <w:p w14:paraId="7A775D55" w14:textId="3F0CE011" w:rsidR="009D39A0" w:rsidRPr="00EB561B" w:rsidRDefault="009D39A0" w:rsidP="00544874">
      <w:r w:rsidRPr="00EB561B">
        <w:t>All DOACs are dependent on renal function for elimination.</w:t>
      </w:r>
      <w:r w:rsidR="001B4586" w:rsidRPr="00EB561B">
        <w:t xml:space="preserve"> Dosages for all DOACs should be based on the estimated creatinine clearance (CrCl)</w:t>
      </w:r>
      <w:r w:rsidR="000D1173" w:rsidRPr="00EB561B">
        <w:t>.</w:t>
      </w:r>
      <w:r w:rsidRPr="00EB561B">
        <w:rPr>
          <w:vertAlign w:val="superscript"/>
        </w:rPr>
        <w:t>1-4</w:t>
      </w:r>
      <w:r w:rsidRPr="00EB561B">
        <w:t xml:space="preserve"> </w:t>
      </w:r>
    </w:p>
    <w:p w14:paraId="63E50795" w14:textId="750B12F7" w:rsidR="000037E2" w:rsidRPr="00EB561B" w:rsidRDefault="000037E2" w:rsidP="00544874">
      <w:pPr>
        <w:spacing w:before="240"/>
      </w:pPr>
      <w:r w:rsidRPr="00EB561B">
        <w:t>Renal function should be assessed prior to initiation and at least once a year, or more frequently as needed in certain situations. For example every one to three months when it is suspected that the renal function could decline or deteriorate, e.g. due to hypovolaemia, dehydration, and in case of concomitant use of certain medicinal products.</w:t>
      </w:r>
      <w:r w:rsidRPr="00EB561B">
        <w:rPr>
          <w:vertAlign w:val="superscript"/>
        </w:rPr>
        <w:t>1,2</w:t>
      </w:r>
      <w:r w:rsidR="00295A52">
        <w:rPr>
          <w:vertAlign w:val="superscript"/>
        </w:rPr>
        <w:t>2</w:t>
      </w:r>
      <w:r w:rsidR="00C71032">
        <w:t xml:space="preserve"> </w:t>
      </w:r>
      <w:r w:rsidRPr="00EB561B">
        <w:t>Note: In practice eGFR and CrCl are not interchangeable; however for average build and height, eGFR could provide some guidance.</w:t>
      </w:r>
      <w:r w:rsidR="009934A8" w:rsidRPr="00EB561B">
        <w:rPr>
          <w:vertAlign w:val="superscript"/>
        </w:rPr>
        <w:t>6</w:t>
      </w:r>
      <w:r w:rsidRPr="00EB561B">
        <w:rPr>
          <w:rFonts w:eastAsia="MS Mincho"/>
        </w:rPr>
        <w:t xml:space="preserve"> The Summary of Product Characteristics (SPCs) for Pradaxa® (dabigatran) and Lixiana® (edoxaban), specify that the method used to estimate renal function (creatinine clearance -</w:t>
      </w:r>
      <w:r w:rsidR="00E62A2A">
        <w:rPr>
          <w:rFonts w:eastAsia="MS Mincho"/>
        </w:rPr>
        <w:t xml:space="preserve"> </w:t>
      </w:r>
      <w:r w:rsidRPr="00EB561B">
        <w:rPr>
          <w:rFonts w:eastAsia="MS Mincho"/>
        </w:rPr>
        <w:t>CrCl in mL/min) is the Cockcroft-Gault method.</w:t>
      </w:r>
      <w:r w:rsidRPr="00EB561B">
        <w:rPr>
          <w:rFonts w:eastAsia="MS Mincho"/>
          <w:vertAlign w:val="superscript"/>
        </w:rPr>
        <w:t>1,</w:t>
      </w:r>
      <w:r w:rsidR="003E33BF" w:rsidRPr="00EB561B">
        <w:rPr>
          <w:rFonts w:eastAsia="MS Mincho"/>
          <w:vertAlign w:val="superscript"/>
        </w:rPr>
        <w:t>4</w:t>
      </w:r>
      <w:r w:rsidRPr="00EB561B">
        <w:rPr>
          <w:rFonts w:eastAsia="MS Mincho"/>
        </w:rPr>
        <w:t xml:space="preserve"> </w:t>
      </w:r>
      <w:r w:rsidR="00BD59FC" w:rsidRPr="00EB561B">
        <w:rPr>
          <w:rFonts w:eastAsia="MS Mincho"/>
        </w:rPr>
        <w:t>The Cockcroft-Gault equation is given below</w:t>
      </w:r>
      <w:r w:rsidR="00290814" w:rsidRPr="00290814">
        <w:rPr>
          <w:rFonts w:eastAsia="MS Mincho"/>
          <w:vertAlign w:val="superscript"/>
        </w:rPr>
        <w:t>6</w:t>
      </w:r>
      <w:r w:rsidR="00BD59FC" w:rsidRPr="00EB561B">
        <w:rPr>
          <w:rFonts w:eastAsia="MS Mincho"/>
        </w:rPr>
        <w:t>:</w:t>
      </w:r>
    </w:p>
    <w:p w14:paraId="6460C901" w14:textId="110DFA04" w:rsidR="000037E2" w:rsidRPr="00544874" w:rsidRDefault="000037E2" w:rsidP="000037E2">
      <w:pPr>
        <w:pStyle w:val="NormalWeb"/>
        <w:spacing w:before="80" w:beforeAutospacing="0" w:after="80" w:afterAutospacing="0"/>
        <w:jc w:val="center"/>
        <w:rPr>
          <w:rFonts w:cs="Arial"/>
          <w:b/>
          <w:bCs/>
          <w:sz w:val="24"/>
          <w:u w:val="single"/>
        </w:rPr>
      </w:pPr>
      <w:r w:rsidRPr="00544874">
        <w:rPr>
          <w:rFonts w:cs="Arial"/>
          <w:b/>
          <w:bCs/>
          <w:sz w:val="24"/>
        </w:rPr>
        <w:t xml:space="preserve">CrCl = </w:t>
      </w:r>
      <w:r w:rsidRPr="00544874">
        <w:rPr>
          <w:rFonts w:cs="Arial"/>
          <w:b/>
          <w:bCs/>
          <w:sz w:val="24"/>
          <w:u w:val="single"/>
        </w:rPr>
        <w:t xml:space="preserve">[140 – age (years)] x weight* </w:t>
      </w:r>
      <w:r w:rsidR="005A1AA9">
        <w:rPr>
          <w:rFonts w:cs="Arial"/>
          <w:b/>
          <w:bCs/>
          <w:sz w:val="24"/>
          <w:u w:val="single"/>
        </w:rPr>
        <w:t>(</w:t>
      </w:r>
      <w:r w:rsidRPr="00544874">
        <w:rPr>
          <w:rFonts w:cs="Arial"/>
          <w:b/>
          <w:bCs/>
          <w:sz w:val="24"/>
          <w:u w:val="single"/>
        </w:rPr>
        <w:t>kg) x (1.23 for males or x 1.04 for females)</w:t>
      </w:r>
    </w:p>
    <w:p w14:paraId="700C0F17" w14:textId="77777777" w:rsidR="000037E2" w:rsidRPr="00EB561B" w:rsidRDefault="000037E2" w:rsidP="000037E2">
      <w:pPr>
        <w:pStyle w:val="NormalWeb"/>
        <w:spacing w:before="80" w:beforeAutospacing="0" w:after="80" w:afterAutospacing="0"/>
        <w:jc w:val="center"/>
        <w:rPr>
          <w:rFonts w:asciiTheme="majorHAnsi" w:hAnsiTheme="majorHAnsi" w:cstheme="majorHAnsi"/>
          <w:szCs w:val="22"/>
        </w:rPr>
      </w:pPr>
      <w:r w:rsidRPr="00544874">
        <w:rPr>
          <w:rFonts w:cs="Arial"/>
          <w:b/>
          <w:bCs/>
          <w:sz w:val="24"/>
        </w:rPr>
        <w:t>Serum creatinine (micromole/l</w:t>
      </w:r>
      <w:r w:rsidRPr="00EB561B">
        <w:rPr>
          <w:rFonts w:asciiTheme="majorHAnsi" w:hAnsiTheme="majorHAnsi" w:cstheme="majorHAnsi"/>
          <w:szCs w:val="22"/>
        </w:rPr>
        <w:t>)</w:t>
      </w:r>
    </w:p>
    <w:p w14:paraId="7B4D1B29" w14:textId="5F8AADC2" w:rsidR="009D4967" w:rsidRPr="00D83C14" w:rsidRDefault="000037E2" w:rsidP="009D4967">
      <w:pPr>
        <w:widowControl w:val="0"/>
        <w:autoSpaceDE w:val="0"/>
        <w:autoSpaceDN w:val="0"/>
        <w:adjustRightInd w:val="0"/>
        <w:rPr>
          <w:rFonts w:eastAsia="MS Mincho"/>
        </w:rPr>
      </w:pPr>
      <w:r w:rsidRPr="00EB561B">
        <w:t>*</w:t>
      </w:r>
      <w:r w:rsidR="009D4967" w:rsidRPr="009D4967">
        <w:rPr>
          <w:rFonts w:cs="Arial"/>
          <w:b/>
          <w:noProof/>
          <w:lang w:eastAsia="en-GB"/>
        </w:rPr>
        <w:t xml:space="preserve"> </w:t>
      </w:r>
      <w:r w:rsidR="009D4967" w:rsidRPr="00D83C14">
        <w:rPr>
          <w:rFonts w:eastAsia="MS Mincho"/>
          <w:b/>
          <w:bCs/>
        </w:rPr>
        <w:t>Weight</w:t>
      </w:r>
      <w:r w:rsidR="009D4967" w:rsidRPr="00D83C14">
        <w:rPr>
          <w:rFonts w:eastAsia="MS Mincho"/>
        </w:rPr>
        <w:t xml:space="preserve">:  The </w:t>
      </w:r>
      <w:proofErr w:type="spellStart"/>
      <w:r w:rsidR="009D4967" w:rsidRPr="00D83C14">
        <w:rPr>
          <w:rFonts w:eastAsia="MS Mincho"/>
        </w:rPr>
        <w:t>MD+Calc</w:t>
      </w:r>
      <w:proofErr w:type="spellEnd"/>
      <w:r w:rsidR="009D4967" w:rsidRPr="00D83C14">
        <w:rPr>
          <w:rFonts w:eastAsia="MS Mincho"/>
        </w:rPr>
        <w:t xml:space="preserve"> site states</w:t>
      </w:r>
      <w:r w:rsidR="00D83C14">
        <w:rPr>
          <w:rFonts w:eastAsia="MS Mincho"/>
        </w:rPr>
        <w:t>:</w:t>
      </w:r>
    </w:p>
    <w:p w14:paraId="19ABDC7E" w14:textId="7E01D40F" w:rsidR="000037E2" w:rsidRPr="00EB561B" w:rsidRDefault="009D4967" w:rsidP="009D4967">
      <w:pPr>
        <w:widowControl w:val="0"/>
        <w:autoSpaceDE w:val="0"/>
        <w:autoSpaceDN w:val="0"/>
        <w:adjustRightInd w:val="0"/>
      </w:pPr>
      <w:r w:rsidRPr="00D83C14">
        <w:rPr>
          <w:rFonts w:eastAsia="MS Mincho"/>
        </w:rPr>
        <w:t>Based on several papers and expert opinions, we provide adjustments to the Cockcroft-Gault equation based on body weight and BMI, as it appears to become less accurate in weight extremes (underweight and particularly overweight/obesity). Adjustments and estimates are made as follows</w:t>
      </w:r>
      <w:r w:rsidRPr="009C6ADD">
        <w:rPr>
          <w:rStyle w:val="cf01"/>
        </w:rPr>
        <w:t>:</w:t>
      </w:r>
      <w:r w:rsidR="00C22014">
        <w:rPr>
          <w:vertAlign w:val="superscript"/>
        </w:rPr>
        <w:t>2</w:t>
      </w:r>
      <w:r w:rsidR="00295A52">
        <w:rPr>
          <w:vertAlign w:val="superscript"/>
        </w:rPr>
        <w:t>3</w:t>
      </w:r>
      <w:r w:rsidR="000037E2" w:rsidRPr="00EB561B">
        <w:t>:</w:t>
      </w:r>
    </w:p>
    <w:tbl>
      <w:tblPr>
        <w:tblStyle w:val="TableGrid"/>
        <w:tblW w:w="0" w:type="auto"/>
        <w:tblLook w:val="04A0" w:firstRow="1" w:lastRow="0" w:firstColumn="1" w:lastColumn="0" w:noHBand="0" w:noVBand="1"/>
      </w:tblPr>
      <w:tblGrid>
        <w:gridCol w:w="3169"/>
        <w:gridCol w:w="3170"/>
        <w:gridCol w:w="3170"/>
      </w:tblGrid>
      <w:tr w:rsidR="000037E2" w:rsidRPr="00EB561B" w14:paraId="04FFD5F2" w14:textId="77777777" w:rsidTr="00D468AD">
        <w:tc>
          <w:tcPr>
            <w:tcW w:w="3169" w:type="dxa"/>
          </w:tcPr>
          <w:p w14:paraId="7136A06B" w14:textId="77777777" w:rsidR="000037E2" w:rsidRPr="00EB561B" w:rsidRDefault="000037E2" w:rsidP="00544874">
            <w:r w:rsidRPr="00EB561B">
              <w:t>Underweight</w:t>
            </w:r>
          </w:p>
        </w:tc>
        <w:tc>
          <w:tcPr>
            <w:tcW w:w="3170" w:type="dxa"/>
          </w:tcPr>
          <w:p w14:paraId="57B5101F" w14:textId="2475D73D" w:rsidR="000037E2" w:rsidRPr="00EB561B" w:rsidRDefault="000037E2" w:rsidP="00544874">
            <w:r w:rsidRPr="00EB561B">
              <w:t>BMI</w:t>
            </w:r>
            <w:r w:rsidR="00831603">
              <w:t xml:space="preserve"> </w:t>
            </w:r>
            <w:r w:rsidRPr="00EB561B">
              <w:t>&lt;18.5</w:t>
            </w:r>
          </w:p>
        </w:tc>
        <w:tc>
          <w:tcPr>
            <w:tcW w:w="3170" w:type="dxa"/>
          </w:tcPr>
          <w:p w14:paraId="58385ACA" w14:textId="77777777" w:rsidR="000037E2" w:rsidRPr="00EB561B" w:rsidRDefault="000037E2" w:rsidP="00544874">
            <w:r w:rsidRPr="00EB561B">
              <w:t>Use actual body weight</w:t>
            </w:r>
          </w:p>
        </w:tc>
      </w:tr>
      <w:tr w:rsidR="000037E2" w:rsidRPr="00EB561B" w14:paraId="5F910D8E" w14:textId="77777777" w:rsidTr="00D468AD">
        <w:tc>
          <w:tcPr>
            <w:tcW w:w="3169" w:type="dxa"/>
          </w:tcPr>
          <w:p w14:paraId="65BF613B" w14:textId="77777777" w:rsidR="000037E2" w:rsidRPr="00EB561B" w:rsidRDefault="000037E2" w:rsidP="00544874">
            <w:r w:rsidRPr="00EB561B">
              <w:t>Normal weight</w:t>
            </w:r>
          </w:p>
        </w:tc>
        <w:tc>
          <w:tcPr>
            <w:tcW w:w="3170" w:type="dxa"/>
          </w:tcPr>
          <w:p w14:paraId="7A01F6BC" w14:textId="5072EBF9" w:rsidR="000037E2" w:rsidRPr="00EB561B" w:rsidRDefault="000037E2" w:rsidP="00544874">
            <w:r w:rsidRPr="00EB561B">
              <w:t>BMI</w:t>
            </w:r>
            <w:r w:rsidR="00831603">
              <w:t xml:space="preserve"> </w:t>
            </w:r>
            <w:r w:rsidRPr="00EB561B">
              <w:t>18.5-24.9</w:t>
            </w:r>
          </w:p>
        </w:tc>
        <w:tc>
          <w:tcPr>
            <w:tcW w:w="3170" w:type="dxa"/>
          </w:tcPr>
          <w:p w14:paraId="3863967D" w14:textId="77777777" w:rsidR="000037E2" w:rsidRPr="00EB561B" w:rsidRDefault="000037E2" w:rsidP="00544874">
            <w:r w:rsidRPr="00EB561B">
              <w:t>Use ideal body weight</w:t>
            </w:r>
          </w:p>
        </w:tc>
      </w:tr>
      <w:tr w:rsidR="000037E2" w:rsidRPr="00EB561B" w14:paraId="14C3D5E8" w14:textId="77777777" w:rsidTr="00D468AD">
        <w:tc>
          <w:tcPr>
            <w:tcW w:w="3169" w:type="dxa"/>
          </w:tcPr>
          <w:p w14:paraId="5AC1D9C0" w14:textId="77777777" w:rsidR="000037E2" w:rsidRPr="00EB561B" w:rsidRDefault="000037E2" w:rsidP="00544874">
            <w:r w:rsidRPr="00EB561B">
              <w:t>Overweight / obese</w:t>
            </w:r>
          </w:p>
        </w:tc>
        <w:tc>
          <w:tcPr>
            <w:tcW w:w="3170" w:type="dxa"/>
          </w:tcPr>
          <w:p w14:paraId="59CB7A6F" w14:textId="532DBD3D" w:rsidR="000037E2" w:rsidRPr="00EB561B" w:rsidRDefault="000037E2" w:rsidP="00544874">
            <w:r w:rsidRPr="00EB561B">
              <w:t>BMI</w:t>
            </w:r>
            <w:r w:rsidR="00831603">
              <w:t xml:space="preserve"> </w:t>
            </w:r>
            <w:r w:rsidRPr="00EB561B">
              <w:t>≥25</w:t>
            </w:r>
          </w:p>
        </w:tc>
        <w:tc>
          <w:tcPr>
            <w:tcW w:w="3170" w:type="dxa"/>
          </w:tcPr>
          <w:p w14:paraId="6E24CC70" w14:textId="77777777" w:rsidR="000037E2" w:rsidRPr="00EB561B" w:rsidRDefault="000037E2" w:rsidP="00544874">
            <w:r w:rsidRPr="00EB561B">
              <w:t>Use adjusted body weight</w:t>
            </w:r>
          </w:p>
        </w:tc>
      </w:tr>
    </w:tbl>
    <w:p w14:paraId="1A40FBCC" w14:textId="77777777" w:rsidR="00590F14" w:rsidRDefault="00590F14" w:rsidP="00590F14">
      <w:r>
        <w:t xml:space="preserve">However the </w:t>
      </w:r>
      <w:proofErr w:type="spellStart"/>
      <w:r>
        <w:t>MDCalc</w:t>
      </w:r>
      <w:proofErr w:type="spellEnd"/>
      <w:r>
        <w:t xml:space="preserve"> online calculator acknowledges that controversy exists over which form of weight to use and therefore, where height is also included, offers a range of creatinine clearance values to support making a clinical decision for individual patients, based on ideal, actual and adjusted weights.  Where a difference exists in the CrCl values calculated that would mean two different doses could be used, a decision should be made on an individual patient basis with advice from the consultant if appropriate. </w:t>
      </w:r>
    </w:p>
    <w:p w14:paraId="4143C20A" w14:textId="55B51F5F" w:rsidR="00590F14" w:rsidRDefault="00590F14" w:rsidP="00590F14">
      <w:r>
        <w:t xml:space="preserve">Ideal body weight (IBW) and adjusted body weight (ABW)are calculated as follows: </w:t>
      </w:r>
    </w:p>
    <w:p w14:paraId="5F77D532" w14:textId="77777777" w:rsidR="00590F14" w:rsidRDefault="00590F14" w:rsidP="00590F14">
      <w:r>
        <w:t xml:space="preserve">IBW, kg (male) = 50 + [ 2.3 × (height, inches – 60) </w:t>
      </w:r>
    </w:p>
    <w:p w14:paraId="133AB7A8" w14:textId="77777777" w:rsidR="00590F14" w:rsidRDefault="00590F14" w:rsidP="00590F14">
      <w:r>
        <w:t xml:space="preserve">IBW, kg (female) = 45.5 + [ 2.3 × (height, inches – 60)  </w:t>
      </w:r>
    </w:p>
    <w:p w14:paraId="49E734C9" w14:textId="77777777" w:rsidR="00590F14" w:rsidRDefault="00590F14" w:rsidP="00590F14">
      <w:r>
        <w:t>ABW, kg = IBW, kg + 0.4 × (actual body weight, kg – IBW, kg)</w:t>
      </w:r>
    </w:p>
    <w:p w14:paraId="33DFFB09" w14:textId="28CE9265" w:rsidR="00B42E2F" w:rsidRPr="00F83253" w:rsidRDefault="00B42E2F" w:rsidP="00B42E2F">
      <w:pPr>
        <w:rPr>
          <w:rStyle w:val="Hyperlink"/>
          <w:rFonts w:cs="Arial"/>
          <w:noProof/>
          <w:color w:val="auto"/>
          <w:u w:val="none"/>
          <w:lang w:eastAsia="en-GB"/>
        </w:rPr>
      </w:pPr>
      <w:r w:rsidRPr="00F83253">
        <w:rPr>
          <w:rStyle w:val="Hyperlink"/>
          <w:rFonts w:cs="Arial"/>
          <w:noProof/>
          <w:color w:val="auto"/>
          <w:u w:val="none"/>
          <w:lang w:eastAsia="en-GB"/>
        </w:rPr>
        <w:t xml:space="preserve">It is important to note that the CrCl calculations in the clinical trials for all DOACs used actual body weight for all patients rather than ideal or adjusted body weight. Dosing of the DOACs in the SPCs are therefore based on CrCl calculations using actual body weight. Using ideal body weight in patients may therefore result in </w:t>
      </w:r>
      <w:hyperlink r:id="rId10" w:history="1">
        <w:r w:rsidRPr="00777693">
          <w:rPr>
            <w:rStyle w:val="Hyperlink"/>
            <w:rFonts w:cs="Arial"/>
            <w:noProof/>
            <w:lang w:eastAsia="en-GB"/>
          </w:rPr>
          <w:t>under dosing</w:t>
        </w:r>
      </w:hyperlink>
      <w:r w:rsidRPr="00F83253">
        <w:rPr>
          <w:rStyle w:val="Hyperlink"/>
          <w:rFonts w:cs="Arial"/>
          <w:noProof/>
          <w:color w:val="auto"/>
          <w:u w:val="none"/>
          <w:lang w:eastAsia="en-GB"/>
        </w:rPr>
        <w:t>, particularly in those that are overweight or obese.</w:t>
      </w:r>
    </w:p>
    <w:p w14:paraId="5F149689" w14:textId="719EC08F" w:rsidR="00B42E2F" w:rsidRDefault="00B42E2F" w:rsidP="00B42E2F">
      <w:r w:rsidRPr="00F83253">
        <w:rPr>
          <w:rStyle w:val="Hyperlink"/>
          <w:rFonts w:cs="Arial"/>
          <w:noProof/>
          <w:color w:val="auto"/>
          <w:u w:val="none"/>
          <w:lang w:eastAsia="en-GB"/>
        </w:rPr>
        <w:t>Many local guidelines have been developed which use actual body weight for patients with a BMI ≤30kg/m</w:t>
      </w:r>
      <w:r w:rsidRPr="00F83253">
        <w:rPr>
          <w:rStyle w:val="Hyperlink"/>
          <w:rFonts w:cs="Arial"/>
          <w:noProof/>
          <w:color w:val="auto"/>
          <w:u w:val="none"/>
          <w:vertAlign w:val="superscript"/>
          <w:lang w:eastAsia="en-GB"/>
        </w:rPr>
        <w:t>2</w:t>
      </w:r>
      <w:r w:rsidRPr="00F83253">
        <w:rPr>
          <w:rStyle w:val="Hyperlink"/>
          <w:rFonts w:cs="Arial"/>
          <w:noProof/>
          <w:color w:val="auto"/>
          <w:u w:val="none"/>
          <w:lang w:eastAsia="en-GB"/>
        </w:rPr>
        <w:t xml:space="preserve"> and using adjusted body weight for those above this threshold. There is no national guidance available on this issue, therefore, local guidance should be </w:t>
      </w:r>
      <w:r w:rsidR="00C7775C">
        <w:rPr>
          <w:rStyle w:val="Hyperlink"/>
          <w:rFonts w:cs="Arial"/>
          <w:noProof/>
          <w:color w:val="auto"/>
          <w:u w:val="none"/>
          <w:lang w:eastAsia="en-GB"/>
        </w:rPr>
        <w:t>followed</w:t>
      </w:r>
      <w:r w:rsidRPr="00F83253">
        <w:rPr>
          <w:rStyle w:val="Hyperlink"/>
          <w:rFonts w:cs="Arial"/>
          <w:noProof/>
          <w:color w:val="auto"/>
          <w:u w:val="none"/>
          <w:lang w:eastAsia="en-GB"/>
        </w:rPr>
        <w:t xml:space="preserve"> on which weight to use in the calculations.</w:t>
      </w:r>
    </w:p>
    <w:p w14:paraId="7BDA339C" w14:textId="21260053" w:rsidR="00BD59FC" w:rsidRPr="00EB561B" w:rsidRDefault="003F0DE1" w:rsidP="00590F14">
      <w:pPr>
        <w:rPr>
          <w:vertAlign w:val="superscript"/>
        </w:rPr>
      </w:pPr>
      <w:r w:rsidRPr="00EB561B">
        <w:t xml:space="preserve">An on-line calculator can be used to calculate </w:t>
      </w:r>
      <w:r w:rsidR="00B30F51" w:rsidRPr="00EB561B">
        <w:t xml:space="preserve">the </w:t>
      </w:r>
      <w:r w:rsidRPr="00EB561B">
        <w:t>creatinine clearance using the Cockcroft-Gault equation</w:t>
      </w:r>
      <w:r w:rsidR="0064677F" w:rsidRPr="00EB561B">
        <w:t>. This is found at: MD+CALC</w:t>
      </w:r>
      <w:r w:rsidR="0064677F" w:rsidRPr="00831603">
        <w:rPr>
          <w:rFonts w:cs="Arial"/>
        </w:rPr>
        <w:t xml:space="preserve"> </w:t>
      </w:r>
      <w:hyperlink r:id="rId11" w:history="1">
        <w:r w:rsidR="00156B2D" w:rsidRPr="002E0A78">
          <w:rPr>
            <w:rStyle w:val="Hyperlink"/>
            <w:rFonts w:cs="Arial"/>
            <w:szCs w:val="22"/>
          </w:rPr>
          <w:t>https://www.mdcalc.com/creatinine-clearance-cockcroft-gault-equation</w:t>
        </w:r>
      </w:hyperlink>
      <w:r w:rsidR="00156B2D" w:rsidRPr="00EB561B">
        <w:rPr>
          <w:vertAlign w:val="superscript"/>
        </w:rPr>
        <w:t>2</w:t>
      </w:r>
      <w:r w:rsidR="00295A52">
        <w:rPr>
          <w:vertAlign w:val="superscript"/>
        </w:rPr>
        <w:t>3</w:t>
      </w:r>
      <w:r w:rsidR="00156B2D" w:rsidRPr="00EB561B">
        <w:rPr>
          <w:color w:val="FF0000"/>
          <w:vertAlign w:val="superscript"/>
        </w:rPr>
        <w:t xml:space="preserve"> </w:t>
      </w:r>
      <w:r w:rsidR="00C22014">
        <w:t xml:space="preserve">The </w:t>
      </w:r>
      <w:r w:rsidR="00DF570E">
        <w:t xml:space="preserve">Cockcroft and Gault formula </w:t>
      </w:r>
      <w:r w:rsidR="00B30F51" w:rsidRPr="00EB561B">
        <w:t>is also available in the BNF.</w:t>
      </w:r>
      <w:r w:rsidR="00257759" w:rsidRPr="00EB561B">
        <w:rPr>
          <w:vertAlign w:val="superscript"/>
        </w:rPr>
        <w:t>6</w:t>
      </w:r>
    </w:p>
    <w:p w14:paraId="13CEF503" w14:textId="6F109938" w:rsidR="000D1173" w:rsidRPr="00EB561B" w:rsidRDefault="001B06CE" w:rsidP="00544874">
      <w:r w:rsidRPr="00EB561B">
        <w:t>On-line calculators are also available for ideal body weight and adjusted body weight calculations</w:t>
      </w:r>
      <w:r w:rsidR="00831603">
        <w:t>.</w:t>
      </w:r>
      <w:r w:rsidR="00D01F42" w:rsidRPr="00EB561B">
        <w:t xml:space="preserve"> Refer to MD+CALC </w:t>
      </w:r>
      <w:hyperlink r:id="rId12" w:history="1">
        <w:r w:rsidR="00CD5CDB" w:rsidRPr="002E0A78">
          <w:rPr>
            <w:rStyle w:val="Hyperlink"/>
            <w:rFonts w:cs="Arial"/>
            <w:szCs w:val="22"/>
          </w:rPr>
          <w:t>https://www.mdcalc.com/ideal-body-weight-adjusted-body-weight</w:t>
        </w:r>
      </w:hyperlink>
      <w:r w:rsidR="00C71032">
        <w:t xml:space="preserve"> </w:t>
      </w:r>
    </w:p>
    <w:p w14:paraId="42F8A209" w14:textId="280DF73D" w:rsidR="000D1173" w:rsidRPr="00EB561B" w:rsidRDefault="000D1173" w:rsidP="00544874">
      <w:pPr>
        <w:rPr>
          <w:color w:val="000000" w:themeColor="text1"/>
        </w:rPr>
      </w:pPr>
      <w:r w:rsidRPr="00EB561B">
        <w:rPr>
          <w:color w:val="000000" w:themeColor="text1"/>
        </w:rPr>
        <w:lastRenderedPageBreak/>
        <w:t xml:space="preserve">GP practice clinical systems can also be used to calculate creatinine clearance but prescribers must be aware of defaults in the calculation i.e. ideal or actual body weight. </w:t>
      </w:r>
      <w:r w:rsidR="00F54F9D" w:rsidRPr="009C6ADD">
        <w:rPr>
          <w:rFonts w:cs="Arial"/>
          <w:bCs/>
          <w:noProof/>
          <w:lang w:eastAsia="en-GB"/>
        </w:rPr>
        <w:t xml:space="preserve">If calculated externally, creatinine clearance can be coded into GP clinical systems using the </w:t>
      </w:r>
      <w:hyperlink r:id="rId13" w:history="1">
        <w:r w:rsidR="00F54F9D" w:rsidRPr="00F23E99">
          <w:rPr>
            <w:rStyle w:val="Hyperlink"/>
            <w:rFonts w:cs="Arial"/>
            <w:bCs/>
            <w:noProof/>
            <w:lang w:eastAsia="en-GB"/>
          </w:rPr>
          <w:t>SNOMED code</w:t>
        </w:r>
      </w:hyperlink>
      <w:r w:rsidR="00F54F9D" w:rsidRPr="009C6ADD">
        <w:rPr>
          <w:rFonts w:cs="Arial"/>
          <w:bCs/>
          <w:noProof/>
          <w:lang w:eastAsia="en-GB"/>
        </w:rPr>
        <w:t xml:space="preserve"> </w:t>
      </w:r>
      <w:r w:rsidR="00F54F9D" w:rsidRPr="009C6ADD">
        <w:rPr>
          <w:rFonts w:cs="Arial"/>
        </w:rPr>
        <w:t>968191000000100.</w:t>
      </w:r>
    </w:p>
    <w:p w14:paraId="50447F7D" w14:textId="6024C20B" w:rsidR="009D39A0" w:rsidRPr="00EB561B" w:rsidRDefault="007C2B8A" w:rsidP="00544874">
      <w:pPr>
        <w:rPr>
          <w:vertAlign w:val="superscript"/>
        </w:rPr>
      </w:pPr>
      <w:r w:rsidRPr="00EB561B">
        <w:t xml:space="preserve">NG196 </w:t>
      </w:r>
      <w:r w:rsidR="003B1017" w:rsidRPr="00EB561B">
        <w:t xml:space="preserve">does not suggest a preferred DOAC in people with renal impairment, but does advise that </w:t>
      </w:r>
      <w:r w:rsidR="00E92965" w:rsidRPr="00EB561B">
        <w:t xml:space="preserve">BNF guidance on </w:t>
      </w:r>
      <w:r w:rsidR="008A5FF9" w:rsidRPr="00EB561B">
        <w:t xml:space="preserve">dosages </w:t>
      </w:r>
      <w:r w:rsidR="004645B2" w:rsidRPr="00EB561B">
        <w:t xml:space="preserve">in </w:t>
      </w:r>
      <w:r w:rsidR="00630122" w:rsidRPr="00EB561B">
        <w:t>people with renal impairment</w:t>
      </w:r>
      <w:r w:rsidR="008A5FF9" w:rsidRPr="00EB561B">
        <w:t xml:space="preserve"> </w:t>
      </w:r>
      <w:r w:rsidR="00E92965" w:rsidRPr="00EB561B">
        <w:t>are</w:t>
      </w:r>
      <w:r w:rsidR="008A5FF9" w:rsidRPr="00EB561B">
        <w:t xml:space="preserve"> </w:t>
      </w:r>
      <w:r w:rsidR="00DC3160" w:rsidRPr="00EB561B">
        <w:t>followed</w:t>
      </w:r>
      <w:r w:rsidR="00F6115A" w:rsidRPr="00EB561B">
        <w:t>.</w:t>
      </w:r>
      <w:r w:rsidR="00156B2D" w:rsidRPr="00EB561B">
        <w:rPr>
          <w:vertAlign w:val="superscript"/>
        </w:rPr>
        <w:t>2</w:t>
      </w:r>
      <w:r w:rsidR="00295A52">
        <w:rPr>
          <w:vertAlign w:val="superscript"/>
        </w:rPr>
        <w:t>4</w:t>
      </w:r>
      <w:r w:rsidR="00587AD0" w:rsidRPr="00EB561B">
        <w:rPr>
          <w:vertAlign w:val="superscript"/>
        </w:rPr>
        <w:t xml:space="preserve"> </w:t>
      </w:r>
      <w:r w:rsidR="00587AD0" w:rsidRPr="00EB561B">
        <w:t>NG158 states that people with confirmed proximal DVT or PE and renal impa</w:t>
      </w:r>
      <w:r w:rsidR="00C05B02" w:rsidRPr="00EB561B">
        <w:t>irment (CrCl 15-50ml/min) should be offered one of: apixab</w:t>
      </w:r>
      <w:r w:rsidR="0094588D" w:rsidRPr="00EB561B">
        <w:t xml:space="preserve">an, rivaroxaban, LMWH for at least </w:t>
      </w:r>
      <w:r w:rsidR="00544874">
        <w:t>five</w:t>
      </w:r>
      <w:r w:rsidR="0094588D" w:rsidRPr="00EB561B">
        <w:t xml:space="preserve"> days then edoxaban or dabigatran, LMWH or UFH with warfarin for at least </w:t>
      </w:r>
      <w:r w:rsidR="00544874">
        <w:t>five</w:t>
      </w:r>
      <w:r w:rsidR="0094588D" w:rsidRPr="00EB561B">
        <w:t xml:space="preserve"> days then warfarin alone.</w:t>
      </w:r>
      <w:r w:rsidR="00BD78D5" w:rsidRPr="00EB561B">
        <w:rPr>
          <w:vertAlign w:val="superscript"/>
        </w:rPr>
        <w:t>2</w:t>
      </w:r>
      <w:r w:rsidR="00295A52">
        <w:rPr>
          <w:vertAlign w:val="superscript"/>
        </w:rPr>
        <w:t>5</w:t>
      </w:r>
    </w:p>
    <w:p w14:paraId="7D18CDDA" w14:textId="7552CD8C" w:rsidR="009D39A0" w:rsidRPr="00EB561B" w:rsidRDefault="009D39A0" w:rsidP="00544874">
      <w:r w:rsidRPr="00EB561B">
        <w:t xml:space="preserve">The NICE guideline </w:t>
      </w:r>
      <w:r w:rsidR="00831603">
        <w:t xml:space="preserve">for </w:t>
      </w:r>
      <w:r w:rsidRPr="00EB561B">
        <w:t>chronic kidney disease in adults: assessment and management [NG203] recommends that healthcare professionals should consider apixaban in preference to warfarin in people with a confirmed eGFR of 30–50ml/min/1.73m</w:t>
      </w:r>
      <w:r w:rsidRPr="00EB561B">
        <w:rPr>
          <w:vertAlign w:val="superscript"/>
        </w:rPr>
        <w:t>2</w:t>
      </w:r>
      <w:r w:rsidRPr="00EB561B">
        <w:t xml:space="preserve"> and NVAF who have one or more specified risk factors for stroke.</w:t>
      </w:r>
      <w:r w:rsidRPr="00EB561B">
        <w:rPr>
          <w:vertAlign w:val="superscript"/>
        </w:rPr>
        <w:t>2</w:t>
      </w:r>
      <w:r w:rsidR="00295A52">
        <w:rPr>
          <w:vertAlign w:val="superscript"/>
        </w:rPr>
        <w:t>6</w:t>
      </w:r>
      <w:r w:rsidRPr="00EB561B">
        <w:t xml:space="preserve"> </w:t>
      </w:r>
    </w:p>
    <w:p w14:paraId="3B604064" w14:textId="7B1E407C" w:rsidR="009D39A0" w:rsidRDefault="009D39A0" w:rsidP="00544874">
      <w:pPr>
        <w:rPr>
          <w:vertAlign w:val="superscript"/>
        </w:rPr>
      </w:pPr>
      <w:r w:rsidRPr="00EB561B">
        <w:t>The SPC for edoxaban states that, when used for preventing stroke and systemic embolism in people with NVAF, a trend towards decreasing efficacy with increasing CrCl was observed for edoxaban compared with well-managed warfarin. Therefore, edoxaban should be used in people with NVAF and high CrCl only after a careful evaluation of the individual thromboembolic and bleeding risk.</w:t>
      </w:r>
      <w:r w:rsidRPr="00EB561B">
        <w:rPr>
          <w:vertAlign w:val="superscript"/>
        </w:rPr>
        <w:t>4</w:t>
      </w:r>
    </w:p>
    <w:p w14:paraId="529CD5D9" w14:textId="495E6B1F" w:rsidR="00A85A68" w:rsidRDefault="00A85A68" w:rsidP="00544874">
      <w:pPr>
        <w:rPr>
          <w:vertAlign w:val="superscript"/>
        </w:rPr>
      </w:pPr>
    </w:p>
    <w:p w14:paraId="4640515D" w14:textId="2C7E331B" w:rsidR="00A85A68" w:rsidRDefault="00A85A68" w:rsidP="00544874">
      <w:pPr>
        <w:rPr>
          <w:vertAlign w:val="superscript"/>
        </w:rPr>
      </w:pPr>
    </w:p>
    <w:p w14:paraId="007B4FE1" w14:textId="77777777" w:rsidR="00A85A68" w:rsidRDefault="00A85A68" w:rsidP="00544874">
      <w:pPr>
        <w:rPr>
          <w:vertAlign w:val="superscript"/>
        </w:rPr>
      </w:pPr>
    </w:p>
    <w:tbl>
      <w:tblPr>
        <w:tblStyle w:val="TableGrid"/>
        <w:tblW w:w="10491" w:type="dxa"/>
        <w:jc w:val="center"/>
        <w:tblLook w:val="04A0" w:firstRow="1" w:lastRow="0" w:firstColumn="1" w:lastColumn="0" w:noHBand="0" w:noVBand="1"/>
      </w:tblPr>
      <w:tblGrid>
        <w:gridCol w:w="1668"/>
        <w:gridCol w:w="2020"/>
        <w:gridCol w:w="1637"/>
        <w:gridCol w:w="2079"/>
        <w:gridCol w:w="1674"/>
        <w:gridCol w:w="1413"/>
      </w:tblGrid>
      <w:tr w:rsidR="007415C5" w:rsidRPr="00EB561B" w14:paraId="0492D45D" w14:textId="77777777" w:rsidTr="00544874">
        <w:trPr>
          <w:trHeight w:val="340"/>
          <w:jc w:val="center"/>
        </w:trPr>
        <w:tc>
          <w:tcPr>
            <w:tcW w:w="10491" w:type="dxa"/>
            <w:gridSpan w:val="6"/>
            <w:shd w:val="clear" w:color="auto" w:fill="F2F2F2" w:themeFill="background1" w:themeFillShade="F2"/>
            <w:vAlign w:val="center"/>
          </w:tcPr>
          <w:p w14:paraId="56BBFAD6" w14:textId="77777777" w:rsidR="007415C5" w:rsidRPr="00544874" w:rsidRDefault="007415C5" w:rsidP="00544874">
            <w:pPr>
              <w:pStyle w:val="Heading2"/>
            </w:pPr>
            <w:bookmarkStart w:id="47" w:name="_Toc104910446"/>
            <w:bookmarkStart w:id="48" w:name="_Toc106708894"/>
            <w:r w:rsidRPr="00544874">
              <w:rPr>
                <w:rStyle w:val="Heading2Char"/>
                <w:b/>
              </w:rPr>
              <w:t>Dosages in renal impairment</w:t>
            </w:r>
            <w:bookmarkEnd w:id="47"/>
            <w:bookmarkEnd w:id="48"/>
            <w:r w:rsidRPr="00544874" w:rsidDel="003B32F1">
              <w:t xml:space="preserve"> </w:t>
            </w:r>
          </w:p>
        </w:tc>
      </w:tr>
      <w:tr w:rsidR="00544874" w:rsidRPr="00544874" w14:paraId="4C980E40" w14:textId="77777777" w:rsidTr="00852362">
        <w:trPr>
          <w:trHeight w:val="605"/>
          <w:jc w:val="center"/>
        </w:trPr>
        <w:tc>
          <w:tcPr>
            <w:tcW w:w="1668" w:type="dxa"/>
            <w:shd w:val="clear" w:color="auto" w:fill="F2F2F2" w:themeFill="background1" w:themeFillShade="F2"/>
            <w:vAlign w:val="center"/>
          </w:tcPr>
          <w:p w14:paraId="0FE9A77D" w14:textId="77777777" w:rsidR="007415C5" w:rsidRPr="00544874" w:rsidRDefault="007415C5" w:rsidP="00544874">
            <w:pPr>
              <w:jc w:val="center"/>
              <w:rPr>
                <w:rFonts w:cs="Arial"/>
                <w:szCs w:val="22"/>
              </w:rPr>
            </w:pPr>
          </w:p>
        </w:tc>
        <w:tc>
          <w:tcPr>
            <w:tcW w:w="2020" w:type="dxa"/>
            <w:shd w:val="clear" w:color="auto" w:fill="DBE5F1" w:themeFill="accent1" w:themeFillTint="33"/>
            <w:vAlign w:val="center"/>
          </w:tcPr>
          <w:p w14:paraId="11CB26A0" w14:textId="33D75DA1" w:rsidR="007415C5" w:rsidRPr="00544874" w:rsidRDefault="007415C5" w:rsidP="002E0A78">
            <w:pPr>
              <w:rPr>
                <w:rFonts w:cs="Arial"/>
                <w:b/>
                <w:bCs/>
                <w:sz w:val="20"/>
                <w:szCs w:val="20"/>
                <w:lang w:val="it-IT"/>
              </w:rPr>
            </w:pPr>
            <w:r w:rsidRPr="00544874">
              <w:rPr>
                <w:rFonts w:cs="Arial"/>
                <w:b/>
                <w:bCs/>
                <w:sz w:val="20"/>
                <w:szCs w:val="20"/>
                <w:lang w:val="it-IT"/>
              </w:rPr>
              <w:t>Dabigatran (Pradaxa®)</w:t>
            </w:r>
            <w:r w:rsidRPr="00544874">
              <w:rPr>
                <w:rFonts w:cs="Arial"/>
                <w:b/>
                <w:bCs/>
                <w:sz w:val="20"/>
                <w:szCs w:val="20"/>
                <w:vertAlign w:val="superscript"/>
                <w:lang w:val="it-IT"/>
              </w:rPr>
              <w:t>1,2</w:t>
            </w:r>
            <w:r w:rsidR="00295A52">
              <w:rPr>
                <w:rFonts w:cs="Arial"/>
                <w:b/>
                <w:bCs/>
                <w:sz w:val="20"/>
                <w:szCs w:val="20"/>
                <w:vertAlign w:val="superscript"/>
                <w:lang w:val="it-IT"/>
              </w:rPr>
              <w:t>7</w:t>
            </w:r>
          </w:p>
        </w:tc>
        <w:tc>
          <w:tcPr>
            <w:tcW w:w="1637" w:type="dxa"/>
            <w:shd w:val="clear" w:color="auto" w:fill="F2DBDB" w:themeFill="accent2" w:themeFillTint="33"/>
            <w:vAlign w:val="center"/>
          </w:tcPr>
          <w:p w14:paraId="39959527" w14:textId="0AC16690" w:rsidR="007415C5" w:rsidRPr="00544874" w:rsidRDefault="007415C5" w:rsidP="002E0A78">
            <w:pPr>
              <w:rPr>
                <w:rFonts w:cs="Arial"/>
                <w:b/>
                <w:bCs/>
                <w:sz w:val="20"/>
                <w:szCs w:val="20"/>
              </w:rPr>
            </w:pPr>
            <w:r w:rsidRPr="00544874">
              <w:rPr>
                <w:rFonts w:cs="Arial"/>
                <w:b/>
                <w:bCs/>
                <w:sz w:val="20"/>
                <w:szCs w:val="20"/>
              </w:rPr>
              <w:t>Rivaroxaban (Xarelto</w:t>
            </w:r>
            <w:r w:rsidRPr="00544874">
              <w:rPr>
                <w:rFonts w:cs="Arial"/>
                <w:b/>
                <w:bCs/>
                <w:sz w:val="20"/>
                <w:szCs w:val="20"/>
              </w:rPr>
              <w:sym w:font="Symbol" w:char="F0D2"/>
            </w:r>
            <w:r w:rsidRPr="00544874">
              <w:rPr>
                <w:rFonts w:cs="Arial"/>
                <w:b/>
                <w:bCs/>
                <w:sz w:val="20"/>
                <w:szCs w:val="20"/>
              </w:rPr>
              <w:t>▼)</w:t>
            </w:r>
            <w:r w:rsidRPr="00544874">
              <w:rPr>
                <w:rFonts w:cs="Arial"/>
                <w:b/>
                <w:bCs/>
                <w:sz w:val="20"/>
                <w:szCs w:val="20"/>
                <w:vertAlign w:val="superscript"/>
              </w:rPr>
              <w:t>2,2</w:t>
            </w:r>
            <w:r w:rsidR="00295A52">
              <w:rPr>
                <w:rFonts w:cs="Arial"/>
                <w:b/>
                <w:bCs/>
                <w:sz w:val="20"/>
                <w:szCs w:val="20"/>
                <w:vertAlign w:val="superscript"/>
              </w:rPr>
              <w:t>7</w:t>
            </w:r>
          </w:p>
        </w:tc>
        <w:tc>
          <w:tcPr>
            <w:tcW w:w="2079" w:type="dxa"/>
            <w:shd w:val="clear" w:color="auto" w:fill="E5DFEC" w:themeFill="accent4" w:themeFillTint="33"/>
            <w:vAlign w:val="center"/>
          </w:tcPr>
          <w:p w14:paraId="3A87C885" w14:textId="61F3D0AE" w:rsidR="007415C5" w:rsidRPr="00544874" w:rsidRDefault="007415C5" w:rsidP="002E0A78">
            <w:pPr>
              <w:rPr>
                <w:rFonts w:cs="Arial"/>
                <w:b/>
                <w:bCs/>
                <w:sz w:val="20"/>
                <w:szCs w:val="20"/>
              </w:rPr>
            </w:pPr>
            <w:r w:rsidRPr="00544874">
              <w:rPr>
                <w:rFonts w:cs="Arial"/>
                <w:b/>
                <w:bCs/>
                <w:sz w:val="20"/>
                <w:szCs w:val="20"/>
              </w:rPr>
              <w:t>Apixaban (Eliquis®)</w:t>
            </w:r>
            <w:r w:rsidRPr="00544874">
              <w:rPr>
                <w:rFonts w:cs="Arial"/>
                <w:b/>
                <w:bCs/>
                <w:sz w:val="20"/>
                <w:szCs w:val="20"/>
                <w:vertAlign w:val="superscript"/>
              </w:rPr>
              <w:t>3,2</w:t>
            </w:r>
            <w:r w:rsidR="00295A52">
              <w:rPr>
                <w:rFonts w:cs="Arial"/>
                <w:b/>
                <w:bCs/>
                <w:sz w:val="20"/>
                <w:szCs w:val="20"/>
                <w:vertAlign w:val="superscript"/>
              </w:rPr>
              <w:t>7</w:t>
            </w:r>
          </w:p>
        </w:tc>
        <w:tc>
          <w:tcPr>
            <w:tcW w:w="1674" w:type="dxa"/>
            <w:shd w:val="clear" w:color="auto" w:fill="FDE9D9" w:themeFill="accent6" w:themeFillTint="33"/>
            <w:vAlign w:val="center"/>
          </w:tcPr>
          <w:p w14:paraId="06245782" w14:textId="5D58941A" w:rsidR="007415C5" w:rsidRPr="00544874" w:rsidRDefault="007415C5" w:rsidP="002E0A78">
            <w:pPr>
              <w:rPr>
                <w:rFonts w:cs="Arial"/>
                <w:b/>
                <w:bCs/>
                <w:sz w:val="20"/>
                <w:szCs w:val="20"/>
              </w:rPr>
            </w:pPr>
            <w:r w:rsidRPr="00544874">
              <w:rPr>
                <w:rFonts w:cs="Arial"/>
                <w:b/>
                <w:bCs/>
                <w:sz w:val="20"/>
                <w:szCs w:val="20"/>
              </w:rPr>
              <w:t>Edoxaban (Lixiana</w:t>
            </w:r>
            <w:r w:rsidRPr="00544874">
              <w:rPr>
                <w:rFonts w:cs="Arial"/>
                <w:b/>
                <w:bCs/>
                <w:sz w:val="20"/>
                <w:szCs w:val="20"/>
              </w:rPr>
              <w:sym w:font="Symbol" w:char="F0D2"/>
            </w:r>
            <w:r w:rsidRPr="00544874">
              <w:rPr>
                <w:rFonts w:cs="Arial"/>
                <w:b/>
                <w:bCs/>
                <w:sz w:val="20"/>
                <w:szCs w:val="20"/>
              </w:rPr>
              <w:t>)</w:t>
            </w:r>
            <w:r w:rsidRPr="00544874">
              <w:rPr>
                <w:rFonts w:cs="Arial"/>
                <w:b/>
                <w:bCs/>
                <w:sz w:val="20"/>
                <w:szCs w:val="20"/>
                <w:vertAlign w:val="superscript"/>
              </w:rPr>
              <w:t>4,2</w:t>
            </w:r>
            <w:r w:rsidR="00295A52">
              <w:rPr>
                <w:rFonts w:cs="Arial"/>
                <w:b/>
                <w:bCs/>
                <w:sz w:val="20"/>
                <w:szCs w:val="20"/>
                <w:vertAlign w:val="superscript"/>
              </w:rPr>
              <w:t>7</w:t>
            </w:r>
          </w:p>
        </w:tc>
        <w:tc>
          <w:tcPr>
            <w:tcW w:w="1413" w:type="dxa"/>
            <w:shd w:val="clear" w:color="auto" w:fill="EAF1DD" w:themeFill="accent3" w:themeFillTint="33"/>
            <w:vAlign w:val="center"/>
          </w:tcPr>
          <w:p w14:paraId="3B3DCAC0" w14:textId="77777777" w:rsidR="007415C5" w:rsidRPr="00544874" w:rsidRDefault="007415C5" w:rsidP="00852362">
            <w:pPr>
              <w:rPr>
                <w:rFonts w:cs="Arial"/>
                <w:b/>
                <w:bCs/>
                <w:sz w:val="20"/>
                <w:szCs w:val="20"/>
                <w:vertAlign w:val="superscript"/>
              </w:rPr>
            </w:pPr>
            <w:r w:rsidRPr="00544874">
              <w:rPr>
                <w:rFonts w:cs="Arial"/>
                <w:b/>
                <w:bCs/>
                <w:sz w:val="20"/>
                <w:szCs w:val="20"/>
              </w:rPr>
              <w:t>Warfarin</w:t>
            </w:r>
            <w:r w:rsidRPr="00544874">
              <w:rPr>
                <w:rFonts w:cs="Arial"/>
                <w:b/>
                <w:bCs/>
                <w:sz w:val="20"/>
                <w:szCs w:val="20"/>
                <w:vertAlign w:val="superscript"/>
              </w:rPr>
              <w:t>5,6</w:t>
            </w:r>
          </w:p>
        </w:tc>
      </w:tr>
      <w:tr w:rsidR="00544874" w:rsidRPr="00544874" w14:paraId="0BFB36BB" w14:textId="77777777" w:rsidTr="00544874">
        <w:trPr>
          <w:trHeight w:val="729"/>
          <w:jc w:val="center"/>
        </w:trPr>
        <w:tc>
          <w:tcPr>
            <w:tcW w:w="1668" w:type="dxa"/>
            <w:shd w:val="clear" w:color="auto" w:fill="F2F2F2" w:themeFill="background1" w:themeFillShade="F2"/>
            <w:vAlign w:val="center"/>
          </w:tcPr>
          <w:p w14:paraId="006799AD" w14:textId="77777777" w:rsidR="007415C5" w:rsidRPr="00544874" w:rsidRDefault="007415C5" w:rsidP="00544874">
            <w:pPr>
              <w:jc w:val="center"/>
              <w:rPr>
                <w:rFonts w:cs="Arial"/>
                <w:szCs w:val="22"/>
              </w:rPr>
            </w:pPr>
            <w:r w:rsidRPr="00544874">
              <w:rPr>
                <w:rFonts w:cs="Arial"/>
                <w:szCs w:val="22"/>
              </w:rPr>
              <w:t>CrCl &gt;80ml/min</w:t>
            </w:r>
          </w:p>
        </w:tc>
        <w:tc>
          <w:tcPr>
            <w:tcW w:w="2020" w:type="dxa"/>
            <w:shd w:val="clear" w:color="auto" w:fill="auto"/>
            <w:vAlign w:val="center"/>
          </w:tcPr>
          <w:p w14:paraId="217F2EF5" w14:textId="77777777" w:rsidR="007415C5" w:rsidRPr="00544874" w:rsidRDefault="007415C5" w:rsidP="00544874">
            <w:pPr>
              <w:jc w:val="center"/>
              <w:rPr>
                <w:rFonts w:cs="Arial"/>
                <w:szCs w:val="22"/>
              </w:rPr>
            </w:pPr>
            <w:r w:rsidRPr="00544874">
              <w:rPr>
                <w:rFonts w:cs="Arial"/>
                <w:szCs w:val="22"/>
              </w:rPr>
              <w:t>No dosage adjustment</w:t>
            </w:r>
          </w:p>
        </w:tc>
        <w:tc>
          <w:tcPr>
            <w:tcW w:w="1637" w:type="dxa"/>
            <w:shd w:val="clear" w:color="auto" w:fill="auto"/>
            <w:vAlign w:val="center"/>
          </w:tcPr>
          <w:p w14:paraId="27392DD2" w14:textId="77777777" w:rsidR="007415C5" w:rsidRPr="00544874" w:rsidRDefault="007415C5" w:rsidP="00544874">
            <w:pPr>
              <w:jc w:val="center"/>
              <w:rPr>
                <w:rFonts w:cs="Arial"/>
                <w:szCs w:val="22"/>
              </w:rPr>
            </w:pPr>
            <w:r w:rsidRPr="00544874">
              <w:rPr>
                <w:rFonts w:cs="Arial"/>
                <w:szCs w:val="22"/>
              </w:rPr>
              <w:t>No dosage adjustment</w:t>
            </w:r>
          </w:p>
        </w:tc>
        <w:tc>
          <w:tcPr>
            <w:tcW w:w="2079" w:type="dxa"/>
            <w:shd w:val="clear" w:color="auto" w:fill="auto"/>
            <w:vAlign w:val="center"/>
          </w:tcPr>
          <w:p w14:paraId="579F97B8" w14:textId="77777777" w:rsidR="007415C5" w:rsidRPr="00544874" w:rsidRDefault="007415C5" w:rsidP="00544874">
            <w:pPr>
              <w:jc w:val="center"/>
              <w:rPr>
                <w:rFonts w:cs="Arial"/>
                <w:szCs w:val="22"/>
              </w:rPr>
            </w:pPr>
            <w:r w:rsidRPr="00544874">
              <w:rPr>
                <w:rFonts w:cs="Arial"/>
                <w:szCs w:val="22"/>
              </w:rPr>
              <w:t>No dosage adjustment</w:t>
            </w:r>
          </w:p>
        </w:tc>
        <w:tc>
          <w:tcPr>
            <w:tcW w:w="1674" w:type="dxa"/>
            <w:shd w:val="clear" w:color="auto" w:fill="auto"/>
            <w:vAlign w:val="center"/>
          </w:tcPr>
          <w:p w14:paraId="208C6428" w14:textId="77777777" w:rsidR="007415C5" w:rsidRPr="00544874" w:rsidRDefault="007415C5" w:rsidP="00544874">
            <w:pPr>
              <w:jc w:val="center"/>
              <w:rPr>
                <w:rFonts w:cs="Arial"/>
                <w:szCs w:val="22"/>
              </w:rPr>
            </w:pPr>
            <w:r w:rsidRPr="00544874">
              <w:rPr>
                <w:rFonts w:cs="Arial"/>
                <w:color w:val="0B0C0C"/>
                <w:szCs w:val="22"/>
                <w:lang w:eastAsia="en-GB"/>
              </w:rPr>
              <w:t>No dosage adjustment</w:t>
            </w:r>
          </w:p>
        </w:tc>
        <w:tc>
          <w:tcPr>
            <w:tcW w:w="1413" w:type="dxa"/>
            <w:vAlign w:val="center"/>
          </w:tcPr>
          <w:p w14:paraId="44EB251A" w14:textId="789CB449" w:rsidR="007415C5" w:rsidRPr="00544874" w:rsidRDefault="007415C5" w:rsidP="00544874">
            <w:pPr>
              <w:jc w:val="center"/>
              <w:rPr>
                <w:rFonts w:cs="Arial"/>
                <w:szCs w:val="22"/>
              </w:rPr>
            </w:pPr>
            <w:r w:rsidRPr="00544874">
              <w:rPr>
                <w:rFonts w:cs="Arial"/>
                <w:szCs w:val="22"/>
              </w:rPr>
              <w:t>No dosage adjustment</w:t>
            </w:r>
          </w:p>
        </w:tc>
      </w:tr>
      <w:tr w:rsidR="00544874" w:rsidRPr="00544874" w14:paraId="3757ECF3" w14:textId="77777777" w:rsidTr="00544874">
        <w:trPr>
          <w:trHeight w:val="729"/>
          <w:jc w:val="center"/>
        </w:trPr>
        <w:tc>
          <w:tcPr>
            <w:tcW w:w="1668" w:type="dxa"/>
            <w:shd w:val="clear" w:color="auto" w:fill="F2F2F2" w:themeFill="background1" w:themeFillShade="F2"/>
            <w:vAlign w:val="center"/>
          </w:tcPr>
          <w:p w14:paraId="3F6F6712" w14:textId="77777777" w:rsidR="007415C5" w:rsidRPr="00544874" w:rsidRDefault="007415C5" w:rsidP="00544874">
            <w:pPr>
              <w:jc w:val="center"/>
              <w:rPr>
                <w:rFonts w:cs="Arial"/>
                <w:szCs w:val="22"/>
              </w:rPr>
            </w:pPr>
            <w:r w:rsidRPr="00544874">
              <w:rPr>
                <w:rFonts w:cs="Arial"/>
                <w:szCs w:val="22"/>
              </w:rPr>
              <w:t>CrCl</w:t>
            </w:r>
          </w:p>
          <w:p w14:paraId="2FD1EDCA" w14:textId="77777777" w:rsidR="007415C5" w:rsidRPr="00544874" w:rsidRDefault="007415C5" w:rsidP="00544874">
            <w:pPr>
              <w:jc w:val="center"/>
              <w:rPr>
                <w:rFonts w:cs="Arial"/>
                <w:szCs w:val="22"/>
                <w:highlight w:val="yellow"/>
              </w:rPr>
            </w:pPr>
            <w:r w:rsidRPr="00544874">
              <w:rPr>
                <w:rFonts w:cs="Arial"/>
                <w:szCs w:val="22"/>
              </w:rPr>
              <w:t>50-80ml/min</w:t>
            </w:r>
          </w:p>
        </w:tc>
        <w:tc>
          <w:tcPr>
            <w:tcW w:w="2020" w:type="dxa"/>
            <w:shd w:val="clear" w:color="auto" w:fill="auto"/>
            <w:vAlign w:val="center"/>
          </w:tcPr>
          <w:p w14:paraId="239C2677" w14:textId="77777777" w:rsidR="007415C5" w:rsidRPr="00544874" w:rsidRDefault="007415C5" w:rsidP="00544874">
            <w:pPr>
              <w:jc w:val="center"/>
              <w:rPr>
                <w:rFonts w:cs="Arial"/>
                <w:szCs w:val="22"/>
              </w:rPr>
            </w:pPr>
            <w:r w:rsidRPr="00544874">
              <w:rPr>
                <w:rFonts w:cs="Arial"/>
                <w:szCs w:val="22"/>
              </w:rPr>
              <w:t>No dosage adjustment</w:t>
            </w:r>
          </w:p>
        </w:tc>
        <w:tc>
          <w:tcPr>
            <w:tcW w:w="1637" w:type="dxa"/>
            <w:shd w:val="clear" w:color="auto" w:fill="auto"/>
            <w:vAlign w:val="center"/>
          </w:tcPr>
          <w:p w14:paraId="387C7308" w14:textId="77777777" w:rsidR="007415C5" w:rsidRPr="00544874" w:rsidRDefault="007415C5" w:rsidP="00544874">
            <w:pPr>
              <w:jc w:val="center"/>
              <w:rPr>
                <w:rFonts w:cs="Arial"/>
                <w:szCs w:val="22"/>
              </w:rPr>
            </w:pPr>
            <w:r w:rsidRPr="00544874">
              <w:rPr>
                <w:rFonts w:cs="Arial"/>
                <w:szCs w:val="22"/>
              </w:rPr>
              <w:t>No dosage adjustment</w:t>
            </w:r>
          </w:p>
        </w:tc>
        <w:tc>
          <w:tcPr>
            <w:tcW w:w="2079" w:type="dxa"/>
            <w:shd w:val="clear" w:color="auto" w:fill="auto"/>
            <w:vAlign w:val="center"/>
          </w:tcPr>
          <w:p w14:paraId="1955BE8B" w14:textId="77777777" w:rsidR="007415C5" w:rsidRPr="00544874" w:rsidRDefault="007415C5" w:rsidP="00544874">
            <w:pPr>
              <w:jc w:val="center"/>
              <w:rPr>
                <w:rFonts w:cs="Arial"/>
                <w:szCs w:val="22"/>
              </w:rPr>
            </w:pPr>
            <w:r w:rsidRPr="00544874">
              <w:rPr>
                <w:rFonts w:cs="Arial"/>
                <w:szCs w:val="22"/>
              </w:rPr>
              <w:t>2.5mg bd for some patients*</w:t>
            </w:r>
          </w:p>
        </w:tc>
        <w:tc>
          <w:tcPr>
            <w:tcW w:w="1674" w:type="dxa"/>
            <w:shd w:val="clear" w:color="auto" w:fill="auto"/>
            <w:vAlign w:val="center"/>
          </w:tcPr>
          <w:p w14:paraId="097B9CA9" w14:textId="77777777" w:rsidR="007415C5" w:rsidRPr="00544874" w:rsidRDefault="007415C5" w:rsidP="00544874">
            <w:pPr>
              <w:jc w:val="center"/>
              <w:rPr>
                <w:rFonts w:cs="Arial"/>
                <w:szCs w:val="22"/>
              </w:rPr>
            </w:pPr>
            <w:r w:rsidRPr="00544874">
              <w:rPr>
                <w:rFonts w:cs="Arial"/>
                <w:szCs w:val="22"/>
              </w:rPr>
              <w:t>No dosage adjustment</w:t>
            </w:r>
          </w:p>
        </w:tc>
        <w:tc>
          <w:tcPr>
            <w:tcW w:w="1413" w:type="dxa"/>
            <w:vAlign w:val="center"/>
          </w:tcPr>
          <w:p w14:paraId="6635C1C7" w14:textId="77777777" w:rsidR="007415C5" w:rsidRPr="00544874" w:rsidRDefault="007415C5" w:rsidP="00544874">
            <w:pPr>
              <w:jc w:val="center"/>
              <w:rPr>
                <w:rFonts w:cs="Arial"/>
                <w:szCs w:val="22"/>
              </w:rPr>
            </w:pPr>
            <w:r w:rsidRPr="00544874">
              <w:rPr>
                <w:rFonts w:cs="Arial"/>
                <w:szCs w:val="22"/>
              </w:rPr>
              <w:t>Use with caution</w:t>
            </w:r>
          </w:p>
        </w:tc>
      </w:tr>
      <w:tr w:rsidR="00544874" w:rsidRPr="00544874" w14:paraId="57C58586" w14:textId="77777777" w:rsidTr="00544874">
        <w:trPr>
          <w:trHeight w:val="729"/>
          <w:jc w:val="center"/>
        </w:trPr>
        <w:tc>
          <w:tcPr>
            <w:tcW w:w="1668" w:type="dxa"/>
            <w:shd w:val="clear" w:color="auto" w:fill="F2F2F2" w:themeFill="background1" w:themeFillShade="F2"/>
            <w:vAlign w:val="center"/>
          </w:tcPr>
          <w:p w14:paraId="4329F135" w14:textId="77777777" w:rsidR="007415C5" w:rsidRPr="00544874" w:rsidRDefault="007415C5" w:rsidP="00544874">
            <w:pPr>
              <w:jc w:val="center"/>
              <w:rPr>
                <w:rFonts w:cs="Arial"/>
                <w:szCs w:val="22"/>
              </w:rPr>
            </w:pPr>
            <w:r w:rsidRPr="00544874">
              <w:rPr>
                <w:rFonts w:cs="Arial"/>
                <w:szCs w:val="22"/>
              </w:rPr>
              <w:t>CrCl</w:t>
            </w:r>
          </w:p>
          <w:p w14:paraId="3B174A4F" w14:textId="77777777" w:rsidR="007415C5" w:rsidRPr="00544874" w:rsidRDefault="007415C5" w:rsidP="00544874">
            <w:pPr>
              <w:jc w:val="center"/>
              <w:rPr>
                <w:rFonts w:cs="Arial"/>
                <w:szCs w:val="22"/>
              </w:rPr>
            </w:pPr>
            <w:r w:rsidRPr="00544874">
              <w:rPr>
                <w:rFonts w:cs="Arial"/>
                <w:szCs w:val="22"/>
              </w:rPr>
              <w:t>30-49ml/min</w:t>
            </w:r>
          </w:p>
        </w:tc>
        <w:tc>
          <w:tcPr>
            <w:tcW w:w="2020" w:type="dxa"/>
            <w:shd w:val="clear" w:color="auto" w:fill="auto"/>
            <w:vAlign w:val="center"/>
          </w:tcPr>
          <w:p w14:paraId="6C9B572F" w14:textId="49B7EAE7" w:rsidR="00164899" w:rsidRDefault="007415C5" w:rsidP="00544874">
            <w:pPr>
              <w:jc w:val="center"/>
              <w:rPr>
                <w:rFonts w:cs="Arial"/>
                <w:szCs w:val="22"/>
              </w:rPr>
            </w:pPr>
            <w:r w:rsidRPr="00544874">
              <w:rPr>
                <w:rFonts w:cs="Arial"/>
                <w:szCs w:val="22"/>
              </w:rPr>
              <w:t xml:space="preserve">Primary prevention of VTE in orthopaedic surgery - single capsule of 75mg followed by 150mg daily </w:t>
            </w:r>
          </w:p>
          <w:p w14:paraId="078A7A31" w14:textId="08328150" w:rsidR="007415C5" w:rsidRPr="00544874" w:rsidRDefault="007415C5" w:rsidP="00544874">
            <w:pPr>
              <w:jc w:val="center"/>
              <w:rPr>
                <w:rFonts w:cs="Arial"/>
                <w:szCs w:val="22"/>
              </w:rPr>
            </w:pPr>
            <w:r w:rsidRPr="00544874">
              <w:rPr>
                <w:rFonts w:cs="Arial"/>
                <w:szCs w:val="22"/>
              </w:rPr>
              <w:t xml:space="preserve">AF, DVT &amp; PE - </w:t>
            </w:r>
            <w:r w:rsidR="00164899">
              <w:rPr>
                <w:rFonts w:cs="Arial"/>
                <w:szCs w:val="22"/>
              </w:rPr>
              <w:t>n</w:t>
            </w:r>
            <w:r w:rsidRPr="00544874">
              <w:rPr>
                <w:rFonts w:cs="Arial"/>
                <w:szCs w:val="22"/>
              </w:rPr>
              <w:t>o dosage adjustment unless bleeding risk, then reduce to 110mg twice daily</w:t>
            </w:r>
          </w:p>
        </w:tc>
        <w:tc>
          <w:tcPr>
            <w:tcW w:w="1637" w:type="dxa"/>
            <w:shd w:val="clear" w:color="auto" w:fill="auto"/>
            <w:vAlign w:val="center"/>
          </w:tcPr>
          <w:p w14:paraId="667E53D5" w14:textId="77777777" w:rsidR="007415C5" w:rsidRPr="00544874" w:rsidRDefault="007415C5" w:rsidP="00544874">
            <w:pPr>
              <w:jc w:val="center"/>
              <w:rPr>
                <w:rFonts w:cs="Arial"/>
                <w:szCs w:val="22"/>
              </w:rPr>
            </w:pPr>
            <w:r w:rsidRPr="00544874">
              <w:rPr>
                <w:rFonts w:cs="Arial"/>
                <w:szCs w:val="22"/>
              </w:rPr>
              <w:t>15mg daily</w:t>
            </w:r>
          </w:p>
        </w:tc>
        <w:tc>
          <w:tcPr>
            <w:tcW w:w="2079" w:type="dxa"/>
            <w:shd w:val="clear" w:color="auto" w:fill="auto"/>
            <w:vAlign w:val="center"/>
          </w:tcPr>
          <w:p w14:paraId="17630EC3" w14:textId="77777777" w:rsidR="007415C5" w:rsidRPr="00544874" w:rsidRDefault="007415C5" w:rsidP="00544874">
            <w:pPr>
              <w:jc w:val="center"/>
              <w:rPr>
                <w:rFonts w:cs="Arial"/>
                <w:szCs w:val="22"/>
              </w:rPr>
            </w:pPr>
            <w:r w:rsidRPr="00544874">
              <w:rPr>
                <w:rFonts w:cs="Arial"/>
                <w:szCs w:val="22"/>
              </w:rPr>
              <w:t>2.5mg bd for some patients*</w:t>
            </w:r>
          </w:p>
        </w:tc>
        <w:tc>
          <w:tcPr>
            <w:tcW w:w="1674" w:type="dxa"/>
            <w:shd w:val="clear" w:color="auto" w:fill="auto"/>
            <w:vAlign w:val="center"/>
          </w:tcPr>
          <w:p w14:paraId="4E3A1665" w14:textId="77777777" w:rsidR="007415C5" w:rsidRPr="00544874" w:rsidRDefault="007415C5" w:rsidP="00544874">
            <w:pPr>
              <w:jc w:val="center"/>
              <w:rPr>
                <w:rFonts w:cs="Arial"/>
                <w:szCs w:val="22"/>
              </w:rPr>
            </w:pPr>
            <w:r w:rsidRPr="00544874">
              <w:rPr>
                <w:rFonts w:cs="Arial"/>
                <w:szCs w:val="22"/>
              </w:rPr>
              <w:t>30mg daily</w:t>
            </w:r>
          </w:p>
        </w:tc>
        <w:tc>
          <w:tcPr>
            <w:tcW w:w="1413" w:type="dxa"/>
            <w:vAlign w:val="center"/>
          </w:tcPr>
          <w:p w14:paraId="563C062B" w14:textId="77777777" w:rsidR="007415C5" w:rsidRPr="00544874" w:rsidRDefault="007415C5" w:rsidP="00544874">
            <w:pPr>
              <w:jc w:val="center"/>
              <w:rPr>
                <w:rFonts w:cs="Arial"/>
                <w:szCs w:val="22"/>
              </w:rPr>
            </w:pPr>
            <w:r w:rsidRPr="00544874">
              <w:rPr>
                <w:rFonts w:cs="Arial"/>
                <w:szCs w:val="22"/>
              </w:rPr>
              <w:t>Use with caution</w:t>
            </w:r>
          </w:p>
        </w:tc>
      </w:tr>
      <w:tr w:rsidR="00544874" w:rsidRPr="00544874" w14:paraId="6471F23C" w14:textId="77777777" w:rsidTr="00544874">
        <w:trPr>
          <w:jc w:val="center"/>
        </w:trPr>
        <w:tc>
          <w:tcPr>
            <w:tcW w:w="1668" w:type="dxa"/>
            <w:shd w:val="clear" w:color="auto" w:fill="F2F2F2" w:themeFill="background1" w:themeFillShade="F2"/>
            <w:vAlign w:val="center"/>
          </w:tcPr>
          <w:p w14:paraId="4FA040B8" w14:textId="77777777" w:rsidR="007415C5" w:rsidRPr="00544874" w:rsidRDefault="007415C5" w:rsidP="00544874">
            <w:pPr>
              <w:jc w:val="center"/>
              <w:rPr>
                <w:rFonts w:cs="Arial"/>
                <w:szCs w:val="22"/>
              </w:rPr>
            </w:pPr>
            <w:r w:rsidRPr="00544874">
              <w:rPr>
                <w:rFonts w:cs="Arial"/>
                <w:szCs w:val="22"/>
              </w:rPr>
              <w:t>CrCl</w:t>
            </w:r>
          </w:p>
          <w:p w14:paraId="51DFA0EB" w14:textId="77777777" w:rsidR="007415C5" w:rsidRPr="00544874" w:rsidRDefault="007415C5" w:rsidP="00544874">
            <w:pPr>
              <w:jc w:val="center"/>
              <w:rPr>
                <w:rFonts w:cs="Arial"/>
                <w:szCs w:val="22"/>
              </w:rPr>
            </w:pPr>
            <w:r w:rsidRPr="00544874">
              <w:rPr>
                <w:rFonts w:cs="Arial"/>
                <w:szCs w:val="22"/>
              </w:rPr>
              <w:t>15-29ml/min</w:t>
            </w:r>
          </w:p>
        </w:tc>
        <w:tc>
          <w:tcPr>
            <w:tcW w:w="2020" w:type="dxa"/>
            <w:shd w:val="clear" w:color="auto" w:fill="auto"/>
            <w:vAlign w:val="center"/>
          </w:tcPr>
          <w:p w14:paraId="0B2D3B8E" w14:textId="77777777" w:rsidR="007415C5" w:rsidRPr="00544874" w:rsidRDefault="007415C5" w:rsidP="00544874">
            <w:pPr>
              <w:jc w:val="center"/>
              <w:rPr>
                <w:rFonts w:cs="Arial"/>
                <w:szCs w:val="22"/>
              </w:rPr>
            </w:pPr>
            <w:r w:rsidRPr="00544874">
              <w:rPr>
                <w:rFonts w:cs="Arial"/>
                <w:szCs w:val="22"/>
              </w:rPr>
              <w:t>Contraindicated</w:t>
            </w:r>
          </w:p>
        </w:tc>
        <w:tc>
          <w:tcPr>
            <w:tcW w:w="1637" w:type="dxa"/>
            <w:shd w:val="clear" w:color="auto" w:fill="auto"/>
            <w:vAlign w:val="center"/>
          </w:tcPr>
          <w:p w14:paraId="61526471" w14:textId="77777777" w:rsidR="007415C5" w:rsidRPr="00544874" w:rsidRDefault="007415C5" w:rsidP="00544874">
            <w:pPr>
              <w:jc w:val="center"/>
              <w:rPr>
                <w:rFonts w:cs="Arial"/>
                <w:szCs w:val="22"/>
              </w:rPr>
            </w:pPr>
            <w:r w:rsidRPr="00544874">
              <w:rPr>
                <w:rFonts w:cs="Arial"/>
                <w:szCs w:val="22"/>
              </w:rPr>
              <w:t>Caution - 15mg daily</w:t>
            </w:r>
          </w:p>
        </w:tc>
        <w:tc>
          <w:tcPr>
            <w:tcW w:w="2079" w:type="dxa"/>
            <w:shd w:val="clear" w:color="auto" w:fill="auto"/>
            <w:vAlign w:val="center"/>
          </w:tcPr>
          <w:p w14:paraId="30E4232F" w14:textId="02FC56F2" w:rsidR="007415C5" w:rsidRPr="00544874" w:rsidRDefault="007415C5" w:rsidP="00544874">
            <w:pPr>
              <w:jc w:val="center"/>
              <w:rPr>
                <w:rFonts w:cs="Arial"/>
                <w:color w:val="000000"/>
                <w:szCs w:val="22"/>
                <w:shd w:val="clear" w:color="auto" w:fill="FFFFFF"/>
              </w:rPr>
            </w:pPr>
            <w:r w:rsidRPr="00544874">
              <w:rPr>
                <w:rFonts w:cs="Arial"/>
                <w:color w:val="000000"/>
                <w:szCs w:val="22"/>
                <w:shd w:val="clear" w:color="auto" w:fill="FFFFFF"/>
              </w:rPr>
              <w:t>2.5mg bd for</w:t>
            </w:r>
            <w:r w:rsidR="00C71032">
              <w:rPr>
                <w:rFonts w:cs="Arial"/>
                <w:color w:val="000000"/>
                <w:szCs w:val="22"/>
                <w:shd w:val="clear" w:color="auto" w:fill="FFFFFF"/>
              </w:rPr>
              <w:t xml:space="preserve"> </w:t>
            </w:r>
            <w:r w:rsidRPr="00544874">
              <w:rPr>
                <w:rFonts w:cs="Arial"/>
                <w:color w:val="000000"/>
                <w:szCs w:val="22"/>
                <w:shd w:val="clear" w:color="auto" w:fill="FFFFFF"/>
              </w:rPr>
              <w:t>prevention of stroke and systemic embolism in patients with NVAF</w:t>
            </w:r>
          </w:p>
          <w:p w14:paraId="537A4EB4" w14:textId="77777777" w:rsidR="007415C5" w:rsidRPr="00544874" w:rsidRDefault="007415C5" w:rsidP="00544874">
            <w:pPr>
              <w:jc w:val="center"/>
              <w:rPr>
                <w:rFonts w:cs="Arial"/>
                <w:szCs w:val="22"/>
              </w:rPr>
            </w:pPr>
            <w:r w:rsidRPr="00544874">
              <w:rPr>
                <w:rFonts w:cs="Arial"/>
                <w:color w:val="000000"/>
                <w:szCs w:val="22"/>
                <w:shd w:val="clear" w:color="auto" w:fill="FFFFFF"/>
              </w:rPr>
              <w:lastRenderedPageBreak/>
              <w:t>Use with caution for other indications</w:t>
            </w:r>
          </w:p>
        </w:tc>
        <w:tc>
          <w:tcPr>
            <w:tcW w:w="1674" w:type="dxa"/>
            <w:shd w:val="clear" w:color="auto" w:fill="auto"/>
            <w:vAlign w:val="center"/>
          </w:tcPr>
          <w:p w14:paraId="162A3D17" w14:textId="77777777" w:rsidR="007415C5" w:rsidRPr="00544874" w:rsidRDefault="007415C5" w:rsidP="00544874">
            <w:pPr>
              <w:jc w:val="center"/>
              <w:rPr>
                <w:rFonts w:cs="Arial"/>
                <w:szCs w:val="22"/>
              </w:rPr>
            </w:pPr>
            <w:r w:rsidRPr="00544874">
              <w:rPr>
                <w:rFonts w:cs="Arial"/>
                <w:szCs w:val="22"/>
              </w:rPr>
              <w:lastRenderedPageBreak/>
              <w:t>30mg daily</w:t>
            </w:r>
          </w:p>
        </w:tc>
        <w:tc>
          <w:tcPr>
            <w:tcW w:w="1413" w:type="dxa"/>
            <w:vAlign w:val="center"/>
          </w:tcPr>
          <w:p w14:paraId="28306A7C" w14:textId="77777777" w:rsidR="007415C5" w:rsidRPr="00544874" w:rsidRDefault="007415C5" w:rsidP="00544874">
            <w:pPr>
              <w:jc w:val="center"/>
              <w:rPr>
                <w:rFonts w:cs="Arial"/>
                <w:szCs w:val="22"/>
              </w:rPr>
            </w:pPr>
            <w:r w:rsidRPr="00544874">
              <w:rPr>
                <w:rFonts w:cs="Arial"/>
                <w:szCs w:val="22"/>
              </w:rPr>
              <w:t>Monitor INR more frequently</w:t>
            </w:r>
          </w:p>
        </w:tc>
      </w:tr>
      <w:tr w:rsidR="00544874" w:rsidRPr="00544874" w14:paraId="48BD540B" w14:textId="77777777" w:rsidTr="00544874">
        <w:trPr>
          <w:trHeight w:val="826"/>
          <w:jc w:val="center"/>
        </w:trPr>
        <w:tc>
          <w:tcPr>
            <w:tcW w:w="1668" w:type="dxa"/>
            <w:shd w:val="clear" w:color="auto" w:fill="F2F2F2" w:themeFill="background1" w:themeFillShade="F2"/>
            <w:vAlign w:val="center"/>
          </w:tcPr>
          <w:p w14:paraId="0266C3D0" w14:textId="55A5C9EC" w:rsidR="007415C5" w:rsidRPr="00544874" w:rsidRDefault="007415C5" w:rsidP="00544874">
            <w:pPr>
              <w:jc w:val="center"/>
              <w:rPr>
                <w:rFonts w:cs="Arial"/>
                <w:szCs w:val="22"/>
              </w:rPr>
            </w:pPr>
            <w:r w:rsidRPr="00544874">
              <w:rPr>
                <w:rFonts w:cs="Arial"/>
                <w:szCs w:val="22"/>
              </w:rPr>
              <w:t>CrCl &lt;15ml/min</w:t>
            </w:r>
          </w:p>
        </w:tc>
        <w:tc>
          <w:tcPr>
            <w:tcW w:w="2020" w:type="dxa"/>
            <w:shd w:val="clear" w:color="auto" w:fill="auto"/>
            <w:vAlign w:val="center"/>
          </w:tcPr>
          <w:p w14:paraId="3B72B823" w14:textId="77777777" w:rsidR="007415C5" w:rsidRPr="00544874" w:rsidRDefault="007415C5" w:rsidP="00544874">
            <w:pPr>
              <w:jc w:val="center"/>
              <w:rPr>
                <w:rFonts w:cs="Arial"/>
                <w:szCs w:val="22"/>
              </w:rPr>
            </w:pPr>
            <w:r w:rsidRPr="00544874">
              <w:rPr>
                <w:rFonts w:cs="Arial"/>
                <w:szCs w:val="22"/>
              </w:rPr>
              <w:t>Contraindicated</w:t>
            </w:r>
          </w:p>
        </w:tc>
        <w:tc>
          <w:tcPr>
            <w:tcW w:w="1637" w:type="dxa"/>
            <w:shd w:val="clear" w:color="auto" w:fill="auto"/>
            <w:vAlign w:val="center"/>
          </w:tcPr>
          <w:p w14:paraId="3B0EEBB0" w14:textId="77777777" w:rsidR="007415C5" w:rsidRPr="00544874" w:rsidRDefault="007415C5" w:rsidP="00544874">
            <w:pPr>
              <w:jc w:val="center"/>
              <w:rPr>
                <w:rFonts w:cs="Arial"/>
                <w:szCs w:val="22"/>
              </w:rPr>
            </w:pPr>
            <w:r w:rsidRPr="00544874">
              <w:rPr>
                <w:rFonts w:cs="Arial"/>
                <w:szCs w:val="22"/>
              </w:rPr>
              <w:t>Use not recommended</w:t>
            </w:r>
          </w:p>
        </w:tc>
        <w:tc>
          <w:tcPr>
            <w:tcW w:w="2079" w:type="dxa"/>
            <w:shd w:val="clear" w:color="auto" w:fill="auto"/>
            <w:vAlign w:val="center"/>
          </w:tcPr>
          <w:p w14:paraId="467488AB" w14:textId="77777777" w:rsidR="007415C5" w:rsidRPr="00544874" w:rsidRDefault="007415C5" w:rsidP="00544874">
            <w:pPr>
              <w:jc w:val="center"/>
              <w:rPr>
                <w:rFonts w:cs="Arial"/>
                <w:szCs w:val="22"/>
              </w:rPr>
            </w:pPr>
            <w:r w:rsidRPr="00544874">
              <w:rPr>
                <w:rFonts w:cs="Arial"/>
                <w:szCs w:val="22"/>
              </w:rPr>
              <w:t>Use not recommended</w:t>
            </w:r>
          </w:p>
        </w:tc>
        <w:tc>
          <w:tcPr>
            <w:tcW w:w="1674" w:type="dxa"/>
            <w:shd w:val="clear" w:color="auto" w:fill="auto"/>
            <w:vAlign w:val="center"/>
          </w:tcPr>
          <w:p w14:paraId="7FABD7C4" w14:textId="77777777" w:rsidR="007415C5" w:rsidRPr="00544874" w:rsidRDefault="007415C5" w:rsidP="00544874">
            <w:pPr>
              <w:jc w:val="center"/>
              <w:rPr>
                <w:rFonts w:cs="Arial"/>
                <w:szCs w:val="22"/>
              </w:rPr>
            </w:pPr>
            <w:r w:rsidRPr="00544874">
              <w:rPr>
                <w:rFonts w:cs="Arial"/>
                <w:szCs w:val="22"/>
              </w:rPr>
              <w:t>Use not recommended</w:t>
            </w:r>
          </w:p>
        </w:tc>
        <w:tc>
          <w:tcPr>
            <w:tcW w:w="1413" w:type="dxa"/>
          </w:tcPr>
          <w:p w14:paraId="7E817DA0" w14:textId="77777777" w:rsidR="007415C5" w:rsidRPr="00544874" w:rsidRDefault="007415C5" w:rsidP="00544874">
            <w:pPr>
              <w:jc w:val="center"/>
              <w:rPr>
                <w:rFonts w:cs="Arial"/>
                <w:szCs w:val="22"/>
              </w:rPr>
            </w:pPr>
            <w:r w:rsidRPr="00544874">
              <w:rPr>
                <w:rFonts w:cs="Arial"/>
                <w:szCs w:val="22"/>
              </w:rPr>
              <w:t>Monitor INR more frequently</w:t>
            </w:r>
          </w:p>
        </w:tc>
      </w:tr>
      <w:tr w:rsidR="00544874" w:rsidRPr="00544874" w14:paraId="0BB7334B" w14:textId="77777777" w:rsidTr="00544874">
        <w:trPr>
          <w:trHeight w:val="826"/>
          <w:jc w:val="center"/>
        </w:trPr>
        <w:tc>
          <w:tcPr>
            <w:tcW w:w="1668" w:type="dxa"/>
            <w:shd w:val="clear" w:color="auto" w:fill="F2F2F2" w:themeFill="background1" w:themeFillShade="F2"/>
            <w:vAlign w:val="center"/>
          </w:tcPr>
          <w:p w14:paraId="224DF9A6" w14:textId="77777777" w:rsidR="007415C5" w:rsidRPr="00544874" w:rsidRDefault="007415C5" w:rsidP="00544874">
            <w:pPr>
              <w:jc w:val="center"/>
              <w:rPr>
                <w:rFonts w:cs="Arial"/>
                <w:szCs w:val="22"/>
              </w:rPr>
            </w:pPr>
            <w:r w:rsidRPr="00544874">
              <w:rPr>
                <w:rFonts w:cs="Arial"/>
                <w:szCs w:val="22"/>
              </w:rPr>
              <w:t>Notes</w:t>
            </w:r>
          </w:p>
        </w:tc>
        <w:tc>
          <w:tcPr>
            <w:tcW w:w="2020" w:type="dxa"/>
            <w:shd w:val="clear" w:color="auto" w:fill="auto"/>
            <w:vAlign w:val="center"/>
          </w:tcPr>
          <w:p w14:paraId="246F0C01" w14:textId="77777777" w:rsidR="007415C5" w:rsidRPr="00544874" w:rsidRDefault="007415C5" w:rsidP="00544874">
            <w:pPr>
              <w:jc w:val="center"/>
              <w:rPr>
                <w:rFonts w:cs="Arial"/>
                <w:szCs w:val="22"/>
              </w:rPr>
            </w:pPr>
          </w:p>
        </w:tc>
        <w:tc>
          <w:tcPr>
            <w:tcW w:w="1637" w:type="dxa"/>
            <w:shd w:val="clear" w:color="auto" w:fill="auto"/>
            <w:vAlign w:val="center"/>
          </w:tcPr>
          <w:p w14:paraId="532C4CC4" w14:textId="52E59981" w:rsidR="007415C5" w:rsidRPr="00544874" w:rsidRDefault="007415C5" w:rsidP="00544874">
            <w:pPr>
              <w:jc w:val="center"/>
              <w:rPr>
                <w:rFonts w:cs="Arial"/>
                <w:szCs w:val="22"/>
              </w:rPr>
            </w:pPr>
            <w:r w:rsidRPr="00544874">
              <w:rPr>
                <w:rFonts w:cs="Arial"/>
                <w:szCs w:val="22"/>
              </w:rPr>
              <w:t>When dose is 10mg daily, no dosage adjustment necessary</w:t>
            </w:r>
          </w:p>
        </w:tc>
        <w:tc>
          <w:tcPr>
            <w:tcW w:w="2079" w:type="dxa"/>
            <w:shd w:val="clear" w:color="auto" w:fill="auto"/>
            <w:vAlign w:val="center"/>
          </w:tcPr>
          <w:p w14:paraId="6589E334" w14:textId="09CE8431" w:rsidR="007415C5" w:rsidRPr="00544874" w:rsidRDefault="007415C5" w:rsidP="00544874">
            <w:pPr>
              <w:jc w:val="center"/>
              <w:rPr>
                <w:rFonts w:cs="Arial"/>
                <w:szCs w:val="22"/>
              </w:rPr>
            </w:pPr>
            <w:r w:rsidRPr="00544874">
              <w:rPr>
                <w:rFonts w:cs="Arial"/>
                <w:szCs w:val="22"/>
              </w:rPr>
              <w:t>*</w:t>
            </w:r>
            <w:r w:rsidRPr="00544874">
              <w:rPr>
                <w:rFonts w:cs="Arial"/>
                <w:bCs/>
                <w:szCs w:val="22"/>
              </w:rPr>
              <w:t>For prevention of stroke and systemic embolism in patients with NVAF in</w:t>
            </w:r>
            <w:r w:rsidRPr="00544874">
              <w:rPr>
                <w:rFonts w:cs="Arial"/>
                <w:szCs w:val="22"/>
              </w:rPr>
              <w:t xml:space="preserve"> patients with serum creatinine ≥1.5mg/dL (133micromole/L), age ≥80 years or body weight ≤60kg</w:t>
            </w:r>
          </w:p>
        </w:tc>
        <w:tc>
          <w:tcPr>
            <w:tcW w:w="1674" w:type="dxa"/>
            <w:shd w:val="clear" w:color="auto" w:fill="auto"/>
            <w:vAlign w:val="center"/>
          </w:tcPr>
          <w:p w14:paraId="75DE2039" w14:textId="77777777" w:rsidR="007415C5" w:rsidRPr="00544874" w:rsidRDefault="007415C5" w:rsidP="00544874">
            <w:pPr>
              <w:jc w:val="center"/>
              <w:rPr>
                <w:rFonts w:cs="Arial"/>
                <w:szCs w:val="22"/>
              </w:rPr>
            </w:pPr>
          </w:p>
        </w:tc>
        <w:tc>
          <w:tcPr>
            <w:tcW w:w="1413" w:type="dxa"/>
          </w:tcPr>
          <w:p w14:paraId="65871ED8" w14:textId="77777777" w:rsidR="007415C5" w:rsidRPr="00544874" w:rsidRDefault="007415C5" w:rsidP="00544874">
            <w:pPr>
              <w:jc w:val="center"/>
              <w:rPr>
                <w:rFonts w:cs="Arial"/>
                <w:szCs w:val="22"/>
              </w:rPr>
            </w:pPr>
          </w:p>
        </w:tc>
      </w:tr>
    </w:tbl>
    <w:p w14:paraId="54403F45" w14:textId="77777777" w:rsidR="00544874" w:rsidRDefault="00544874"/>
    <w:tbl>
      <w:tblPr>
        <w:tblStyle w:val="TableGrid"/>
        <w:tblW w:w="0" w:type="auto"/>
        <w:jc w:val="center"/>
        <w:tblLook w:val="04A0" w:firstRow="1" w:lastRow="0" w:firstColumn="1" w:lastColumn="0" w:noHBand="0" w:noVBand="1"/>
      </w:tblPr>
      <w:tblGrid>
        <w:gridCol w:w="2689"/>
        <w:gridCol w:w="7046"/>
      </w:tblGrid>
      <w:tr w:rsidR="00CB300D" w:rsidRPr="00EB561B" w14:paraId="3773AA13" w14:textId="0E2E768F" w:rsidTr="00CB0FEA">
        <w:trPr>
          <w:tblHeader/>
          <w:jc w:val="center"/>
        </w:trPr>
        <w:tc>
          <w:tcPr>
            <w:tcW w:w="9735" w:type="dxa"/>
            <w:gridSpan w:val="2"/>
            <w:shd w:val="clear" w:color="auto" w:fill="F2F2F2" w:themeFill="background1" w:themeFillShade="F2"/>
            <w:vAlign w:val="center"/>
          </w:tcPr>
          <w:p w14:paraId="13D0F7FC" w14:textId="77777777" w:rsidR="00CB0FEA" w:rsidRDefault="00CB300D" w:rsidP="00CB0FEA">
            <w:pPr>
              <w:pStyle w:val="Heading2"/>
            </w:pPr>
            <w:bookmarkStart w:id="49" w:name="_Toc363736444"/>
            <w:bookmarkStart w:id="50" w:name="_Toc365717731"/>
            <w:bookmarkStart w:id="51" w:name="_Toc106708895"/>
            <w:bookmarkStart w:id="52" w:name="_Toc96868247"/>
            <w:bookmarkStart w:id="53" w:name="_Toc102142795"/>
            <w:bookmarkStart w:id="54" w:name="_Toc104910447"/>
            <w:r w:rsidRPr="00EB561B">
              <w:lastRenderedPageBreak/>
              <w:t>Dose in AF</w:t>
            </w:r>
            <w:bookmarkEnd w:id="49"/>
            <w:bookmarkEnd w:id="50"/>
            <w:bookmarkEnd w:id="51"/>
          </w:p>
          <w:p w14:paraId="37FB8195" w14:textId="05160D99" w:rsidR="003331CC" w:rsidRPr="00EB561B" w:rsidRDefault="0060241C" w:rsidP="00544874">
            <w:r w:rsidRPr="00EB561B">
              <w:t>D</w:t>
            </w:r>
            <w:bookmarkStart w:id="55" w:name="_Toc365717732"/>
            <w:bookmarkStart w:id="56" w:name="_Toc96868248"/>
            <w:bookmarkEnd w:id="52"/>
            <w:r w:rsidR="00CB300D" w:rsidRPr="00EB561B">
              <w:t>uration of therapy should be individualised after careful assessment of the treatment benefit against the risk for bleeding</w:t>
            </w:r>
            <w:bookmarkEnd w:id="55"/>
            <w:r w:rsidR="00CB300D" w:rsidRPr="00EB561B">
              <w:t>.</w:t>
            </w:r>
            <w:r w:rsidR="00D42831" w:rsidRPr="00EB561B">
              <w:t xml:space="preserve"> Do not stop anticoagulation solely because AF is no longer detectable. Base decisions to stop anticoagulation on a reassessment of stroke and bleeding risk using CHA</w:t>
            </w:r>
            <w:r w:rsidR="00D42831" w:rsidRPr="00EB561B">
              <w:rPr>
                <w:vertAlign w:val="subscript"/>
              </w:rPr>
              <w:t>2</w:t>
            </w:r>
            <w:r w:rsidR="00D42831" w:rsidRPr="00EB561B">
              <w:t>DS</w:t>
            </w:r>
            <w:r w:rsidR="00D42831" w:rsidRPr="00EB561B">
              <w:rPr>
                <w:vertAlign w:val="subscript"/>
              </w:rPr>
              <w:t>2</w:t>
            </w:r>
            <w:r w:rsidR="00D42831" w:rsidRPr="00EB561B">
              <w:t>VAS</w:t>
            </w:r>
            <w:r w:rsidR="00636C92" w:rsidRPr="00EB561B">
              <w:t>c</w:t>
            </w:r>
            <w:r w:rsidR="00D42831" w:rsidRPr="00EB561B">
              <w:t xml:space="preserve"> and ORBIT and a discussion of the patients preferences</w:t>
            </w:r>
            <w:bookmarkEnd w:id="56"/>
            <w:r w:rsidR="00131223" w:rsidRPr="00EB561B">
              <w:t>.</w:t>
            </w:r>
            <w:bookmarkEnd w:id="53"/>
            <w:r w:rsidR="00434CA9" w:rsidRPr="00EB561B">
              <w:rPr>
                <w:vertAlign w:val="superscript"/>
              </w:rPr>
              <w:t>2</w:t>
            </w:r>
            <w:bookmarkEnd w:id="54"/>
            <w:r w:rsidR="00295A52">
              <w:rPr>
                <w:vertAlign w:val="superscript"/>
              </w:rPr>
              <w:t>4</w:t>
            </w:r>
          </w:p>
          <w:p w14:paraId="2786F46A" w14:textId="4683AF79" w:rsidR="003331CC" w:rsidRPr="00EB561B" w:rsidRDefault="003331CC" w:rsidP="00544874">
            <w:pPr>
              <w:rPr>
                <w:b/>
              </w:rPr>
            </w:pPr>
            <w:r w:rsidRPr="00EB561B">
              <w:rPr>
                <w:b/>
              </w:rPr>
              <w:t>Warfarin treatment is usually long term.</w:t>
            </w:r>
          </w:p>
        </w:tc>
      </w:tr>
      <w:tr w:rsidR="00A85A68" w:rsidRPr="00EB561B" w14:paraId="1B3F12FF" w14:textId="77777777" w:rsidTr="00A85A68">
        <w:trPr>
          <w:tblHeader/>
          <w:jc w:val="center"/>
        </w:trPr>
        <w:tc>
          <w:tcPr>
            <w:tcW w:w="2689" w:type="dxa"/>
            <w:shd w:val="clear" w:color="auto" w:fill="DBE5F1" w:themeFill="accent1" w:themeFillTint="33"/>
            <w:vAlign w:val="center"/>
          </w:tcPr>
          <w:p w14:paraId="1D8D2F96" w14:textId="4AA288B7" w:rsidR="00A85A68" w:rsidRPr="00A85A68" w:rsidRDefault="00A85A68" w:rsidP="00A85A68">
            <w:pPr>
              <w:rPr>
                <w:b/>
                <w:bCs/>
              </w:rPr>
            </w:pPr>
            <w:bookmarkStart w:id="57" w:name="_Hlk106093546"/>
            <w:r w:rsidRPr="00A85A68">
              <w:rPr>
                <w:b/>
                <w:bCs/>
              </w:rPr>
              <w:t xml:space="preserve">Dabigatran </w:t>
            </w:r>
            <w:r w:rsidR="007D1B0D">
              <w:rPr>
                <w:b/>
                <w:bCs/>
              </w:rPr>
              <w:t xml:space="preserve">  </w:t>
            </w:r>
            <w:r w:rsidRPr="00A85A68">
              <w:rPr>
                <w:b/>
                <w:bCs/>
              </w:rPr>
              <w:t>(Pradaxa</w:t>
            </w:r>
            <w:r w:rsidRPr="00A85A68">
              <w:rPr>
                <w:b/>
                <w:bCs/>
              </w:rPr>
              <w:sym w:font="Symbol" w:char="F0D2"/>
            </w:r>
            <w:r w:rsidRPr="00A85A68">
              <w:rPr>
                <w:b/>
                <w:bCs/>
              </w:rPr>
              <w:t>)</w:t>
            </w:r>
            <w:r w:rsidRPr="00A85A68">
              <w:rPr>
                <w:b/>
                <w:bCs/>
                <w:vertAlign w:val="superscript"/>
              </w:rPr>
              <w:t>1</w:t>
            </w:r>
          </w:p>
        </w:tc>
        <w:tc>
          <w:tcPr>
            <w:tcW w:w="7046" w:type="dxa"/>
            <w:shd w:val="clear" w:color="auto" w:fill="auto"/>
            <w:vAlign w:val="center"/>
          </w:tcPr>
          <w:p w14:paraId="6FA34BAD" w14:textId="4C606142" w:rsidR="00A85A68" w:rsidRPr="00EB561B" w:rsidRDefault="00A85A68" w:rsidP="00852362">
            <w:r w:rsidRPr="00EB561B">
              <w:t>&lt; 80</w:t>
            </w:r>
            <w:r w:rsidR="000724A8">
              <w:t xml:space="preserve"> </w:t>
            </w:r>
            <w:r w:rsidRPr="00EB561B">
              <w:t>y</w:t>
            </w:r>
            <w:r w:rsidR="000724A8">
              <w:t>ea</w:t>
            </w:r>
            <w:r w:rsidRPr="00EB561B">
              <w:t>rs: 150mg twice daily</w:t>
            </w:r>
          </w:p>
          <w:p w14:paraId="669B26BA" w14:textId="287FF4F9" w:rsidR="00A85A68" w:rsidRPr="00EB561B" w:rsidRDefault="00A85A68" w:rsidP="00852362">
            <w:r w:rsidRPr="00EB561B">
              <w:sym w:font="Symbol" w:char="F0B3"/>
            </w:r>
            <w:r w:rsidRPr="00EB561B">
              <w:t>80</w:t>
            </w:r>
            <w:r w:rsidR="000724A8">
              <w:t xml:space="preserve"> </w:t>
            </w:r>
            <w:r w:rsidRPr="00EB561B">
              <w:t>y</w:t>
            </w:r>
            <w:r w:rsidR="000724A8">
              <w:t>ea</w:t>
            </w:r>
            <w:r w:rsidRPr="00EB561B">
              <w:t xml:space="preserve">rs or also on verapamil: 110mg twice daily after individual assessment of thromboembolic and bleeding risk </w:t>
            </w:r>
          </w:p>
          <w:p w14:paraId="6929A993" w14:textId="77777777" w:rsidR="00A85A68" w:rsidRPr="00EB561B" w:rsidRDefault="00A85A68" w:rsidP="00852362">
            <w:r w:rsidRPr="00EB561B">
              <w:t>150mg twice daily or 110mg twice daily should be selected based on an individual assessment of the thromboembolic risk and the risk of bleeding for following:</w:t>
            </w:r>
          </w:p>
          <w:p w14:paraId="7E5B5DD7" w14:textId="4FE5BFAF" w:rsidR="00A85A68" w:rsidRPr="00EB561B" w:rsidRDefault="00A85A68" w:rsidP="00852362">
            <w:pPr>
              <w:pStyle w:val="ListParagraph"/>
              <w:numPr>
                <w:ilvl w:val="0"/>
                <w:numId w:val="20"/>
              </w:numPr>
            </w:pPr>
            <w:r w:rsidRPr="00EB561B">
              <w:t>Age 75-80</w:t>
            </w:r>
            <w:r w:rsidR="000724A8">
              <w:t xml:space="preserve"> </w:t>
            </w:r>
            <w:r w:rsidRPr="00EB561B">
              <w:t>y</w:t>
            </w:r>
            <w:r w:rsidR="006B32CB">
              <w:t>ea</w:t>
            </w:r>
            <w:r w:rsidRPr="00EB561B">
              <w:t>rs</w:t>
            </w:r>
          </w:p>
          <w:p w14:paraId="122C0176" w14:textId="77777777" w:rsidR="00A85A68" w:rsidRPr="00EB561B" w:rsidRDefault="00A85A68" w:rsidP="00852362">
            <w:pPr>
              <w:pStyle w:val="ListParagraph"/>
              <w:numPr>
                <w:ilvl w:val="0"/>
                <w:numId w:val="20"/>
              </w:numPr>
            </w:pPr>
            <w:r w:rsidRPr="00EB561B">
              <w:t>CrCl 30-50ml/min</w:t>
            </w:r>
          </w:p>
          <w:p w14:paraId="3D40C530" w14:textId="77777777" w:rsidR="00A85A68" w:rsidRPr="00EB561B" w:rsidRDefault="00A85A68" w:rsidP="00852362">
            <w:pPr>
              <w:pStyle w:val="ListParagraph"/>
              <w:numPr>
                <w:ilvl w:val="0"/>
                <w:numId w:val="20"/>
              </w:numPr>
            </w:pPr>
            <w:r w:rsidRPr="00EB561B">
              <w:t>Patients with gastritis, esophagitis or gastroesophageal reflux</w:t>
            </w:r>
          </w:p>
          <w:p w14:paraId="034578FC" w14:textId="78D99A8D" w:rsidR="00A85A68" w:rsidRPr="00EB561B" w:rsidRDefault="00A85A68" w:rsidP="00852362">
            <w:r w:rsidRPr="00EB561B">
              <w:t>Other patients at increased risk of bleeding</w:t>
            </w:r>
          </w:p>
        </w:tc>
      </w:tr>
      <w:tr w:rsidR="00A85A68" w:rsidRPr="00EB561B" w14:paraId="0C88E8A5" w14:textId="77777777" w:rsidTr="00A85A68">
        <w:trPr>
          <w:tblHeader/>
          <w:jc w:val="center"/>
        </w:trPr>
        <w:tc>
          <w:tcPr>
            <w:tcW w:w="2689" w:type="dxa"/>
            <w:shd w:val="clear" w:color="auto" w:fill="F2DBDB" w:themeFill="accent2" w:themeFillTint="33"/>
            <w:vAlign w:val="center"/>
          </w:tcPr>
          <w:p w14:paraId="3BBFF444" w14:textId="0038E1A6" w:rsidR="00A85A68" w:rsidRPr="00A85A68" w:rsidRDefault="00A85A68" w:rsidP="00A85A68">
            <w:pPr>
              <w:rPr>
                <w:b/>
                <w:bCs/>
              </w:rPr>
            </w:pPr>
            <w:r w:rsidRPr="00A85A68">
              <w:rPr>
                <w:b/>
                <w:bCs/>
                <w:szCs w:val="22"/>
              </w:rPr>
              <w:t>Rivaroxaban (Xarelto</w:t>
            </w:r>
            <w:r w:rsidRPr="00A85A68">
              <w:rPr>
                <w:b/>
                <w:bCs/>
                <w:szCs w:val="22"/>
              </w:rPr>
              <w:sym w:font="Symbol" w:char="F0D2"/>
            </w:r>
            <w:r w:rsidRPr="00A85A68">
              <w:rPr>
                <w:rFonts w:cs="Arial"/>
                <w:b/>
                <w:bCs/>
                <w:szCs w:val="22"/>
              </w:rPr>
              <w:t>▼</w:t>
            </w:r>
            <w:r w:rsidRPr="00A85A68">
              <w:rPr>
                <w:b/>
                <w:bCs/>
                <w:szCs w:val="22"/>
              </w:rPr>
              <w:t>)</w:t>
            </w:r>
            <w:r w:rsidRPr="00A85A68">
              <w:rPr>
                <w:b/>
                <w:bCs/>
                <w:szCs w:val="22"/>
                <w:vertAlign w:val="superscript"/>
              </w:rPr>
              <w:t>2</w:t>
            </w:r>
          </w:p>
        </w:tc>
        <w:tc>
          <w:tcPr>
            <w:tcW w:w="7046" w:type="dxa"/>
            <w:shd w:val="clear" w:color="auto" w:fill="auto"/>
            <w:vAlign w:val="center"/>
          </w:tcPr>
          <w:p w14:paraId="3B745B34" w14:textId="77777777" w:rsidR="00A85A68" w:rsidRPr="00EB561B" w:rsidRDefault="00A85A68" w:rsidP="00852362">
            <w:r w:rsidRPr="00EB561B">
              <w:t>20mg daily</w:t>
            </w:r>
          </w:p>
          <w:p w14:paraId="4E0AB9DB" w14:textId="55DFEDBB" w:rsidR="00A85A68" w:rsidRPr="00EB561B" w:rsidRDefault="00A85A68" w:rsidP="00852362">
            <w:r w:rsidRPr="00EB561B">
              <w:t xml:space="preserve">In patients with CrCl 30–49ml/min or CrCl 15–29ml/min, reduce dose to 15mg daily </w:t>
            </w:r>
          </w:p>
        </w:tc>
      </w:tr>
      <w:tr w:rsidR="00A85A68" w:rsidRPr="002315F1" w14:paraId="7269C508" w14:textId="77777777" w:rsidTr="00A85A68">
        <w:trPr>
          <w:tblHeader/>
          <w:jc w:val="center"/>
        </w:trPr>
        <w:tc>
          <w:tcPr>
            <w:tcW w:w="2689" w:type="dxa"/>
            <w:shd w:val="clear" w:color="auto" w:fill="E5DFEC" w:themeFill="accent4" w:themeFillTint="33"/>
            <w:vAlign w:val="center"/>
          </w:tcPr>
          <w:p w14:paraId="2B05C3F9" w14:textId="150BF06F" w:rsidR="00A85A68" w:rsidRPr="00A85A68" w:rsidRDefault="00A85A68" w:rsidP="00A85A68">
            <w:pPr>
              <w:rPr>
                <w:b/>
                <w:bCs/>
              </w:rPr>
            </w:pPr>
            <w:r w:rsidRPr="00A85A68">
              <w:rPr>
                <w:b/>
                <w:bCs/>
                <w:szCs w:val="22"/>
              </w:rPr>
              <w:t xml:space="preserve">Apixaban </w:t>
            </w:r>
            <w:r w:rsidR="007D1B0D">
              <w:rPr>
                <w:b/>
                <w:bCs/>
                <w:szCs w:val="22"/>
              </w:rPr>
              <w:t xml:space="preserve">     </w:t>
            </w:r>
            <w:r w:rsidRPr="00A85A68">
              <w:rPr>
                <w:b/>
                <w:bCs/>
                <w:szCs w:val="22"/>
              </w:rPr>
              <w:t>(Eliquis</w:t>
            </w:r>
            <w:r w:rsidRPr="00A85A68">
              <w:rPr>
                <w:b/>
                <w:bCs/>
                <w:szCs w:val="22"/>
              </w:rPr>
              <w:sym w:font="Symbol" w:char="F0D2"/>
            </w:r>
            <w:r w:rsidRPr="00A85A68">
              <w:rPr>
                <w:b/>
                <w:bCs/>
                <w:szCs w:val="22"/>
              </w:rPr>
              <w:t>)</w:t>
            </w:r>
            <w:r w:rsidRPr="00A85A68">
              <w:rPr>
                <w:b/>
                <w:bCs/>
                <w:szCs w:val="22"/>
                <w:vertAlign w:val="superscript"/>
              </w:rPr>
              <w:t>3</w:t>
            </w:r>
          </w:p>
        </w:tc>
        <w:tc>
          <w:tcPr>
            <w:tcW w:w="7046" w:type="dxa"/>
            <w:shd w:val="clear" w:color="auto" w:fill="auto"/>
            <w:vAlign w:val="center"/>
          </w:tcPr>
          <w:p w14:paraId="3E79C884" w14:textId="77777777" w:rsidR="00A85A68" w:rsidRPr="00EB561B" w:rsidRDefault="00A85A68" w:rsidP="00852362">
            <w:r w:rsidRPr="00EB561B">
              <w:t xml:space="preserve">5mg twice daily </w:t>
            </w:r>
          </w:p>
          <w:p w14:paraId="610E4705" w14:textId="77777777" w:rsidR="00A85A68" w:rsidRPr="00EB561B" w:rsidRDefault="00A85A68" w:rsidP="00852362">
            <w:r w:rsidRPr="00EB561B">
              <w:t xml:space="preserve">Reduce to 2.5 mg twice daily in patients with two or more of the following characteristics: </w:t>
            </w:r>
          </w:p>
          <w:p w14:paraId="7BC76733" w14:textId="77777777" w:rsidR="00A85A68" w:rsidRPr="00EB561B" w:rsidRDefault="00A85A68" w:rsidP="00852362">
            <w:r w:rsidRPr="00EB561B">
              <w:t>Age ≥80 years</w:t>
            </w:r>
            <w:r>
              <w:t xml:space="preserve"> </w:t>
            </w:r>
            <w:r w:rsidRPr="00EB561B">
              <w:t xml:space="preserve"> </w:t>
            </w:r>
          </w:p>
          <w:p w14:paraId="2BCF0E4F" w14:textId="77777777" w:rsidR="00A85A68" w:rsidRPr="00EB561B" w:rsidRDefault="00A85A68" w:rsidP="00852362">
            <w:r w:rsidRPr="00EB561B">
              <w:t xml:space="preserve">Body weight ≤ 60kg </w:t>
            </w:r>
          </w:p>
          <w:p w14:paraId="173BF66F" w14:textId="1B689F1C" w:rsidR="00A85A68" w:rsidRPr="00141400" w:rsidRDefault="00A85A68" w:rsidP="00852362">
            <w:r w:rsidRPr="00141400">
              <w:t>Serum creatinine ≥1.5mg/dL (133 micromole/L)</w:t>
            </w:r>
          </w:p>
        </w:tc>
      </w:tr>
      <w:tr w:rsidR="00A85A68" w:rsidRPr="00EB561B" w14:paraId="377DD217" w14:textId="77777777" w:rsidTr="00A85A68">
        <w:trPr>
          <w:tblHeader/>
          <w:jc w:val="center"/>
        </w:trPr>
        <w:tc>
          <w:tcPr>
            <w:tcW w:w="2689" w:type="dxa"/>
            <w:shd w:val="clear" w:color="auto" w:fill="FDE9D9" w:themeFill="accent6" w:themeFillTint="33"/>
            <w:vAlign w:val="center"/>
          </w:tcPr>
          <w:p w14:paraId="6B3CF53D" w14:textId="7B8C4AF2" w:rsidR="00A85A68" w:rsidRPr="00A85A68" w:rsidRDefault="00A85A68" w:rsidP="00A85A68">
            <w:pPr>
              <w:rPr>
                <w:b/>
                <w:bCs/>
              </w:rPr>
            </w:pPr>
            <w:r w:rsidRPr="00A85A68">
              <w:rPr>
                <w:b/>
                <w:bCs/>
                <w:szCs w:val="22"/>
              </w:rPr>
              <w:t xml:space="preserve">Edoxaban </w:t>
            </w:r>
            <w:r w:rsidR="007D1B0D">
              <w:rPr>
                <w:b/>
                <w:bCs/>
                <w:szCs w:val="22"/>
              </w:rPr>
              <w:t xml:space="preserve">    </w:t>
            </w:r>
            <w:r w:rsidRPr="00A85A68">
              <w:rPr>
                <w:b/>
                <w:bCs/>
                <w:szCs w:val="22"/>
              </w:rPr>
              <w:t>(Lixiana</w:t>
            </w:r>
            <w:r w:rsidRPr="00A85A68">
              <w:rPr>
                <w:b/>
                <w:bCs/>
                <w:szCs w:val="22"/>
              </w:rPr>
              <w:sym w:font="Symbol" w:char="F0D2"/>
            </w:r>
            <w:r w:rsidRPr="00A85A68">
              <w:rPr>
                <w:b/>
                <w:bCs/>
                <w:szCs w:val="22"/>
              </w:rPr>
              <w:t>)</w:t>
            </w:r>
            <w:r w:rsidRPr="00A85A68">
              <w:rPr>
                <w:b/>
                <w:bCs/>
                <w:szCs w:val="22"/>
                <w:vertAlign w:val="superscript"/>
              </w:rPr>
              <w:t>4</w:t>
            </w:r>
          </w:p>
        </w:tc>
        <w:tc>
          <w:tcPr>
            <w:tcW w:w="7046" w:type="dxa"/>
            <w:shd w:val="clear" w:color="auto" w:fill="auto"/>
            <w:vAlign w:val="center"/>
          </w:tcPr>
          <w:p w14:paraId="034ECB6A" w14:textId="77777777" w:rsidR="00A85A68" w:rsidRPr="00EB561B" w:rsidRDefault="00A85A68" w:rsidP="00852362">
            <w:r w:rsidRPr="00EB561B">
              <w:t>60mg daily</w:t>
            </w:r>
          </w:p>
          <w:p w14:paraId="00DE542A" w14:textId="77777777" w:rsidR="00A85A68" w:rsidRPr="00EB561B" w:rsidRDefault="00A85A68" w:rsidP="00852362">
            <w:r w:rsidRPr="00EB561B">
              <w:t>Reduce dose to 30mg with one or more of following risk factors:</w:t>
            </w:r>
          </w:p>
          <w:p w14:paraId="6C4F7AA4" w14:textId="77777777" w:rsidR="00A85A68" w:rsidRPr="00EB561B" w:rsidRDefault="00A85A68" w:rsidP="00852362">
            <w:r w:rsidRPr="00EB561B">
              <w:t>Moderate to severe renal impairment (CrCl 15-50ml/min)</w:t>
            </w:r>
          </w:p>
          <w:p w14:paraId="4020DCEF" w14:textId="77777777" w:rsidR="00A85A68" w:rsidRPr="00EB561B" w:rsidRDefault="00A85A68" w:rsidP="00852362">
            <w:r w:rsidRPr="00EB561B">
              <w:t>Body weight ≤60kg</w:t>
            </w:r>
          </w:p>
          <w:p w14:paraId="1C991315" w14:textId="747412FF" w:rsidR="00A85A68" w:rsidRPr="00EB561B" w:rsidRDefault="00A85A68" w:rsidP="00852362">
            <w:r w:rsidRPr="00EB561B">
              <w:t>Concomitant use of P-glycoprotein inhibitors (ciclosporin, dronedarone, erythromycin, or ketoconazole)</w:t>
            </w:r>
          </w:p>
        </w:tc>
      </w:tr>
      <w:tr w:rsidR="00A85A68" w:rsidRPr="00EB561B" w14:paraId="515CA54F" w14:textId="77777777" w:rsidTr="00A85A68">
        <w:trPr>
          <w:tblHeader/>
          <w:jc w:val="center"/>
        </w:trPr>
        <w:tc>
          <w:tcPr>
            <w:tcW w:w="2689" w:type="dxa"/>
            <w:shd w:val="clear" w:color="auto" w:fill="EAF1DD" w:themeFill="accent3" w:themeFillTint="33"/>
            <w:vAlign w:val="center"/>
          </w:tcPr>
          <w:p w14:paraId="7CBA0672" w14:textId="77777777" w:rsidR="00A85A68" w:rsidRPr="00544874" w:rsidRDefault="00A85A68" w:rsidP="00A85A68">
            <w:pPr>
              <w:rPr>
                <w:b/>
                <w:szCs w:val="22"/>
              </w:rPr>
            </w:pPr>
            <w:r w:rsidRPr="00544874">
              <w:rPr>
                <w:b/>
                <w:szCs w:val="22"/>
              </w:rPr>
              <w:t>Warfarin</w:t>
            </w:r>
            <w:r w:rsidRPr="00544874">
              <w:rPr>
                <w:b/>
                <w:szCs w:val="22"/>
                <w:vertAlign w:val="superscript"/>
              </w:rPr>
              <w:t>5,6</w:t>
            </w:r>
            <w:r w:rsidRPr="00544874">
              <w:rPr>
                <w:b/>
                <w:szCs w:val="22"/>
              </w:rPr>
              <w:t xml:space="preserve"> </w:t>
            </w:r>
          </w:p>
          <w:p w14:paraId="5B8344DD" w14:textId="079633F6" w:rsidR="00A85A68" w:rsidRPr="00A85A68" w:rsidRDefault="00A85A68" w:rsidP="00A85A68">
            <w:pPr>
              <w:rPr>
                <w:bCs/>
              </w:rPr>
            </w:pPr>
            <w:r w:rsidRPr="00A85A68">
              <w:rPr>
                <w:bCs/>
                <w:szCs w:val="22"/>
              </w:rPr>
              <w:t>Dose is tailored to the individual, dependent on the prothrombin time (PT)</w:t>
            </w:r>
          </w:p>
        </w:tc>
        <w:tc>
          <w:tcPr>
            <w:tcW w:w="7046" w:type="dxa"/>
            <w:shd w:val="clear" w:color="auto" w:fill="auto"/>
          </w:tcPr>
          <w:p w14:paraId="7FC77B61" w14:textId="77777777" w:rsidR="00A85A68" w:rsidRPr="00EB561B" w:rsidRDefault="00A85A68" w:rsidP="00852362">
            <w:r w:rsidRPr="00EB561B">
              <w:t xml:space="preserve">Target INR 2.5 </w:t>
            </w:r>
          </w:p>
          <w:p w14:paraId="22D53D03" w14:textId="2262BE6D" w:rsidR="00A85A68" w:rsidRPr="00EB561B" w:rsidRDefault="00A85A68" w:rsidP="00852362">
            <w:r w:rsidRPr="00EB561B">
              <w:t>Typical induction dose of warfarin is 10mg daily for 2 days</w:t>
            </w:r>
          </w:p>
          <w:p w14:paraId="699270D5" w14:textId="77777777" w:rsidR="00A85A68" w:rsidRPr="00EB561B" w:rsidRDefault="00A85A68" w:rsidP="00852362">
            <w:r w:rsidRPr="00EB561B">
              <w:t>Baseline PT should be taken at outset</w:t>
            </w:r>
          </w:p>
          <w:p w14:paraId="55F5CA3F" w14:textId="31FF85EE" w:rsidR="00A85A68" w:rsidRPr="00EB561B" w:rsidRDefault="00A85A68" w:rsidP="00852362">
            <w:r w:rsidRPr="00EB561B">
              <w:t>Daily</w:t>
            </w:r>
            <w:r>
              <w:t xml:space="preserve"> </w:t>
            </w:r>
            <w:r w:rsidRPr="00EB561B">
              <w:t>maintenance dose of warfarin is usually 3mg to 9mg dependent on PT or other anticoagulation tests</w:t>
            </w:r>
            <w:r w:rsidRPr="00EB561B">
              <w:rPr>
                <w:vertAlign w:val="superscript"/>
              </w:rPr>
              <w:t>5</w:t>
            </w:r>
          </w:p>
        </w:tc>
      </w:tr>
      <w:bookmarkEnd w:id="57"/>
    </w:tbl>
    <w:p w14:paraId="64DA6A85" w14:textId="77777777" w:rsidR="00A85A68" w:rsidRDefault="00A85A68"/>
    <w:p w14:paraId="289828CA" w14:textId="7903EAE8" w:rsidR="00CB0FEA" w:rsidRDefault="00CB0FEA"/>
    <w:p w14:paraId="2657C4E9" w14:textId="1029F796" w:rsidR="00625207" w:rsidRDefault="00625207"/>
    <w:p w14:paraId="350C0046" w14:textId="5387F781" w:rsidR="00625207" w:rsidRDefault="00625207"/>
    <w:tbl>
      <w:tblPr>
        <w:tblStyle w:val="TableGrid"/>
        <w:tblW w:w="5000" w:type="pct"/>
        <w:jc w:val="center"/>
        <w:tblLook w:val="04A0" w:firstRow="1" w:lastRow="0" w:firstColumn="1" w:lastColumn="0" w:noHBand="0" w:noVBand="1"/>
      </w:tblPr>
      <w:tblGrid>
        <w:gridCol w:w="1838"/>
        <w:gridCol w:w="851"/>
        <w:gridCol w:w="7046"/>
      </w:tblGrid>
      <w:tr w:rsidR="00CB0FEA" w:rsidRPr="00EB561B" w14:paraId="4821DEE1" w14:textId="77777777" w:rsidTr="00CB0FEA">
        <w:trPr>
          <w:jc w:val="center"/>
        </w:trPr>
        <w:tc>
          <w:tcPr>
            <w:tcW w:w="5000" w:type="pct"/>
            <w:gridSpan w:val="3"/>
            <w:shd w:val="clear" w:color="auto" w:fill="F2F2F2" w:themeFill="background1" w:themeFillShade="F2"/>
            <w:vAlign w:val="center"/>
          </w:tcPr>
          <w:p w14:paraId="0300935C" w14:textId="4B2FEAC9" w:rsidR="00CB0FEA" w:rsidRPr="00CB0FEA" w:rsidRDefault="00CB0FEA" w:rsidP="00852362">
            <w:pPr>
              <w:pStyle w:val="Heading2"/>
              <w:rPr>
                <w:sz w:val="24"/>
              </w:rPr>
            </w:pPr>
            <w:bookmarkStart w:id="58" w:name="_Toc104910448"/>
            <w:bookmarkStart w:id="59" w:name="_Toc106708896"/>
            <w:r w:rsidRPr="00CB0FEA">
              <w:lastRenderedPageBreak/>
              <w:t>Dose in treatment and prevention of DVT and PE</w:t>
            </w:r>
            <w:bookmarkEnd w:id="58"/>
            <w:bookmarkEnd w:id="59"/>
          </w:p>
        </w:tc>
      </w:tr>
      <w:tr w:rsidR="00852362" w:rsidRPr="00EB561B" w14:paraId="3B2E8A7E" w14:textId="77777777" w:rsidTr="00852362">
        <w:trPr>
          <w:jc w:val="center"/>
        </w:trPr>
        <w:tc>
          <w:tcPr>
            <w:tcW w:w="5000" w:type="pct"/>
            <w:gridSpan w:val="3"/>
            <w:shd w:val="clear" w:color="auto" w:fill="auto"/>
            <w:vAlign w:val="center"/>
          </w:tcPr>
          <w:p w14:paraId="5039529A" w14:textId="7CCB4230" w:rsidR="00852362" w:rsidRPr="00EB561B" w:rsidRDefault="00852362" w:rsidP="007A31AF">
            <w:pPr>
              <w:spacing w:before="60" w:after="60"/>
              <w:rPr>
                <w:b/>
                <w:szCs w:val="22"/>
              </w:rPr>
            </w:pPr>
            <w:bookmarkStart w:id="60" w:name="_Toc96966694"/>
            <w:bookmarkStart w:id="61" w:name="_Toc96966795"/>
            <w:bookmarkStart w:id="62" w:name="_Toc96967122"/>
            <w:bookmarkStart w:id="63" w:name="_Toc99387344"/>
            <w:bookmarkStart w:id="64" w:name="_Toc102142797"/>
            <w:bookmarkStart w:id="65" w:name="_Toc102563010"/>
            <w:bookmarkStart w:id="66" w:name="_Toc104910449"/>
            <w:r w:rsidRPr="00EB561B">
              <w:rPr>
                <w:szCs w:val="22"/>
              </w:rPr>
              <w:t xml:space="preserve">Short duration of therapy (at least </w:t>
            </w:r>
            <w:r>
              <w:rPr>
                <w:szCs w:val="22"/>
              </w:rPr>
              <w:t>three</w:t>
            </w:r>
            <w:r w:rsidRPr="00EB561B">
              <w:rPr>
                <w:szCs w:val="22"/>
              </w:rPr>
              <w:t xml:space="preserve"> months) should be based on transient risk factors (e.g. recent surgery, trauma, immobilisation) and longer durations should be based on permanent risk factors or idiopathic DVT or PE</w:t>
            </w:r>
            <w:bookmarkEnd w:id="60"/>
            <w:bookmarkEnd w:id="61"/>
            <w:bookmarkEnd w:id="62"/>
            <w:bookmarkEnd w:id="63"/>
            <w:bookmarkEnd w:id="64"/>
            <w:bookmarkEnd w:id="65"/>
            <w:r w:rsidRPr="00EB561B">
              <w:rPr>
                <w:szCs w:val="22"/>
              </w:rPr>
              <w:t>.</w:t>
            </w:r>
            <w:r w:rsidRPr="00EB561B">
              <w:rPr>
                <w:szCs w:val="22"/>
                <w:vertAlign w:val="superscript"/>
              </w:rPr>
              <w:t>4</w:t>
            </w:r>
            <w:bookmarkEnd w:id="66"/>
            <w:r w:rsidRPr="00EB561B">
              <w:rPr>
                <w:szCs w:val="22"/>
              </w:rPr>
              <w:t xml:space="preserve"> </w:t>
            </w:r>
          </w:p>
          <w:p w14:paraId="4222B516" w14:textId="611140AE" w:rsidR="00852362" w:rsidRPr="00EB561B" w:rsidRDefault="00852362" w:rsidP="007A31AF">
            <w:pPr>
              <w:spacing w:before="60" w:after="60"/>
              <w:rPr>
                <w:szCs w:val="22"/>
              </w:rPr>
            </w:pPr>
            <w:r w:rsidRPr="00EB561B">
              <w:rPr>
                <w:szCs w:val="22"/>
              </w:rPr>
              <w:t>Assess anticoagulation after three months after a proximal DVT or PE (three to six months with active cancer). Consider stopping after a provoked DVT if provoking factor is no longer present.</w:t>
            </w:r>
            <w:r w:rsidRPr="00EB561B">
              <w:rPr>
                <w:szCs w:val="22"/>
                <w:vertAlign w:val="superscript"/>
              </w:rPr>
              <w:t>2</w:t>
            </w:r>
            <w:r w:rsidR="00C37788">
              <w:rPr>
                <w:szCs w:val="22"/>
                <w:vertAlign w:val="superscript"/>
              </w:rPr>
              <w:t>5</w:t>
            </w:r>
          </w:p>
          <w:p w14:paraId="72DA48FA" w14:textId="742326C2" w:rsidR="00852362" w:rsidRPr="00EB561B" w:rsidRDefault="00852362" w:rsidP="007A31AF">
            <w:pPr>
              <w:spacing w:before="60" w:after="60"/>
              <w:rPr>
                <w:szCs w:val="22"/>
              </w:rPr>
            </w:pPr>
            <w:r w:rsidRPr="00EB561B">
              <w:rPr>
                <w:szCs w:val="22"/>
              </w:rPr>
              <w:t>Consider continuing anticoagulation beyond three months (six months for people with active cancer) after an unprovoked DVT or PE. Discuss the risks and benefits of long-term anticoagulation with the person and take their preferences into account.</w:t>
            </w:r>
            <w:r w:rsidRPr="00EB561B">
              <w:rPr>
                <w:szCs w:val="22"/>
                <w:vertAlign w:val="superscript"/>
              </w:rPr>
              <w:t>2</w:t>
            </w:r>
            <w:r w:rsidR="00C37788">
              <w:rPr>
                <w:szCs w:val="22"/>
                <w:vertAlign w:val="superscript"/>
              </w:rPr>
              <w:t>5</w:t>
            </w:r>
          </w:p>
        </w:tc>
      </w:tr>
      <w:tr w:rsidR="00852362" w:rsidRPr="00EB561B" w14:paraId="6AFDC7E6" w14:textId="77777777" w:rsidTr="00852362">
        <w:trPr>
          <w:jc w:val="center"/>
        </w:trPr>
        <w:tc>
          <w:tcPr>
            <w:tcW w:w="5000" w:type="pct"/>
            <w:gridSpan w:val="3"/>
            <w:shd w:val="clear" w:color="auto" w:fill="auto"/>
            <w:vAlign w:val="center"/>
          </w:tcPr>
          <w:p w14:paraId="2F0C4551" w14:textId="77777777" w:rsidR="00852362" w:rsidRPr="00EB561B" w:rsidRDefault="00852362" w:rsidP="007A31AF">
            <w:pPr>
              <w:spacing w:before="60" w:after="60"/>
              <w:rPr>
                <w:b/>
                <w:szCs w:val="22"/>
              </w:rPr>
            </w:pPr>
            <w:r w:rsidRPr="00EB561B">
              <w:rPr>
                <w:b/>
                <w:szCs w:val="22"/>
              </w:rPr>
              <w:t xml:space="preserve">Warfarin duration </w:t>
            </w:r>
          </w:p>
          <w:p w14:paraId="04CBF6AB" w14:textId="77777777" w:rsidR="00852362" w:rsidRPr="00EB561B" w:rsidRDefault="00852362" w:rsidP="007A31AF">
            <w:pPr>
              <w:spacing w:before="60" w:after="60"/>
              <w:rPr>
                <w:szCs w:val="22"/>
              </w:rPr>
            </w:pPr>
            <w:r w:rsidRPr="00EB561B">
              <w:rPr>
                <w:szCs w:val="22"/>
              </w:rPr>
              <w:t>Six weeks in people with distal DVT (calf vein thrombosis).</w:t>
            </w:r>
          </w:p>
          <w:p w14:paraId="1FC2A11D" w14:textId="77777777" w:rsidR="00852362" w:rsidRPr="00EB561B" w:rsidRDefault="00852362" w:rsidP="007A31AF">
            <w:pPr>
              <w:spacing w:before="60" w:after="60"/>
              <w:rPr>
                <w:szCs w:val="22"/>
              </w:rPr>
            </w:pPr>
            <w:r w:rsidRPr="00EB561B">
              <w:rPr>
                <w:szCs w:val="22"/>
              </w:rPr>
              <w:t>Three months in people with proximal DVT or PE where there are known temporary risk factors </w:t>
            </w:r>
            <w:r w:rsidRPr="00852362">
              <w:rPr>
                <w:b/>
                <w:bCs/>
                <w:i/>
                <w:iCs/>
                <w:szCs w:val="22"/>
              </w:rPr>
              <w:t>and</w:t>
            </w:r>
            <w:r w:rsidRPr="00EB561B">
              <w:rPr>
                <w:i/>
                <w:iCs/>
                <w:szCs w:val="22"/>
              </w:rPr>
              <w:t> </w:t>
            </w:r>
            <w:r w:rsidRPr="00EB561B">
              <w:rPr>
                <w:szCs w:val="22"/>
              </w:rPr>
              <w:t>there is considered to be a low risk of recurrence.</w:t>
            </w:r>
          </w:p>
          <w:p w14:paraId="08ABA8B6" w14:textId="77777777" w:rsidR="00852362" w:rsidRPr="00EB561B" w:rsidRDefault="00852362" w:rsidP="007A31AF">
            <w:pPr>
              <w:spacing w:before="60" w:after="60"/>
              <w:rPr>
                <w:szCs w:val="22"/>
              </w:rPr>
            </w:pPr>
            <w:r w:rsidRPr="00EB561B">
              <w:rPr>
                <w:szCs w:val="22"/>
              </w:rPr>
              <w:t>Six months in people with proximal DVT due to an unknown cause (idiopathic).</w:t>
            </w:r>
          </w:p>
          <w:p w14:paraId="3C73F30F" w14:textId="77777777" w:rsidR="00852362" w:rsidRPr="00EB561B" w:rsidRDefault="00852362" w:rsidP="007A31AF">
            <w:pPr>
              <w:spacing w:before="60" w:after="60"/>
              <w:rPr>
                <w:szCs w:val="22"/>
              </w:rPr>
            </w:pPr>
            <w:r w:rsidRPr="00EB561B">
              <w:rPr>
                <w:szCs w:val="22"/>
              </w:rPr>
              <w:t>Long term if there have been recurrent DVTs or PEs.</w:t>
            </w:r>
          </w:p>
          <w:p w14:paraId="0BCA4D22" w14:textId="35DBF849" w:rsidR="00852362" w:rsidRPr="00EB561B" w:rsidRDefault="00852362" w:rsidP="007A31AF">
            <w:pPr>
              <w:spacing w:before="60" w:after="60"/>
              <w:rPr>
                <w:b/>
                <w:szCs w:val="22"/>
              </w:rPr>
            </w:pPr>
            <w:r w:rsidRPr="00EB561B">
              <w:rPr>
                <w:szCs w:val="22"/>
              </w:rPr>
              <w:t>Warfarin can be stopped abruptly without harm when the duration of treatment is completed.</w:t>
            </w:r>
            <w:r w:rsidRPr="00EB561B">
              <w:rPr>
                <w:szCs w:val="22"/>
                <w:vertAlign w:val="superscript"/>
              </w:rPr>
              <w:t>2</w:t>
            </w:r>
            <w:r w:rsidR="00C37788">
              <w:rPr>
                <w:szCs w:val="22"/>
                <w:vertAlign w:val="superscript"/>
              </w:rPr>
              <w:t>2</w:t>
            </w:r>
          </w:p>
        </w:tc>
      </w:tr>
      <w:tr w:rsidR="00852362" w:rsidRPr="00EB561B" w14:paraId="66C7277F" w14:textId="77777777" w:rsidTr="007A31AF">
        <w:trPr>
          <w:jc w:val="center"/>
        </w:trPr>
        <w:tc>
          <w:tcPr>
            <w:tcW w:w="944" w:type="pct"/>
            <w:shd w:val="clear" w:color="auto" w:fill="DBE5F1" w:themeFill="accent1" w:themeFillTint="33"/>
            <w:vAlign w:val="center"/>
          </w:tcPr>
          <w:p w14:paraId="604C917A" w14:textId="3DFED63B" w:rsidR="00852362" w:rsidRPr="00EB561B" w:rsidRDefault="00852362" w:rsidP="00852362">
            <w:pPr>
              <w:rPr>
                <w:b/>
                <w:szCs w:val="22"/>
              </w:rPr>
            </w:pPr>
            <w:r w:rsidRPr="00A85A68">
              <w:rPr>
                <w:b/>
                <w:bCs/>
              </w:rPr>
              <w:t>Dabigatran (Pradaxa</w:t>
            </w:r>
            <w:r w:rsidRPr="00A85A68">
              <w:rPr>
                <w:b/>
                <w:bCs/>
              </w:rPr>
              <w:sym w:font="Symbol" w:char="F0D2"/>
            </w:r>
            <w:r w:rsidRPr="00A85A68">
              <w:rPr>
                <w:b/>
                <w:bCs/>
              </w:rPr>
              <w:t>)</w:t>
            </w:r>
            <w:r w:rsidRPr="00A85A68">
              <w:rPr>
                <w:b/>
                <w:bCs/>
                <w:vertAlign w:val="superscript"/>
              </w:rPr>
              <w:t>1</w:t>
            </w:r>
          </w:p>
        </w:tc>
        <w:tc>
          <w:tcPr>
            <w:tcW w:w="4056" w:type="pct"/>
            <w:gridSpan w:val="2"/>
            <w:shd w:val="clear" w:color="auto" w:fill="auto"/>
            <w:vAlign w:val="center"/>
          </w:tcPr>
          <w:p w14:paraId="720E74DF" w14:textId="2B7AEC3E" w:rsidR="00852362" w:rsidRPr="00EB561B" w:rsidRDefault="00852362" w:rsidP="007A31AF">
            <w:pPr>
              <w:spacing w:before="60" w:after="60"/>
              <w:rPr>
                <w:szCs w:val="22"/>
              </w:rPr>
            </w:pPr>
            <w:r w:rsidRPr="00EB561B">
              <w:rPr>
                <w:szCs w:val="22"/>
              </w:rPr>
              <w:t>150mg twice daily following treatment with a parenteral anticoagulant for at least five days</w:t>
            </w:r>
          </w:p>
          <w:p w14:paraId="2FA687CC" w14:textId="141D7C31" w:rsidR="00852362" w:rsidRPr="00EB561B" w:rsidRDefault="00852362" w:rsidP="007A31AF">
            <w:pPr>
              <w:spacing w:before="60" w:after="60"/>
              <w:rPr>
                <w:szCs w:val="22"/>
              </w:rPr>
            </w:pPr>
            <w:r w:rsidRPr="00EB561B">
              <w:t xml:space="preserve">If </w:t>
            </w:r>
            <w:r w:rsidRPr="00EB561B">
              <w:sym w:font="Symbol" w:char="F0B3"/>
            </w:r>
            <w:r w:rsidRPr="00EB561B">
              <w:rPr>
                <w:szCs w:val="22"/>
              </w:rPr>
              <w:t>80</w:t>
            </w:r>
            <w:r w:rsidR="004E5ECD">
              <w:rPr>
                <w:szCs w:val="22"/>
              </w:rPr>
              <w:t xml:space="preserve"> </w:t>
            </w:r>
            <w:r w:rsidRPr="00EB561B">
              <w:rPr>
                <w:szCs w:val="22"/>
              </w:rPr>
              <w:t>y</w:t>
            </w:r>
            <w:r w:rsidR="004E5ECD">
              <w:rPr>
                <w:szCs w:val="22"/>
              </w:rPr>
              <w:t>ea</w:t>
            </w:r>
            <w:r w:rsidRPr="00EB561B">
              <w:rPr>
                <w:szCs w:val="22"/>
              </w:rPr>
              <w:t xml:space="preserve">rs or also on verapamil: 110mg twice daily after individual assessment of thromboembolic and bleeding risk </w:t>
            </w:r>
          </w:p>
          <w:p w14:paraId="22B46F75" w14:textId="77777777" w:rsidR="00852362" w:rsidRPr="00EB561B" w:rsidRDefault="00852362" w:rsidP="007A31AF">
            <w:pPr>
              <w:spacing w:before="60" w:after="60"/>
              <w:rPr>
                <w:szCs w:val="22"/>
              </w:rPr>
            </w:pPr>
            <w:r w:rsidRPr="00EB561B">
              <w:rPr>
                <w:szCs w:val="22"/>
              </w:rPr>
              <w:t>150mg twice daily or 110mg twice daily should be selected based on an individual assessment of the thromboembolic risk and the risk of bleeding for following:</w:t>
            </w:r>
          </w:p>
          <w:p w14:paraId="7F24A6E1" w14:textId="41D5E2B9" w:rsidR="00852362" w:rsidRPr="00625207" w:rsidRDefault="00852362" w:rsidP="00852362">
            <w:pPr>
              <w:pStyle w:val="ListParagraph"/>
              <w:numPr>
                <w:ilvl w:val="0"/>
                <w:numId w:val="21"/>
              </w:numPr>
              <w:rPr>
                <w:szCs w:val="22"/>
              </w:rPr>
            </w:pPr>
            <w:r w:rsidRPr="00625207">
              <w:rPr>
                <w:szCs w:val="22"/>
              </w:rPr>
              <w:t>Age 75-80</w:t>
            </w:r>
            <w:r w:rsidR="004E5ECD">
              <w:rPr>
                <w:szCs w:val="22"/>
              </w:rPr>
              <w:t xml:space="preserve"> </w:t>
            </w:r>
            <w:r w:rsidRPr="00625207">
              <w:rPr>
                <w:szCs w:val="22"/>
              </w:rPr>
              <w:t>y</w:t>
            </w:r>
            <w:r w:rsidR="004E5ECD">
              <w:rPr>
                <w:szCs w:val="22"/>
              </w:rPr>
              <w:t>ea</w:t>
            </w:r>
            <w:r w:rsidRPr="00625207">
              <w:rPr>
                <w:szCs w:val="22"/>
              </w:rPr>
              <w:t>rs</w:t>
            </w:r>
          </w:p>
          <w:p w14:paraId="3C22FB9A" w14:textId="77777777" w:rsidR="00852362" w:rsidRPr="00625207" w:rsidRDefault="00852362" w:rsidP="00852362">
            <w:pPr>
              <w:pStyle w:val="ListParagraph"/>
              <w:numPr>
                <w:ilvl w:val="0"/>
                <w:numId w:val="21"/>
              </w:numPr>
              <w:rPr>
                <w:szCs w:val="22"/>
              </w:rPr>
            </w:pPr>
            <w:r w:rsidRPr="00625207">
              <w:rPr>
                <w:szCs w:val="22"/>
              </w:rPr>
              <w:t>CrCl 30-50ml/min</w:t>
            </w:r>
          </w:p>
          <w:p w14:paraId="251B1226" w14:textId="77777777" w:rsidR="00852362" w:rsidRPr="00625207" w:rsidRDefault="00852362" w:rsidP="00852362">
            <w:pPr>
              <w:pStyle w:val="ListParagraph"/>
              <w:numPr>
                <w:ilvl w:val="0"/>
                <w:numId w:val="21"/>
              </w:numPr>
              <w:rPr>
                <w:szCs w:val="22"/>
              </w:rPr>
            </w:pPr>
            <w:r w:rsidRPr="00625207">
              <w:rPr>
                <w:szCs w:val="22"/>
              </w:rPr>
              <w:t>Patients with gastritis, esophagitis or gastroesophageal reflux</w:t>
            </w:r>
          </w:p>
          <w:p w14:paraId="7475D05B" w14:textId="1A93EF0F" w:rsidR="00852362" w:rsidRPr="00D62044" w:rsidRDefault="00852362" w:rsidP="00D62044">
            <w:pPr>
              <w:pStyle w:val="ListParagraph"/>
              <w:numPr>
                <w:ilvl w:val="0"/>
                <w:numId w:val="21"/>
              </w:numPr>
              <w:rPr>
                <w:b/>
                <w:szCs w:val="22"/>
              </w:rPr>
            </w:pPr>
            <w:r w:rsidRPr="00D62044">
              <w:rPr>
                <w:szCs w:val="22"/>
              </w:rPr>
              <w:t>Other patients at increased risk of bleeding</w:t>
            </w:r>
          </w:p>
        </w:tc>
      </w:tr>
      <w:tr w:rsidR="00852362" w:rsidRPr="00EB561B" w14:paraId="3531D9CE" w14:textId="77777777" w:rsidTr="007A31AF">
        <w:trPr>
          <w:jc w:val="center"/>
        </w:trPr>
        <w:tc>
          <w:tcPr>
            <w:tcW w:w="944" w:type="pct"/>
            <w:shd w:val="clear" w:color="auto" w:fill="F2DBDB" w:themeFill="accent2" w:themeFillTint="33"/>
            <w:vAlign w:val="center"/>
          </w:tcPr>
          <w:p w14:paraId="55863E52" w14:textId="746D57E4" w:rsidR="00852362" w:rsidRPr="00EB561B" w:rsidRDefault="00852362" w:rsidP="00852362">
            <w:pPr>
              <w:rPr>
                <w:b/>
                <w:szCs w:val="22"/>
              </w:rPr>
            </w:pPr>
            <w:r w:rsidRPr="00A85A68">
              <w:rPr>
                <w:b/>
                <w:bCs/>
                <w:szCs w:val="22"/>
              </w:rPr>
              <w:t>Rivaroxaban (Xarelto</w:t>
            </w:r>
            <w:r w:rsidRPr="00A85A68">
              <w:rPr>
                <w:b/>
                <w:bCs/>
                <w:szCs w:val="22"/>
              </w:rPr>
              <w:sym w:font="Symbol" w:char="F0D2"/>
            </w:r>
            <w:r w:rsidRPr="00A85A68">
              <w:rPr>
                <w:rFonts w:cs="Arial"/>
                <w:b/>
                <w:bCs/>
                <w:szCs w:val="22"/>
              </w:rPr>
              <w:t>▼</w:t>
            </w:r>
            <w:r w:rsidRPr="00A85A68">
              <w:rPr>
                <w:b/>
                <w:bCs/>
                <w:szCs w:val="22"/>
              </w:rPr>
              <w:t>)</w:t>
            </w:r>
            <w:r w:rsidRPr="00A85A68">
              <w:rPr>
                <w:b/>
                <w:bCs/>
                <w:szCs w:val="22"/>
                <w:vertAlign w:val="superscript"/>
              </w:rPr>
              <w:t>2</w:t>
            </w:r>
          </w:p>
        </w:tc>
        <w:tc>
          <w:tcPr>
            <w:tcW w:w="4056" w:type="pct"/>
            <w:gridSpan w:val="2"/>
            <w:shd w:val="clear" w:color="auto" w:fill="auto"/>
            <w:vAlign w:val="center"/>
          </w:tcPr>
          <w:p w14:paraId="1A11BAA4" w14:textId="300B7239" w:rsidR="00852362" w:rsidRPr="00EB561B" w:rsidRDefault="00852362" w:rsidP="00852362">
            <w:pPr>
              <w:rPr>
                <w:b/>
                <w:szCs w:val="22"/>
              </w:rPr>
            </w:pPr>
            <w:r w:rsidRPr="00EB561B">
              <w:rPr>
                <w:szCs w:val="22"/>
              </w:rPr>
              <w:t>15mg twice daily for days 1 to 21</w:t>
            </w:r>
            <w:r w:rsidR="00D77DC0">
              <w:rPr>
                <w:szCs w:val="22"/>
              </w:rPr>
              <w:t>,</w:t>
            </w:r>
            <w:r w:rsidRPr="00EB561B">
              <w:rPr>
                <w:szCs w:val="22"/>
              </w:rPr>
              <w:t xml:space="preserve"> then 20mg daily</w:t>
            </w:r>
          </w:p>
        </w:tc>
      </w:tr>
      <w:tr w:rsidR="00852362" w:rsidRPr="00EB561B" w14:paraId="21708BC6" w14:textId="77777777" w:rsidTr="007A31AF">
        <w:trPr>
          <w:jc w:val="center"/>
        </w:trPr>
        <w:tc>
          <w:tcPr>
            <w:tcW w:w="944" w:type="pct"/>
            <w:shd w:val="clear" w:color="auto" w:fill="E5DFEC" w:themeFill="accent4" w:themeFillTint="33"/>
            <w:vAlign w:val="center"/>
          </w:tcPr>
          <w:p w14:paraId="013E8AE8" w14:textId="21D1CA74" w:rsidR="00852362" w:rsidRPr="00EB561B" w:rsidRDefault="00852362" w:rsidP="00852362">
            <w:pPr>
              <w:rPr>
                <w:b/>
                <w:szCs w:val="22"/>
              </w:rPr>
            </w:pPr>
            <w:r w:rsidRPr="00A85A68">
              <w:rPr>
                <w:b/>
                <w:bCs/>
                <w:szCs w:val="22"/>
              </w:rPr>
              <w:t>Apixaban (Eliquis</w:t>
            </w:r>
            <w:r w:rsidRPr="00A85A68">
              <w:rPr>
                <w:b/>
                <w:bCs/>
                <w:szCs w:val="22"/>
              </w:rPr>
              <w:sym w:font="Symbol" w:char="F0D2"/>
            </w:r>
            <w:r w:rsidRPr="00A85A68">
              <w:rPr>
                <w:b/>
                <w:bCs/>
                <w:szCs w:val="22"/>
              </w:rPr>
              <w:t>)</w:t>
            </w:r>
            <w:r w:rsidRPr="00A85A68">
              <w:rPr>
                <w:b/>
                <w:bCs/>
                <w:szCs w:val="22"/>
                <w:vertAlign w:val="superscript"/>
              </w:rPr>
              <w:t>3</w:t>
            </w:r>
          </w:p>
        </w:tc>
        <w:tc>
          <w:tcPr>
            <w:tcW w:w="4056" w:type="pct"/>
            <w:gridSpan w:val="2"/>
            <w:shd w:val="clear" w:color="auto" w:fill="auto"/>
            <w:vAlign w:val="center"/>
          </w:tcPr>
          <w:p w14:paraId="3EE60BA3" w14:textId="0AEBE5E0" w:rsidR="00852362" w:rsidRPr="00EB561B" w:rsidRDefault="00852362" w:rsidP="00852362">
            <w:pPr>
              <w:rPr>
                <w:szCs w:val="22"/>
              </w:rPr>
            </w:pPr>
            <w:r w:rsidRPr="00EB561B">
              <w:rPr>
                <w:szCs w:val="22"/>
              </w:rPr>
              <w:t>Treatment: 10mg twice daily for the first seven days</w:t>
            </w:r>
            <w:r w:rsidR="00D77DC0">
              <w:rPr>
                <w:szCs w:val="22"/>
              </w:rPr>
              <w:t>,</w:t>
            </w:r>
            <w:r w:rsidRPr="00EB561B">
              <w:rPr>
                <w:szCs w:val="22"/>
              </w:rPr>
              <w:t xml:space="preserve"> followed by 5mg twice daily</w:t>
            </w:r>
          </w:p>
          <w:p w14:paraId="57638EF7" w14:textId="1A593174" w:rsidR="00852362" w:rsidRPr="00EB561B" w:rsidRDefault="00852362" w:rsidP="00852362">
            <w:pPr>
              <w:rPr>
                <w:b/>
                <w:szCs w:val="22"/>
              </w:rPr>
            </w:pPr>
            <w:r w:rsidRPr="00EB561B">
              <w:rPr>
                <w:szCs w:val="22"/>
              </w:rPr>
              <w:t xml:space="preserve">Prevention of recurrent DVT and/or PE following completion of 6 months of treatment for DVT or PE: 2.5mg twice daily </w:t>
            </w:r>
          </w:p>
        </w:tc>
      </w:tr>
      <w:tr w:rsidR="00852362" w:rsidRPr="00EB561B" w14:paraId="43FFB74C" w14:textId="77777777" w:rsidTr="007A31AF">
        <w:trPr>
          <w:jc w:val="center"/>
        </w:trPr>
        <w:tc>
          <w:tcPr>
            <w:tcW w:w="944" w:type="pct"/>
            <w:shd w:val="clear" w:color="auto" w:fill="FDE9D9" w:themeFill="accent6" w:themeFillTint="33"/>
            <w:vAlign w:val="center"/>
          </w:tcPr>
          <w:p w14:paraId="025E084C" w14:textId="08508B1A" w:rsidR="00852362" w:rsidRPr="00EB561B" w:rsidRDefault="00852362" w:rsidP="00852362">
            <w:pPr>
              <w:rPr>
                <w:b/>
                <w:szCs w:val="22"/>
              </w:rPr>
            </w:pPr>
            <w:r w:rsidRPr="00A85A68">
              <w:rPr>
                <w:b/>
                <w:bCs/>
                <w:szCs w:val="22"/>
              </w:rPr>
              <w:t>Edoxaban (Lixiana</w:t>
            </w:r>
            <w:r w:rsidRPr="00A85A68">
              <w:rPr>
                <w:b/>
                <w:bCs/>
                <w:szCs w:val="22"/>
              </w:rPr>
              <w:sym w:font="Symbol" w:char="F0D2"/>
            </w:r>
            <w:r w:rsidRPr="00A85A68">
              <w:rPr>
                <w:b/>
                <w:bCs/>
                <w:szCs w:val="22"/>
              </w:rPr>
              <w:t>)</w:t>
            </w:r>
            <w:r w:rsidRPr="00A85A68">
              <w:rPr>
                <w:b/>
                <w:bCs/>
                <w:szCs w:val="22"/>
                <w:vertAlign w:val="superscript"/>
              </w:rPr>
              <w:t>4</w:t>
            </w:r>
          </w:p>
        </w:tc>
        <w:tc>
          <w:tcPr>
            <w:tcW w:w="4056" w:type="pct"/>
            <w:gridSpan w:val="2"/>
            <w:shd w:val="clear" w:color="auto" w:fill="auto"/>
            <w:vAlign w:val="center"/>
          </w:tcPr>
          <w:p w14:paraId="37B18BF0" w14:textId="77777777" w:rsidR="00852362" w:rsidRPr="00EB561B" w:rsidRDefault="00852362" w:rsidP="00852362">
            <w:pPr>
              <w:rPr>
                <w:szCs w:val="22"/>
              </w:rPr>
            </w:pPr>
            <w:r w:rsidRPr="00EB561B">
              <w:rPr>
                <w:szCs w:val="22"/>
              </w:rPr>
              <w:t>60mg daily following parenteral anticoagulant for at least five days</w:t>
            </w:r>
          </w:p>
          <w:p w14:paraId="31524C22" w14:textId="77777777" w:rsidR="00852362" w:rsidRPr="00EB561B" w:rsidRDefault="00852362" w:rsidP="00852362">
            <w:pPr>
              <w:rPr>
                <w:szCs w:val="22"/>
              </w:rPr>
            </w:pPr>
            <w:r w:rsidRPr="00EB561B">
              <w:rPr>
                <w:szCs w:val="22"/>
              </w:rPr>
              <w:t>Reduce dose to 30mg with one or more of following risk factors:</w:t>
            </w:r>
          </w:p>
          <w:p w14:paraId="3D3F74F1" w14:textId="77777777" w:rsidR="00852362" w:rsidRPr="00CB0FEA" w:rsidRDefault="00852362" w:rsidP="00852362">
            <w:pPr>
              <w:pStyle w:val="ListParagraph"/>
              <w:numPr>
                <w:ilvl w:val="0"/>
                <w:numId w:val="17"/>
              </w:numPr>
              <w:rPr>
                <w:szCs w:val="22"/>
              </w:rPr>
            </w:pPr>
            <w:r w:rsidRPr="00CB0FEA">
              <w:rPr>
                <w:szCs w:val="22"/>
              </w:rPr>
              <w:t>Moderate to severe renal impairment</w:t>
            </w:r>
          </w:p>
          <w:p w14:paraId="46760B0E" w14:textId="77777777" w:rsidR="00852362" w:rsidRPr="00CB0FEA" w:rsidRDefault="00852362" w:rsidP="00852362">
            <w:pPr>
              <w:pStyle w:val="ListParagraph"/>
              <w:numPr>
                <w:ilvl w:val="0"/>
                <w:numId w:val="17"/>
              </w:numPr>
              <w:rPr>
                <w:szCs w:val="22"/>
              </w:rPr>
            </w:pPr>
            <w:r w:rsidRPr="00CB0FEA">
              <w:rPr>
                <w:szCs w:val="22"/>
              </w:rPr>
              <w:t>Body weight ≤60kg</w:t>
            </w:r>
          </w:p>
          <w:p w14:paraId="6C70F1F8" w14:textId="45ECE21B" w:rsidR="00852362" w:rsidRPr="00852362" w:rsidRDefault="00852362" w:rsidP="00852362">
            <w:pPr>
              <w:pStyle w:val="ListParagraph"/>
              <w:numPr>
                <w:ilvl w:val="0"/>
                <w:numId w:val="17"/>
              </w:numPr>
              <w:rPr>
                <w:szCs w:val="22"/>
              </w:rPr>
            </w:pPr>
            <w:r w:rsidRPr="00CB0FEA">
              <w:rPr>
                <w:szCs w:val="22"/>
              </w:rPr>
              <w:t>Concomitant use of P-glycoprotein inhibitors (ciclosporin, dronedarone, erythromycin, or ketoconazole)</w:t>
            </w:r>
          </w:p>
        </w:tc>
      </w:tr>
      <w:tr w:rsidR="00852362" w:rsidRPr="00EB561B" w14:paraId="703EBCA5" w14:textId="77777777" w:rsidTr="007A31AF">
        <w:trPr>
          <w:trHeight w:val="70"/>
          <w:jc w:val="center"/>
        </w:trPr>
        <w:tc>
          <w:tcPr>
            <w:tcW w:w="944" w:type="pct"/>
            <w:shd w:val="clear" w:color="auto" w:fill="EAF1DD" w:themeFill="accent3" w:themeFillTint="33"/>
            <w:vAlign w:val="center"/>
          </w:tcPr>
          <w:p w14:paraId="14F51873" w14:textId="77777777" w:rsidR="00852362" w:rsidRPr="00544874" w:rsidRDefault="00852362" w:rsidP="00852362">
            <w:pPr>
              <w:rPr>
                <w:b/>
                <w:szCs w:val="22"/>
              </w:rPr>
            </w:pPr>
            <w:r w:rsidRPr="00544874">
              <w:rPr>
                <w:b/>
                <w:szCs w:val="22"/>
              </w:rPr>
              <w:t>Warfarin</w:t>
            </w:r>
            <w:r w:rsidRPr="00544874">
              <w:rPr>
                <w:b/>
                <w:szCs w:val="22"/>
                <w:vertAlign w:val="superscript"/>
              </w:rPr>
              <w:t>5,6</w:t>
            </w:r>
            <w:r w:rsidRPr="00544874">
              <w:rPr>
                <w:b/>
                <w:szCs w:val="22"/>
              </w:rPr>
              <w:t xml:space="preserve"> </w:t>
            </w:r>
          </w:p>
          <w:p w14:paraId="53742C84" w14:textId="19B7A981" w:rsidR="00852362" w:rsidRPr="00EB561B" w:rsidRDefault="00852362" w:rsidP="00852362">
            <w:pPr>
              <w:rPr>
                <w:b/>
                <w:szCs w:val="22"/>
              </w:rPr>
            </w:pPr>
            <w:r w:rsidRPr="00A85A68">
              <w:rPr>
                <w:bCs/>
                <w:szCs w:val="22"/>
              </w:rPr>
              <w:t>Dose is tailored to the individual, dependent on the prothrombin time (PT)</w:t>
            </w:r>
          </w:p>
        </w:tc>
        <w:tc>
          <w:tcPr>
            <w:tcW w:w="4056" w:type="pct"/>
            <w:gridSpan w:val="2"/>
            <w:shd w:val="clear" w:color="auto" w:fill="auto"/>
            <w:vAlign w:val="center"/>
          </w:tcPr>
          <w:p w14:paraId="59CE76F2" w14:textId="42C94FEA" w:rsidR="00852362" w:rsidRDefault="00852362" w:rsidP="007A31AF">
            <w:pPr>
              <w:spacing w:before="60" w:after="60"/>
              <w:rPr>
                <w:szCs w:val="22"/>
              </w:rPr>
            </w:pPr>
            <w:r w:rsidRPr="00EB561B">
              <w:rPr>
                <w:szCs w:val="22"/>
              </w:rPr>
              <w:t>Target INR 2.5 for treatment of deep-vein thrombosis or pulmonary embolism</w:t>
            </w:r>
          </w:p>
          <w:p w14:paraId="400BA7BD" w14:textId="77777777" w:rsidR="00B12566" w:rsidRPr="00EB561B" w:rsidRDefault="00B12566" w:rsidP="007A31AF">
            <w:pPr>
              <w:spacing w:before="60" w:after="60"/>
              <w:rPr>
                <w:szCs w:val="22"/>
              </w:rPr>
            </w:pPr>
          </w:p>
          <w:p w14:paraId="2ADCB5FF" w14:textId="101609E5" w:rsidR="00852362" w:rsidRPr="007A31AF" w:rsidRDefault="00B12566" w:rsidP="007A31AF">
            <w:pPr>
              <w:spacing w:before="60" w:after="60"/>
              <w:rPr>
                <w:szCs w:val="22"/>
              </w:rPr>
            </w:pPr>
            <w:r>
              <w:rPr>
                <w:szCs w:val="22"/>
              </w:rPr>
              <w:t xml:space="preserve">Target </w:t>
            </w:r>
            <w:r w:rsidR="00852362" w:rsidRPr="00EB561B">
              <w:rPr>
                <w:szCs w:val="22"/>
              </w:rPr>
              <w:t>INR 3.5 for recurrent deep-vein thrombosis or pulmonary embolism in patients currently receiving anticoagulation and with an INR above 2</w:t>
            </w:r>
          </w:p>
        </w:tc>
      </w:tr>
      <w:tr w:rsidR="009425B7" w:rsidRPr="00EB561B" w14:paraId="254B4A48" w14:textId="77777777" w:rsidTr="00B62BFD">
        <w:trPr>
          <w:cantSplit/>
          <w:trHeight w:val="680"/>
          <w:jc w:val="center"/>
        </w:trPr>
        <w:tc>
          <w:tcPr>
            <w:tcW w:w="5000" w:type="pct"/>
            <w:gridSpan w:val="3"/>
            <w:shd w:val="clear" w:color="auto" w:fill="F2F2F2" w:themeFill="background1" w:themeFillShade="F2"/>
            <w:vAlign w:val="center"/>
          </w:tcPr>
          <w:p w14:paraId="4318B101" w14:textId="33DA2B51" w:rsidR="009425B7" w:rsidRPr="00B62BFD" w:rsidRDefault="009425B7" w:rsidP="00B62BFD">
            <w:pPr>
              <w:pStyle w:val="Heading2"/>
            </w:pPr>
            <w:bookmarkStart w:id="67" w:name="_Toc104910450"/>
            <w:bookmarkStart w:id="68" w:name="_Toc106708897"/>
            <w:r w:rsidRPr="00367CC8">
              <w:lastRenderedPageBreak/>
              <w:t>VTE prevention post-surgery</w:t>
            </w:r>
            <w:bookmarkEnd w:id="67"/>
            <w:bookmarkEnd w:id="68"/>
          </w:p>
        </w:tc>
      </w:tr>
      <w:tr w:rsidR="00B62BFD" w:rsidRPr="00EB561B" w14:paraId="033D1EEE" w14:textId="77777777" w:rsidTr="00B62BFD">
        <w:trPr>
          <w:cantSplit/>
          <w:trHeight w:val="986"/>
          <w:jc w:val="center"/>
        </w:trPr>
        <w:tc>
          <w:tcPr>
            <w:tcW w:w="5000" w:type="pct"/>
            <w:gridSpan w:val="3"/>
            <w:shd w:val="clear" w:color="auto" w:fill="auto"/>
            <w:vAlign w:val="center"/>
          </w:tcPr>
          <w:p w14:paraId="3507B1CF" w14:textId="410146F3" w:rsidR="00B62BFD" w:rsidRPr="00367CC8" w:rsidRDefault="00B62BFD" w:rsidP="00B62BFD">
            <w:r w:rsidRPr="00B62BFD">
              <w:t>For prevention of VTE after major elective orthopaedic surgery (i.e. knee or hip replacement) ensure DOACs are stopped in accordance with instructions in the discharge letter or when the licensed duration of treatment period is reached.</w:t>
            </w:r>
            <w:r w:rsidRPr="00B62BFD">
              <w:rPr>
                <w:vertAlign w:val="superscript"/>
              </w:rPr>
              <w:t>1-3,6</w:t>
            </w:r>
          </w:p>
        </w:tc>
      </w:tr>
      <w:tr w:rsidR="00B62BFD" w:rsidRPr="00EB561B" w14:paraId="24F4CCB5" w14:textId="77777777" w:rsidTr="00B62BFD">
        <w:trPr>
          <w:cantSplit/>
          <w:trHeight w:val="6222"/>
          <w:jc w:val="center"/>
        </w:trPr>
        <w:tc>
          <w:tcPr>
            <w:tcW w:w="1381" w:type="pct"/>
            <w:gridSpan w:val="2"/>
            <w:shd w:val="clear" w:color="auto" w:fill="DBE5F1" w:themeFill="accent1" w:themeFillTint="33"/>
            <w:vAlign w:val="center"/>
          </w:tcPr>
          <w:p w14:paraId="6CFF9227" w14:textId="0DFDC71A" w:rsidR="00B62BFD" w:rsidRPr="00B62BFD" w:rsidRDefault="00B62BFD" w:rsidP="00B62BFD">
            <w:r w:rsidRPr="00A85A68">
              <w:rPr>
                <w:b/>
                <w:bCs/>
              </w:rPr>
              <w:t>Dabigatran</w:t>
            </w:r>
            <w:r w:rsidR="007D1B0D">
              <w:rPr>
                <w:b/>
                <w:bCs/>
              </w:rPr>
              <w:t xml:space="preserve"> </w:t>
            </w:r>
            <w:r w:rsidRPr="00A85A68">
              <w:rPr>
                <w:b/>
                <w:bCs/>
              </w:rPr>
              <w:t xml:space="preserve"> (Pradaxa</w:t>
            </w:r>
            <w:r w:rsidRPr="00A85A68">
              <w:rPr>
                <w:b/>
                <w:bCs/>
              </w:rPr>
              <w:sym w:font="Symbol" w:char="F0D2"/>
            </w:r>
            <w:r w:rsidRPr="00A85A68">
              <w:rPr>
                <w:b/>
                <w:bCs/>
              </w:rPr>
              <w:t>)</w:t>
            </w:r>
            <w:r w:rsidRPr="00A85A68">
              <w:rPr>
                <w:b/>
                <w:bCs/>
                <w:vertAlign w:val="superscript"/>
              </w:rPr>
              <w:t>1</w:t>
            </w:r>
          </w:p>
        </w:tc>
        <w:tc>
          <w:tcPr>
            <w:tcW w:w="3619" w:type="pct"/>
            <w:shd w:val="clear" w:color="auto" w:fill="auto"/>
            <w:vAlign w:val="center"/>
          </w:tcPr>
          <w:p w14:paraId="70C7BAC9" w14:textId="77777777" w:rsidR="00B62BFD" w:rsidRPr="00EB561B" w:rsidRDefault="00B62BFD" w:rsidP="00B62BFD">
            <w:pPr>
              <w:rPr>
                <w:szCs w:val="22"/>
              </w:rPr>
            </w:pPr>
            <w:r w:rsidRPr="00EB561B">
              <w:rPr>
                <w:color w:val="000000" w:themeColor="text1"/>
                <w:szCs w:val="22"/>
              </w:rPr>
              <w:t xml:space="preserve">Single dose of 110mg 1-4 hrs after surgery, </w:t>
            </w:r>
            <w:r w:rsidRPr="00EB561B">
              <w:rPr>
                <w:szCs w:val="22"/>
              </w:rPr>
              <w:t>then 220mg once daily for:</w:t>
            </w:r>
          </w:p>
          <w:p w14:paraId="3955B605" w14:textId="77777777" w:rsidR="00B62BFD" w:rsidRPr="00EB561B" w:rsidRDefault="00B62BFD" w:rsidP="00B62BFD">
            <w:pPr>
              <w:rPr>
                <w:szCs w:val="22"/>
              </w:rPr>
            </w:pPr>
            <w:r w:rsidRPr="00EB561B">
              <w:rPr>
                <w:szCs w:val="22"/>
              </w:rPr>
              <w:t>10 days post knee surgery</w:t>
            </w:r>
          </w:p>
          <w:p w14:paraId="2834A12E" w14:textId="77777777" w:rsidR="00B62BFD" w:rsidRPr="00EB561B" w:rsidRDefault="00B62BFD" w:rsidP="00B62BFD">
            <w:pPr>
              <w:rPr>
                <w:szCs w:val="22"/>
              </w:rPr>
            </w:pPr>
            <w:r w:rsidRPr="00EB561B">
              <w:rPr>
                <w:szCs w:val="22"/>
              </w:rPr>
              <w:t>4 to 5 weeks post hip surgery</w:t>
            </w:r>
          </w:p>
          <w:p w14:paraId="06182081" w14:textId="77777777" w:rsidR="00B62BFD" w:rsidRPr="00EB561B" w:rsidRDefault="00B62BFD" w:rsidP="00B62BFD">
            <w:pPr>
              <w:rPr>
                <w:szCs w:val="22"/>
              </w:rPr>
            </w:pPr>
            <w:r w:rsidRPr="00EB561B">
              <w:rPr>
                <w:szCs w:val="22"/>
              </w:rPr>
              <w:t xml:space="preserve">Reduce dose for patients with: </w:t>
            </w:r>
          </w:p>
          <w:p w14:paraId="66A3B094" w14:textId="77777777" w:rsidR="00B62BFD" w:rsidRPr="00CB0FEA" w:rsidRDefault="00B62BFD" w:rsidP="00B62BFD">
            <w:pPr>
              <w:pStyle w:val="ListParagraph"/>
              <w:numPr>
                <w:ilvl w:val="0"/>
                <w:numId w:val="19"/>
              </w:numPr>
              <w:rPr>
                <w:szCs w:val="22"/>
              </w:rPr>
            </w:pPr>
            <w:r w:rsidRPr="00CB0FEA">
              <w:rPr>
                <w:szCs w:val="22"/>
              </w:rPr>
              <w:t xml:space="preserve">CrCl 30-50ml/min </w:t>
            </w:r>
          </w:p>
          <w:p w14:paraId="30BA150D" w14:textId="77777777" w:rsidR="00B62BFD" w:rsidRPr="00CB0FEA" w:rsidRDefault="00B62BFD" w:rsidP="00B62BFD">
            <w:pPr>
              <w:pStyle w:val="ListParagraph"/>
              <w:numPr>
                <w:ilvl w:val="0"/>
                <w:numId w:val="19"/>
              </w:numPr>
              <w:rPr>
                <w:szCs w:val="22"/>
              </w:rPr>
            </w:pPr>
            <w:r w:rsidRPr="00CB0FEA">
              <w:rPr>
                <w:szCs w:val="22"/>
              </w:rPr>
              <w:t>Patients who receive concomitant verapamil, amiodarone, quinidine</w:t>
            </w:r>
          </w:p>
          <w:p w14:paraId="6DC67427" w14:textId="77777777" w:rsidR="00B62BFD" w:rsidRPr="00CB0FEA" w:rsidRDefault="00B62BFD" w:rsidP="00B62BFD">
            <w:pPr>
              <w:pStyle w:val="ListParagraph"/>
              <w:numPr>
                <w:ilvl w:val="0"/>
                <w:numId w:val="19"/>
              </w:numPr>
              <w:rPr>
                <w:szCs w:val="22"/>
              </w:rPr>
            </w:pPr>
            <w:r w:rsidRPr="00CB0FEA">
              <w:rPr>
                <w:szCs w:val="22"/>
              </w:rPr>
              <w:t xml:space="preserve">Patients aged 75 years and above </w:t>
            </w:r>
          </w:p>
          <w:p w14:paraId="7162F39A" w14:textId="77777777" w:rsidR="00B62BFD" w:rsidRPr="00EB561B" w:rsidRDefault="00B62BFD" w:rsidP="00B62BFD">
            <w:pPr>
              <w:rPr>
                <w:szCs w:val="22"/>
              </w:rPr>
            </w:pPr>
            <w:r w:rsidRPr="00EB561B">
              <w:rPr>
                <w:szCs w:val="22"/>
              </w:rPr>
              <w:t>Give a single dose of 75mg 1-4 hrs after surgery, then 150mg daily for:</w:t>
            </w:r>
          </w:p>
          <w:p w14:paraId="7C284976" w14:textId="77777777" w:rsidR="00B62BFD" w:rsidRPr="00CB0FEA" w:rsidRDefault="00B62BFD" w:rsidP="00B62BFD">
            <w:pPr>
              <w:pStyle w:val="ListParagraph"/>
              <w:numPr>
                <w:ilvl w:val="0"/>
                <w:numId w:val="18"/>
              </w:numPr>
              <w:rPr>
                <w:szCs w:val="22"/>
              </w:rPr>
            </w:pPr>
            <w:r w:rsidRPr="00CB0FEA">
              <w:rPr>
                <w:szCs w:val="22"/>
              </w:rPr>
              <w:t>10 days post knee surgery</w:t>
            </w:r>
          </w:p>
          <w:p w14:paraId="30973113" w14:textId="77777777" w:rsidR="00B62BFD" w:rsidRPr="00CB0FEA" w:rsidRDefault="00B62BFD" w:rsidP="00B62BFD">
            <w:pPr>
              <w:pStyle w:val="ListParagraph"/>
              <w:numPr>
                <w:ilvl w:val="0"/>
                <w:numId w:val="18"/>
              </w:numPr>
              <w:rPr>
                <w:szCs w:val="22"/>
              </w:rPr>
            </w:pPr>
            <w:r w:rsidRPr="00CB0FEA">
              <w:rPr>
                <w:szCs w:val="22"/>
              </w:rPr>
              <w:t xml:space="preserve">4 to 5 weeks post hip surgery </w:t>
            </w:r>
          </w:p>
          <w:p w14:paraId="33426D76" w14:textId="494FCA8E" w:rsidR="00B62BFD" w:rsidRDefault="00B62BFD" w:rsidP="00B62BFD">
            <w:pPr>
              <w:rPr>
                <w:szCs w:val="22"/>
              </w:rPr>
            </w:pPr>
            <w:r w:rsidRPr="00EB561B">
              <w:rPr>
                <w:szCs w:val="22"/>
              </w:rPr>
              <w:t xml:space="preserve">For both surgeries, if haemostasis is not secured, initiation of treatment should be delayed </w:t>
            </w:r>
          </w:p>
          <w:p w14:paraId="29906EBB" w14:textId="166E0D41" w:rsidR="00B62BFD" w:rsidRPr="00B62BFD" w:rsidRDefault="00B62BFD" w:rsidP="00B62BFD">
            <w:r w:rsidRPr="00EB561B">
              <w:rPr>
                <w:szCs w:val="22"/>
              </w:rPr>
              <w:t>If treatment is not started on the day of surgery then treatment should be initiated with 2 capsules once daily</w:t>
            </w:r>
          </w:p>
        </w:tc>
      </w:tr>
      <w:tr w:rsidR="00B62BFD" w:rsidRPr="00EB561B" w14:paraId="25E17786" w14:textId="77777777" w:rsidTr="00B62BFD">
        <w:trPr>
          <w:cantSplit/>
          <w:trHeight w:val="1548"/>
          <w:jc w:val="center"/>
        </w:trPr>
        <w:tc>
          <w:tcPr>
            <w:tcW w:w="1381" w:type="pct"/>
            <w:gridSpan w:val="2"/>
            <w:shd w:val="clear" w:color="auto" w:fill="F2DBDB" w:themeFill="accent2" w:themeFillTint="33"/>
            <w:vAlign w:val="center"/>
          </w:tcPr>
          <w:p w14:paraId="22ABC25B" w14:textId="41E3BF21" w:rsidR="00B62BFD" w:rsidRPr="00B62BFD" w:rsidRDefault="00B62BFD" w:rsidP="00B62BFD">
            <w:r w:rsidRPr="00A85A68">
              <w:rPr>
                <w:b/>
                <w:bCs/>
                <w:szCs w:val="22"/>
              </w:rPr>
              <w:t>Rivaroxaban (Xarelto</w:t>
            </w:r>
            <w:r w:rsidRPr="00A85A68">
              <w:rPr>
                <w:b/>
                <w:bCs/>
                <w:szCs w:val="22"/>
              </w:rPr>
              <w:sym w:font="Symbol" w:char="F0D2"/>
            </w:r>
            <w:r w:rsidRPr="00A85A68">
              <w:rPr>
                <w:rFonts w:cs="Arial"/>
                <w:b/>
                <w:bCs/>
                <w:szCs w:val="22"/>
              </w:rPr>
              <w:t>▼</w:t>
            </w:r>
            <w:r w:rsidRPr="00A85A68">
              <w:rPr>
                <w:b/>
                <w:bCs/>
                <w:szCs w:val="22"/>
              </w:rPr>
              <w:t>)</w:t>
            </w:r>
            <w:r w:rsidRPr="00A85A68">
              <w:rPr>
                <w:b/>
                <w:bCs/>
                <w:szCs w:val="22"/>
                <w:vertAlign w:val="superscript"/>
              </w:rPr>
              <w:t>2</w:t>
            </w:r>
          </w:p>
        </w:tc>
        <w:tc>
          <w:tcPr>
            <w:tcW w:w="3619" w:type="pct"/>
            <w:shd w:val="clear" w:color="auto" w:fill="auto"/>
            <w:vAlign w:val="center"/>
          </w:tcPr>
          <w:p w14:paraId="79DB064F" w14:textId="77777777" w:rsidR="00B62BFD" w:rsidRPr="00EB561B" w:rsidRDefault="00B62BFD" w:rsidP="00B62BFD">
            <w:pPr>
              <w:rPr>
                <w:szCs w:val="22"/>
              </w:rPr>
            </w:pPr>
            <w:r w:rsidRPr="00EB561B">
              <w:rPr>
                <w:szCs w:val="22"/>
              </w:rPr>
              <w:t>10mg once daily for:</w:t>
            </w:r>
          </w:p>
          <w:p w14:paraId="628DF5EA" w14:textId="77777777" w:rsidR="00B62BFD" w:rsidRPr="00B62BFD" w:rsidRDefault="00B62BFD" w:rsidP="00B62BFD">
            <w:pPr>
              <w:pStyle w:val="ListParagraph"/>
              <w:numPr>
                <w:ilvl w:val="0"/>
                <w:numId w:val="22"/>
              </w:numPr>
              <w:rPr>
                <w:szCs w:val="22"/>
              </w:rPr>
            </w:pPr>
            <w:r w:rsidRPr="00B62BFD">
              <w:rPr>
                <w:szCs w:val="22"/>
              </w:rPr>
              <w:t>2 weeks post knee surgery</w:t>
            </w:r>
          </w:p>
          <w:p w14:paraId="324BED75" w14:textId="7B1FFD87" w:rsidR="00B62BFD" w:rsidRPr="00B62BFD" w:rsidRDefault="00B62BFD" w:rsidP="00B62BFD">
            <w:pPr>
              <w:pStyle w:val="ListParagraph"/>
              <w:numPr>
                <w:ilvl w:val="0"/>
                <w:numId w:val="22"/>
              </w:numPr>
            </w:pPr>
            <w:r w:rsidRPr="00B62BFD">
              <w:rPr>
                <w:szCs w:val="22"/>
              </w:rPr>
              <w:t>5 weeks post hip surgery</w:t>
            </w:r>
          </w:p>
        </w:tc>
      </w:tr>
      <w:tr w:rsidR="00B62BFD" w:rsidRPr="00EB561B" w14:paraId="4720713F" w14:textId="77777777" w:rsidTr="00B62BFD">
        <w:trPr>
          <w:cantSplit/>
          <w:trHeight w:val="1683"/>
          <w:jc w:val="center"/>
        </w:trPr>
        <w:tc>
          <w:tcPr>
            <w:tcW w:w="1381" w:type="pct"/>
            <w:gridSpan w:val="2"/>
            <w:shd w:val="clear" w:color="auto" w:fill="E5DFEC" w:themeFill="accent4" w:themeFillTint="33"/>
            <w:vAlign w:val="center"/>
          </w:tcPr>
          <w:p w14:paraId="5D4569FA" w14:textId="0BFC254C" w:rsidR="00B62BFD" w:rsidRPr="00B62BFD" w:rsidRDefault="00B62BFD" w:rsidP="00B62BFD">
            <w:r w:rsidRPr="00A85A68">
              <w:rPr>
                <w:b/>
                <w:bCs/>
                <w:szCs w:val="22"/>
              </w:rPr>
              <w:t xml:space="preserve">Apixaban </w:t>
            </w:r>
            <w:r w:rsidR="007D1B0D">
              <w:rPr>
                <w:b/>
                <w:bCs/>
                <w:szCs w:val="22"/>
              </w:rPr>
              <w:t xml:space="preserve">     </w:t>
            </w:r>
            <w:r w:rsidRPr="00A85A68">
              <w:rPr>
                <w:b/>
                <w:bCs/>
                <w:szCs w:val="22"/>
              </w:rPr>
              <w:t>(Eliquis</w:t>
            </w:r>
            <w:r w:rsidRPr="00A85A68">
              <w:rPr>
                <w:b/>
                <w:bCs/>
                <w:szCs w:val="22"/>
              </w:rPr>
              <w:sym w:font="Symbol" w:char="F0D2"/>
            </w:r>
            <w:r w:rsidRPr="00A85A68">
              <w:rPr>
                <w:b/>
                <w:bCs/>
                <w:szCs w:val="22"/>
              </w:rPr>
              <w:t>)</w:t>
            </w:r>
            <w:r w:rsidRPr="00A85A68">
              <w:rPr>
                <w:b/>
                <w:bCs/>
                <w:szCs w:val="22"/>
                <w:vertAlign w:val="superscript"/>
              </w:rPr>
              <w:t>3</w:t>
            </w:r>
          </w:p>
        </w:tc>
        <w:tc>
          <w:tcPr>
            <w:tcW w:w="3619" w:type="pct"/>
            <w:shd w:val="clear" w:color="auto" w:fill="auto"/>
            <w:vAlign w:val="center"/>
          </w:tcPr>
          <w:p w14:paraId="0D3E154B" w14:textId="77777777" w:rsidR="00B62BFD" w:rsidRPr="00EB561B" w:rsidRDefault="00B62BFD" w:rsidP="00B62BFD">
            <w:pPr>
              <w:rPr>
                <w:szCs w:val="22"/>
              </w:rPr>
            </w:pPr>
            <w:r w:rsidRPr="00EB561B">
              <w:rPr>
                <w:szCs w:val="22"/>
              </w:rPr>
              <w:t>2.5mg twice daily for:</w:t>
            </w:r>
          </w:p>
          <w:p w14:paraId="21C385F6" w14:textId="77777777" w:rsidR="00B62BFD" w:rsidRPr="00B62BFD" w:rsidRDefault="00B62BFD" w:rsidP="00B62BFD">
            <w:pPr>
              <w:pStyle w:val="ListParagraph"/>
              <w:numPr>
                <w:ilvl w:val="0"/>
                <w:numId w:val="23"/>
              </w:numPr>
              <w:rPr>
                <w:szCs w:val="22"/>
              </w:rPr>
            </w:pPr>
            <w:r w:rsidRPr="00B62BFD">
              <w:rPr>
                <w:szCs w:val="22"/>
              </w:rPr>
              <w:t>10 to 14 days post knee surgery</w:t>
            </w:r>
          </w:p>
          <w:p w14:paraId="4AFF81B9" w14:textId="64F6EC2E" w:rsidR="00B62BFD" w:rsidRPr="00B62BFD" w:rsidRDefault="00B62BFD" w:rsidP="00B62BFD">
            <w:pPr>
              <w:pStyle w:val="ListParagraph"/>
              <w:numPr>
                <w:ilvl w:val="0"/>
                <w:numId w:val="23"/>
              </w:numPr>
            </w:pPr>
            <w:r w:rsidRPr="00B62BFD">
              <w:rPr>
                <w:szCs w:val="22"/>
              </w:rPr>
              <w:t>32 to 38 days post hip surgery</w:t>
            </w:r>
          </w:p>
        </w:tc>
      </w:tr>
      <w:tr w:rsidR="00B62BFD" w:rsidRPr="00EB561B" w14:paraId="4338AE9E" w14:textId="77777777" w:rsidTr="004548C7">
        <w:trPr>
          <w:cantSplit/>
          <w:trHeight w:val="986"/>
          <w:jc w:val="center"/>
        </w:trPr>
        <w:tc>
          <w:tcPr>
            <w:tcW w:w="1381" w:type="pct"/>
            <w:gridSpan w:val="2"/>
            <w:shd w:val="clear" w:color="auto" w:fill="FDE9D9" w:themeFill="accent6" w:themeFillTint="33"/>
            <w:vAlign w:val="center"/>
          </w:tcPr>
          <w:p w14:paraId="3001CF14" w14:textId="77733C34" w:rsidR="00B62BFD" w:rsidRPr="00B62BFD" w:rsidRDefault="00B62BFD" w:rsidP="00B62BFD">
            <w:r w:rsidRPr="00A85A68">
              <w:rPr>
                <w:b/>
                <w:bCs/>
                <w:szCs w:val="22"/>
              </w:rPr>
              <w:t xml:space="preserve">Edoxaban </w:t>
            </w:r>
            <w:r w:rsidR="007D1B0D">
              <w:rPr>
                <w:b/>
                <w:bCs/>
                <w:szCs w:val="22"/>
              </w:rPr>
              <w:t xml:space="preserve">    </w:t>
            </w:r>
            <w:r w:rsidRPr="00A85A68">
              <w:rPr>
                <w:b/>
                <w:bCs/>
                <w:szCs w:val="22"/>
              </w:rPr>
              <w:t>(Lixiana</w:t>
            </w:r>
            <w:r w:rsidRPr="00A85A68">
              <w:rPr>
                <w:b/>
                <w:bCs/>
                <w:szCs w:val="22"/>
              </w:rPr>
              <w:sym w:font="Symbol" w:char="F0D2"/>
            </w:r>
            <w:r w:rsidRPr="00A85A68">
              <w:rPr>
                <w:b/>
                <w:bCs/>
                <w:szCs w:val="22"/>
              </w:rPr>
              <w:t>)</w:t>
            </w:r>
            <w:r w:rsidRPr="00A85A68">
              <w:rPr>
                <w:b/>
                <w:bCs/>
                <w:szCs w:val="22"/>
                <w:vertAlign w:val="superscript"/>
              </w:rPr>
              <w:t>4</w:t>
            </w:r>
          </w:p>
        </w:tc>
        <w:tc>
          <w:tcPr>
            <w:tcW w:w="3619" w:type="pct"/>
            <w:shd w:val="clear" w:color="auto" w:fill="auto"/>
            <w:vAlign w:val="center"/>
          </w:tcPr>
          <w:p w14:paraId="50721266" w14:textId="526F3059" w:rsidR="00B62BFD" w:rsidRPr="00B62BFD" w:rsidRDefault="00B62BFD" w:rsidP="00B62BFD">
            <w:r w:rsidRPr="00EB561B">
              <w:rPr>
                <w:szCs w:val="22"/>
              </w:rPr>
              <w:t>Not licensed</w:t>
            </w:r>
          </w:p>
        </w:tc>
      </w:tr>
      <w:tr w:rsidR="00B62BFD" w:rsidRPr="00EB561B" w14:paraId="61A23401" w14:textId="77777777" w:rsidTr="004548C7">
        <w:trPr>
          <w:cantSplit/>
          <w:trHeight w:val="986"/>
          <w:jc w:val="center"/>
        </w:trPr>
        <w:tc>
          <w:tcPr>
            <w:tcW w:w="1381" w:type="pct"/>
            <w:gridSpan w:val="2"/>
            <w:shd w:val="clear" w:color="auto" w:fill="EAF1DD" w:themeFill="accent3" w:themeFillTint="33"/>
            <w:vAlign w:val="center"/>
          </w:tcPr>
          <w:p w14:paraId="75F5B8BC" w14:textId="4437A6DE" w:rsidR="00B62BFD" w:rsidRPr="00B62BFD" w:rsidRDefault="00B62BFD" w:rsidP="00B62BFD">
            <w:pPr>
              <w:rPr>
                <w:b/>
                <w:szCs w:val="22"/>
              </w:rPr>
            </w:pPr>
            <w:r w:rsidRPr="00544874">
              <w:rPr>
                <w:b/>
                <w:szCs w:val="22"/>
              </w:rPr>
              <w:t>Warfarin</w:t>
            </w:r>
            <w:r w:rsidRPr="00544874">
              <w:rPr>
                <w:b/>
                <w:szCs w:val="22"/>
                <w:vertAlign w:val="superscript"/>
              </w:rPr>
              <w:t>5,6</w:t>
            </w:r>
          </w:p>
        </w:tc>
        <w:tc>
          <w:tcPr>
            <w:tcW w:w="3619" w:type="pct"/>
            <w:shd w:val="clear" w:color="auto" w:fill="auto"/>
            <w:vAlign w:val="center"/>
          </w:tcPr>
          <w:p w14:paraId="6EBCF224" w14:textId="3C8E2118" w:rsidR="00B62BFD" w:rsidRPr="00B62BFD" w:rsidRDefault="00B62BFD" w:rsidP="00B62BFD">
            <w:pPr>
              <w:rPr>
                <w:b/>
                <w:bCs/>
              </w:rPr>
            </w:pPr>
            <w:r w:rsidRPr="00EB561B">
              <w:rPr>
                <w:szCs w:val="22"/>
              </w:rPr>
              <w:t>Not licensed</w:t>
            </w:r>
          </w:p>
        </w:tc>
      </w:tr>
    </w:tbl>
    <w:p w14:paraId="46B7BBBA" w14:textId="77777777" w:rsidR="00B62BFD" w:rsidRDefault="00B62BFD"/>
    <w:p w14:paraId="53F00ABF" w14:textId="7C542CDA" w:rsidR="00215B05" w:rsidRPr="00EB561B" w:rsidRDefault="00215B05">
      <w:pPr>
        <w:rPr>
          <w:rFonts w:asciiTheme="majorHAnsi" w:hAnsiTheme="majorHAnsi" w:cstheme="majorHAnsi"/>
          <w:szCs w:val="22"/>
        </w:rPr>
      </w:pPr>
    </w:p>
    <w:p w14:paraId="44499C9C" w14:textId="77777777" w:rsidR="00215B05" w:rsidRPr="00EB561B" w:rsidRDefault="00215B05">
      <w:pPr>
        <w:rPr>
          <w:rFonts w:asciiTheme="majorHAnsi" w:hAnsiTheme="majorHAnsi" w:cstheme="majorHAnsi"/>
          <w:szCs w:val="22"/>
        </w:rPr>
      </w:pPr>
      <w:r w:rsidRPr="00EB561B">
        <w:rPr>
          <w:rFonts w:asciiTheme="majorHAnsi" w:hAnsiTheme="majorHAnsi" w:cstheme="majorHAnsi"/>
          <w:szCs w:val="22"/>
        </w:rPr>
        <w:br w:type="page"/>
      </w:r>
    </w:p>
    <w:p w14:paraId="1FB4F628" w14:textId="77777777" w:rsidR="0087568F" w:rsidRPr="00EB561B" w:rsidRDefault="0087568F">
      <w:pPr>
        <w:rPr>
          <w:rFonts w:asciiTheme="majorHAnsi" w:hAnsiTheme="majorHAnsi" w:cstheme="majorHAnsi"/>
          <w:szCs w:val="22"/>
        </w:rPr>
      </w:pPr>
    </w:p>
    <w:tbl>
      <w:tblPr>
        <w:tblStyle w:val="TableGrid"/>
        <w:tblW w:w="5000" w:type="pct"/>
        <w:jc w:val="center"/>
        <w:tblLook w:val="04A0" w:firstRow="1" w:lastRow="0" w:firstColumn="1" w:lastColumn="0" w:noHBand="0" w:noVBand="1"/>
      </w:tblPr>
      <w:tblGrid>
        <w:gridCol w:w="2263"/>
        <w:gridCol w:w="3031"/>
        <w:gridCol w:w="1449"/>
        <w:gridCol w:w="1497"/>
        <w:gridCol w:w="1495"/>
      </w:tblGrid>
      <w:tr w:rsidR="000145DE" w:rsidRPr="00EB561B" w14:paraId="7D5D7DFE" w14:textId="77777777" w:rsidTr="00B62BFD">
        <w:trPr>
          <w:cantSplit/>
          <w:jc w:val="center"/>
        </w:trPr>
        <w:tc>
          <w:tcPr>
            <w:tcW w:w="5000" w:type="pct"/>
            <w:gridSpan w:val="5"/>
            <w:shd w:val="clear" w:color="auto" w:fill="F2F2F2" w:themeFill="background1" w:themeFillShade="F2"/>
            <w:vAlign w:val="center"/>
          </w:tcPr>
          <w:p w14:paraId="2520FB82" w14:textId="77777777" w:rsidR="000145DE" w:rsidRPr="00367CC8" w:rsidRDefault="000145DE" w:rsidP="00B62BFD">
            <w:pPr>
              <w:pStyle w:val="Heading2"/>
            </w:pPr>
            <w:bookmarkStart w:id="69" w:name="_Toc104910451"/>
            <w:bookmarkStart w:id="70" w:name="_Toc106708898"/>
            <w:r w:rsidRPr="00367CC8">
              <w:t>Acute coronary syndrome</w:t>
            </w:r>
            <w:bookmarkEnd w:id="69"/>
            <w:bookmarkEnd w:id="70"/>
            <w:r w:rsidRPr="00367CC8">
              <w:t xml:space="preserve"> </w:t>
            </w:r>
          </w:p>
        </w:tc>
      </w:tr>
      <w:tr w:rsidR="000145DE" w:rsidRPr="00EB561B" w14:paraId="369437D4" w14:textId="77777777" w:rsidTr="00B62BFD">
        <w:trPr>
          <w:cantSplit/>
          <w:jc w:val="center"/>
        </w:trPr>
        <w:tc>
          <w:tcPr>
            <w:tcW w:w="1162" w:type="pct"/>
            <w:shd w:val="clear" w:color="auto" w:fill="DBE5F1" w:themeFill="accent1" w:themeFillTint="33"/>
            <w:vAlign w:val="center"/>
          </w:tcPr>
          <w:p w14:paraId="06B77C54" w14:textId="77777777" w:rsidR="000145DE" w:rsidRPr="00EB561B" w:rsidRDefault="000145DE" w:rsidP="00B62BFD">
            <w:pPr>
              <w:rPr>
                <w:szCs w:val="22"/>
              </w:rPr>
            </w:pPr>
            <w:r w:rsidRPr="00EB561B">
              <w:rPr>
                <w:b/>
                <w:szCs w:val="22"/>
              </w:rPr>
              <w:t>Dabigatran (Pradaxa</w:t>
            </w:r>
            <w:r w:rsidRPr="00EB561B">
              <w:rPr>
                <w:b/>
                <w:szCs w:val="22"/>
              </w:rPr>
              <w:sym w:font="Symbol" w:char="F0D2"/>
            </w:r>
            <w:r w:rsidRPr="00EB561B">
              <w:rPr>
                <w:b/>
                <w:szCs w:val="22"/>
              </w:rPr>
              <w:t>)</w:t>
            </w:r>
            <w:r w:rsidRPr="00EB561B">
              <w:rPr>
                <w:b/>
                <w:szCs w:val="22"/>
                <w:vertAlign w:val="superscript"/>
              </w:rPr>
              <w:t>1</w:t>
            </w:r>
          </w:p>
        </w:tc>
        <w:tc>
          <w:tcPr>
            <w:tcW w:w="1557" w:type="pct"/>
            <w:shd w:val="clear" w:color="auto" w:fill="F2DBDB" w:themeFill="accent2" w:themeFillTint="33"/>
            <w:vAlign w:val="center"/>
          </w:tcPr>
          <w:p w14:paraId="48294A27" w14:textId="5472CEB1" w:rsidR="000145DE" w:rsidRPr="00EB561B" w:rsidRDefault="000145DE" w:rsidP="00B62BFD">
            <w:pPr>
              <w:rPr>
                <w:bCs/>
                <w:szCs w:val="22"/>
              </w:rPr>
            </w:pPr>
            <w:r w:rsidRPr="00EB561B">
              <w:rPr>
                <w:b/>
                <w:szCs w:val="22"/>
              </w:rPr>
              <w:t>Rivaroxaban (Xarelto</w:t>
            </w:r>
            <w:r w:rsidRPr="00EB561B">
              <w:rPr>
                <w:b/>
                <w:szCs w:val="22"/>
              </w:rPr>
              <w:sym w:font="Symbol" w:char="F0D2"/>
            </w:r>
            <w:r w:rsidRPr="00EB561B">
              <w:rPr>
                <w:rFonts w:cs="Arial"/>
                <w:szCs w:val="22"/>
              </w:rPr>
              <w:t>▼</w:t>
            </w:r>
            <w:r w:rsidRPr="00EB561B">
              <w:rPr>
                <w:b/>
                <w:szCs w:val="22"/>
              </w:rPr>
              <w:t>)</w:t>
            </w:r>
            <w:r w:rsidRPr="00EB561B">
              <w:rPr>
                <w:b/>
                <w:szCs w:val="22"/>
                <w:vertAlign w:val="superscript"/>
              </w:rPr>
              <w:t>2</w:t>
            </w:r>
            <w:r w:rsidR="00E72676" w:rsidRPr="00EB561B">
              <w:rPr>
                <w:b/>
                <w:szCs w:val="22"/>
                <w:vertAlign w:val="superscript"/>
              </w:rPr>
              <w:t>,6</w:t>
            </w:r>
          </w:p>
        </w:tc>
        <w:tc>
          <w:tcPr>
            <w:tcW w:w="744" w:type="pct"/>
            <w:shd w:val="clear" w:color="auto" w:fill="E5DFEC" w:themeFill="accent4" w:themeFillTint="33"/>
            <w:vAlign w:val="center"/>
          </w:tcPr>
          <w:p w14:paraId="730E9760" w14:textId="77777777" w:rsidR="000145DE" w:rsidRPr="00EB561B" w:rsidRDefault="000145DE" w:rsidP="00B62BFD">
            <w:pPr>
              <w:rPr>
                <w:szCs w:val="22"/>
              </w:rPr>
            </w:pPr>
            <w:r w:rsidRPr="00EB561B">
              <w:rPr>
                <w:b/>
                <w:szCs w:val="22"/>
              </w:rPr>
              <w:t>Apixaban (Eliquis</w:t>
            </w:r>
            <w:r w:rsidRPr="00EB561B">
              <w:rPr>
                <w:b/>
                <w:szCs w:val="22"/>
              </w:rPr>
              <w:sym w:font="Symbol" w:char="F0D2"/>
            </w:r>
            <w:r w:rsidRPr="00EB561B">
              <w:rPr>
                <w:b/>
                <w:szCs w:val="22"/>
              </w:rPr>
              <w:t>)</w:t>
            </w:r>
            <w:r w:rsidRPr="00EB561B">
              <w:rPr>
                <w:b/>
                <w:szCs w:val="22"/>
                <w:vertAlign w:val="superscript"/>
              </w:rPr>
              <w:t>3</w:t>
            </w:r>
          </w:p>
        </w:tc>
        <w:tc>
          <w:tcPr>
            <w:tcW w:w="769" w:type="pct"/>
            <w:shd w:val="clear" w:color="auto" w:fill="FDE9D9" w:themeFill="accent6" w:themeFillTint="33"/>
            <w:vAlign w:val="center"/>
          </w:tcPr>
          <w:p w14:paraId="11D23C95" w14:textId="2DB0A383" w:rsidR="000145DE" w:rsidRPr="00EB561B" w:rsidRDefault="000145DE" w:rsidP="00B62BFD">
            <w:pPr>
              <w:rPr>
                <w:szCs w:val="22"/>
              </w:rPr>
            </w:pPr>
            <w:r w:rsidRPr="00EB561B">
              <w:rPr>
                <w:b/>
                <w:szCs w:val="22"/>
              </w:rPr>
              <w:t>Edoxaban (Lixiana</w:t>
            </w:r>
            <w:r w:rsidRPr="00EB561B">
              <w:rPr>
                <w:b/>
                <w:szCs w:val="22"/>
              </w:rPr>
              <w:sym w:font="Symbol" w:char="F0D2"/>
            </w:r>
            <w:r w:rsidRPr="00EB561B">
              <w:rPr>
                <w:b/>
                <w:szCs w:val="22"/>
              </w:rPr>
              <w:t>)</w:t>
            </w:r>
            <w:r w:rsidRPr="00EB561B">
              <w:rPr>
                <w:b/>
                <w:szCs w:val="22"/>
                <w:vertAlign w:val="superscript"/>
              </w:rPr>
              <w:t>4</w:t>
            </w:r>
          </w:p>
        </w:tc>
        <w:tc>
          <w:tcPr>
            <w:tcW w:w="768" w:type="pct"/>
            <w:shd w:val="clear" w:color="auto" w:fill="DAEEF3" w:themeFill="accent5" w:themeFillTint="33"/>
            <w:vAlign w:val="center"/>
          </w:tcPr>
          <w:p w14:paraId="232AA8A3" w14:textId="4F1E13D8" w:rsidR="000145DE" w:rsidRPr="00EB561B" w:rsidRDefault="000145DE" w:rsidP="00B62BFD">
            <w:pPr>
              <w:rPr>
                <w:b/>
                <w:szCs w:val="22"/>
              </w:rPr>
            </w:pPr>
            <w:r w:rsidRPr="00EB561B">
              <w:rPr>
                <w:b/>
                <w:szCs w:val="22"/>
              </w:rPr>
              <w:t>Warfarin</w:t>
            </w:r>
            <w:r w:rsidR="005924AC" w:rsidRPr="00EB561B">
              <w:rPr>
                <w:b/>
                <w:szCs w:val="22"/>
                <w:vertAlign w:val="superscript"/>
              </w:rPr>
              <w:t>5</w:t>
            </w:r>
            <w:r w:rsidR="009B1367" w:rsidRPr="00EB561B">
              <w:rPr>
                <w:b/>
                <w:szCs w:val="22"/>
                <w:vertAlign w:val="superscript"/>
              </w:rPr>
              <w:t>,6</w:t>
            </w:r>
          </w:p>
        </w:tc>
      </w:tr>
      <w:tr w:rsidR="000145DE" w:rsidRPr="00EB561B" w14:paraId="2C2F2B9A" w14:textId="77777777" w:rsidTr="00B62BFD">
        <w:trPr>
          <w:cantSplit/>
          <w:trHeight w:val="1873"/>
          <w:jc w:val="center"/>
        </w:trPr>
        <w:tc>
          <w:tcPr>
            <w:tcW w:w="1162" w:type="pct"/>
            <w:shd w:val="clear" w:color="auto" w:fill="auto"/>
            <w:vAlign w:val="center"/>
          </w:tcPr>
          <w:p w14:paraId="6F2E85D9" w14:textId="77777777" w:rsidR="000145DE" w:rsidRPr="00625207" w:rsidRDefault="000145DE" w:rsidP="00B62BFD">
            <w:pPr>
              <w:rPr>
                <w:szCs w:val="22"/>
              </w:rPr>
            </w:pPr>
            <w:r w:rsidRPr="00625207">
              <w:rPr>
                <w:szCs w:val="22"/>
              </w:rPr>
              <w:t>Not licensed</w:t>
            </w:r>
          </w:p>
        </w:tc>
        <w:tc>
          <w:tcPr>
            <w:tcW w:w="1557" w:type="pct"/>
            <w:shd w:val="clear" w:color="auto" w:fill="auto"/>
            <w:vAlign w:val="center"/>
          </w:tcPr>
          <w:p w14:paraId="66D1BAC2" w14:textId="3D00BF75" w:rsidR="000145DE" w:rsidRPr="00625207" w:rsidRDefault="000145DE" w:rsidP="00B62BFD">
            <w:pPr>
              <w:rPr>
                <w:szCs w:val="22"/>
              </w:rPr>
            </w:pPr>
            <w:r w:rsidRPr="00625207">
              <w:rPr>
                <w:szCs w:val="22"/>
              </w:rPr>
              <w:t>2.5mg twice daily with aspirin alone or aspirin + clopidogrel</w:t>
            </w:r>
            <w:r w:rsidR="003944F2" w:rsidRPr="00625207">
              <w:rPr>
                <w:szCs w:val="22"/>
              </w:rPr>
              <w:t xml:space="preserve"> or </w:t>
            </w:r>
            <w:r w:rsidRPr="00625207">
              <w:rPr>
                <w:szCs w:val="22"/>
              </w:rPr>
              <w:t>ticlopidine</w:t>
            </w:r>
          </w:p>
          <w:p w14:paraId="16F69818" w14:textId="00197E77" w:rsidR="000145DE" w:rsidRPr="00625207" w:rsidRDefault="000145DE" w:rsidP="00B62BFD">
            <w:pPr>
              <w:rPr>
                <w:szCs w:val="22"/>
              </w:rPr>
            </w:pPr>
            <w:r w:rsidRPr="00625207">
              <w:rPr>
                <w:szCs w:val="22"/>
              </w:rPr>
              <w:t>Review regularly</w:t>
            </w:r>
          </w:p>
          <w:p w14:paraId="0D358E9D" w14:textId="7400CF97" w:rsidR="000145DE" w:rsidRPr="00625207" w:rsidRDefault="000145DE" w:rsidP="00B62BFD">
            <w:pPr>
              <w:rPr>
                <w:szCs w:val="22"/>
              </w:rPr>
            </w:pPr>
            <w:r w:rsidRPr="00625207">
              <w:rPr>
                <w:szCs w:val="22"/>
              </w:rPr>
              <w:t>Extension of treatment beyond 12 months should be done on an individual patient basis as experience up to 24 months is limited</w:t>
            </w:r>
          </w:p>
        </w:tc>
        <w:tc>
          <w:tcPr>
            <w:tcW w:w="744" w:type="pct"/>
            <w:shd w:val="clear" w:color="auto" w:fill="auto"/>
            <w:vAlign w:val="center"/>
          </w:tcPr>
          <w:p w14:paraId="5AACD1DC" w14:textId="77777777" w:rsidR="000145DE" w:rsidRPr="00625207" w:rsidRDefault="000145DE" w:rsidP="00B62BFD">
            <w:pPr>
              <w:rPr>
                <w:szCs w:val="22"/>
              </w:rPr>
            </w:pPr>
            <w:r w:rsidRPr="00625207">
              <w:rPr>
                <w:szCs w:val="22"/>
              </w:rPr>
              <w:t>Not licensed</w:t>
            </w:r>
          </w:p>
        </w:tc>
        <w:tc>
          <w:tcPr>
            <w:tcW w:w="769" w:type="pct"/>
            <w:shd w:val="clear" w:color="auto" w:fill="auto"/>
            <w:vAlign w:val="center"/>
          </w:tcPr>
          <w:p w14:paraId="32FBC0EF" w14:textId="77777777" w:rsidR="000145DE" w:rsidRPr="00625207" w:rsidRDefault="000145DE" w:rsidP="00B62BFD">
            <w:pPr>
              <w:rPr>
                <w:szCs w:val="22"/>
              </w:rPr>
            </w:pPr>
            <w:r w:rsidRPr="00625207">
              <w:rPr>
                <w:szCs w:val="22"/>
              </w:rPr>
              <w:t>Not licensed</w:t>
            </w:r>
          </w:p>
        </w:tc>
        <w:tc>
          <w:tcPr>
            <w:tcW w:w="768" w:type="pct"/>
            <w:vAlign w:val="center"/>
          </w:tcPr>
          <w:p w14:paraId="4BB9A657" w14:textId="26D84F36" w:rsidR="000145DE" w:rsidRPr="00625207" w:rsidRDefault="000145DE" w:rsidP="00B62BFD">
            <w:pPr>
              <w:rPr>
                <w:szCs w:val="22"/>
              </w:rPr>
            </w:pPr>
            <w:r w:rsidRPr="00625207">
              <w:rPr>
                <w:szCs w:val="22"/>
              </w:rPr>
              <w:t>Not licensed</w:t>
            </w:r>
          </w:p>
        </w:tc>
      </w:tr>
    </w:tbl>
    <w:p w14:paraId="2E562D24" w14:textId="77777777" w:rsidR="003C638F" w:rsidRPr="00EB561B" w:rsidRDefault="003C638F" w:rsidP="002E47F4">
      <w:pPr>
        <w:rPr>
          <w:rFonts w:asciiTheme="majorHAnsi" w:hAnsiTheme="majorHAnsi" w:cstheme="majorHAnsi"/>
          <w:szCs w:val="22"/>
        </w:rPr>
      </w:pPr>
    </w:p>
    <w:tbl>
      <w:tblPr>
        <w:tblStyle w:val="TableGrid"/>
        <w:tblW w:w="0" w:type="auto"/>
        <w:jc w:val="center"/>
        <w:tblLook w:val="04A0" w:firstRow="1" w:lastRow="0" w:firstColumn="1" w:lastColumn="0" w:noHBand="0" w:noVBand="1"/>
      </w:tblPr>
      <w:tblGrid>
        <w:gridCol w:w="981"/>
        <w:gridCol w:w="1951"/>
        <w:gridCol w:w="1773"/>
        <w:gridCol w:w="1873"/>
        <w:gridCol w:w="1639"/>
        <w:gridCol w:w="1518"/>
      </w:tblGrid>
      <w:tr w:rsidR="00FA794C" w:rsidRPr="00EB561B" w14:paraId="525EF822" w14:textId="77777777" w:rsidTr="00625207">
        <w:trPr>
          <w:trHeight w:val="340"/>
          <w:jc w:val="center"/>
        </w:trPr>
        <w:tc>
          <w:tcPr>
            <w:tcW w:w="0" w:type="auto"/>
            <w:gridSpan w:val="6"/>
            <w:shd w:val="clear" w:color="auto" w:fill="F2F2F2" w:themeFill="background1" w:themeFillShade="F2"/>
            <w:vAlign w:val="center"/>
          </w:tcPr>
          <w:p w14:paraId="2A1713CA" w14:textId="786322CA" w:rsidR="00FA794C" w:rsidRPr="00EB561B" w:rsidRDefault="00E16E54" w:rsidP="00625207">
            <w:pPr>
              <w:pStyle w:val="Heading2"/>
              <w:rPr>
                <w:color w:val="FF0000"/>
                <w:sz w:val="22"/>
                <w:szCs w:val="22"/>
              </w:rPr>
            </w:pPr>
            <w:bookmarkStart w:id="71" w:name="_Toc104910452"/>
            <w:bookmarkStart w:id="72" w:name="_Toc106708899"/>
            <w:r w:rsidRPr="00EB561B">
              <w:t>Dosage in extremes of body weight</w:t>
            </w:r>
            <w:bookmarkEnd w:id="71"/>
            <w:bookmarkEnd w:id="72"/>
          </w:p>
        </w:tc>
      </w:tr>
      <w:tr w:rsidR="00FE7473" w:rsidRPr="00EB561B" w14:paraId="767992E7" w14:textId="77777777" w:rsidTr="00B62BFD">
        <w:trPr>
          <w:trHeight w:val="605"/>
          <w:jc w:val="center"/>
        </w:trPr>
        <w:tc>
          <w:tcPr>
            <w:tcW w:w="981" w:type="dxa"/>
            <w:shd w:val="clear" w:color="auto" w:fill="F2F2F2" w:themeFill="background1" w:themeFillShade="F2"/>
            <w:vAlign w:val="center"/>
          </w:tcPr>
          <w:p w14:paraId="206222B2" w14:textId="77777777" w:rsidR="00FA794C" w:rsidRPr="00EB561B" w:rsidRDefault="00FA794C" w:rsidP="00625207">
            <w:pPr>
              <w:rPr>
                <w:b/>
                <w:szCs w:val="22"/>
              </w:rPr>
            </w:pPr>
          </w:p>
        </w:tc>
        <w:tc>
          <w:tcPr>
            <w:tcW w:w="1951" w:type="dxa"/>
            <w:shd w:val="clear" w:color="auto" w:fill="DBE5F1" w:themeFill="accent1" w:themeFillTint="33"/>
            <w:vAlign w:val="center"/>
          </w:tcPr>
          <w:p w14:paraId="6FD9C12E" w14:textId="065EA189" w:rsidR="00FA794C" w:rsidRPr="00EB561B" w:rsidRDefault="00FA794C" w:rsidP="00625207">
            <w:pPr>
              <w:rPr>
                <w:b/>
                <w:szCs w:val="22"/>
                <w:lang w:val="it-IT"/>
              </w:rPr>
            </w:pPr>
            <w:r w:rsidRPr="00EB561B">
              <w:rPr>
                <w:b/>
                <w:szCs w:val="22"/>
                <w:lang w:val="it-IT"/>
              </w:rPr>
              <w:t>Dabigatran (Pradaxa)</w:t>
            </w:r>
            <w:r w:rsidRPr="00EB561B">
              <w:rPr>
                <w:b/>
                <w:szCs w:val="22"/>
                <w:vertAlign w:val="superscript"/>
                <w:lang w:val="it-IT"/>
              </w:rPr>
              <w:t>1</w:t>
            </w:r>
          </w:p>
        </w:tc>
        <w:tc>
          <w:tcPr>
            <w:tcW w:w="0" w:type="auto"/>
            <w:shd w:val="clear" w:color="auto" w:fill="F2DBDB" w:themeFill="accent2" w:themeFillTint="33"/>
            <w:vAlign w:val="center"/>
          </w:tcPr>
          <w:p w14:paraId="0FD4FC99" w14:textId="2A0BDC3F" w:rsidR="00FA794C" w:rsidRPr="00EB561B" w:rsidRDefault="00FA794C" w:rsidP="00625207">
            <w:pPr>
              <w:rPr>
                <w:b/>
                <w:szCs w:val="22"/>
              </w:rPr>
            </w:pPr>
            <w:r w:rsidRPr="00EB561B">
              <w:rPr>
                <w:b/>
                <w:szCs w:val="22"/>
              </w:rPr>
              <w:t>Rivaroxaban (Xarelto</w:t>
            </w:r>
            <w:r w:rsidRPr="00EB561B">
              <w:rPr>
                <w:b/>
                <w:szCs w:val="22"/>
              </w:rPr>
              <w:sym w:font="Symbol" w:char="F0D2"/>
            </w:r>
            <w:r w:rsidRPr="00EB561B">
              <w:rPr>
                <w:rFonts w:cs="Arial"/>
                <w:szCs w:val="22"/>
              </w:rPr>
              <w:t>▼</w:t>
            </w:r>
            <w:r w:rsidRPr="00EB561B">
              <w:rPr>
                <w:b/>
                <w:szCs w:val="22"/>
              </w:rPr>
              <w:t>)</w:t>
            </w:r>
            <w:r w:rsidRPr="00EB561B">
              <w:rPr>
                <w:b/>
                <w:szCs w:val="22"/>
                <w:vertAlign w:val="superscript"/>
              </w:rPr>
              <w:t>2</w:t>
            </w:r>
          </w:p>
        </w:tc>
        <w:tc>
          <w:tcPr>
            <w:tcW w:w="1873" w:type="dxa"/>
            <w:shd w:val="clear" w:color="auto" w:fill="E5DFEC" w:themeFill="accent4" w:themeFillTint="33"/>
            <w:vAlign w:val="center"/>
          </w:tcPr>
          <w:p w14:paraId="78EB28DC" w14:textId="5631B7F1" w:rsidR="00FA794C" w:rsidRPr="00EB561B" w:rsidRDefault="00FA794C" w:rsidP="00625207">
            <w:pPr>
              <w:rPr>
                <w:b/>
                <w:szCs w:val="22"/>
              </w:rPr>
            </w:pPr>
            <w:r w:rsidRPr="00EB561B">
              <w:rPr>
                <w:b/>
                <w:szCs w:val="22"/>
              </w:rPr>
              <w:t>Apixaban (Eliquis)</w:t>
            </w:r>
            <w:r w:rsidRPr="00EB561B">
              <w:rPr>
                <w:b/>
                <w:szCs w:val="22"/>
                <w:vertAlign w:val="superscript"/>
              </w:rPr>
              <w:t>3</w:t>
            </w:r>
          </w:p>
        </w:tc>
        <w:tc>
          <w:tcPr>
            <w:tcW w:w="1639" w:type="dxa"/>
            <w:shd w:val="clear" w:color="auto" w:fill="FDE9D9" w:themeFill="accent6" w:themeFillTint="33"/>
            <w:vAlign w:val="center"/>
          </w:tcPr>
          <w:p w14:paraId="708B715C" w14:textId="369C10AB" w:rsidR="00FA794C" w:rsidRPr="00EB561B" w:rsidRDefault="00FA794C" w:rsidP="00625207">
            <w:pPr>
              <w:rPr>
                <w:b/>
                <w:szCs w:val="22"/>
              </w:rPr>
            </w:pPr>
            <w:r w:rsidRPr="00EB561B">
              <w:rPr>
                <w:b/>
                <w:szCs w:val="22"/>
              </w:rPr>
              <w:t>Edoxaban (Lixiana</w:t>
            </w:r>
            <w:r w:rsidRPr="00EB561B">
              <w:rPr>
                <w:b/>
                <w:szCs w:val="22"/>
              </w:rPr>
              <w:sym w:font="Symbol" w:char="F0D2"/>
            </w:r>
            <w:r w:rsidRPr="00EB561B">
              <w:rPr>
                <w:b/>
                <w:szCs w:val="22"/>
              </w:rPr>
              <w:t>)</w:t>
            </w:r>
            <w:r w:rsidRPr="00EB561B">
              <w:rPr>
                <w:b/>
                <w:szCs w:val="22"/>
                <w:vertAlign w:val="superscript"/>
              </w:rPr>
              <w:t>4</w:t>
            </w:r>
          </w:p>
        </w:tc>
        <w:tc>
          <w:tcPr>
            <w:tcW w:w="1518" w:type="dxa"/>
            <w:shd w:val="clear" w:color="auto" w:fill="EAF1DD" w:themeFill="accent3" w:themeFillTint="33"/>
            <w:vAlign w:val="center"/>
          </w:tcPr>
          <w:p w14:paraId="3088D6ED" w14:textId="345C2005" w:rsidR="00FA794C" w:rsidRPr="00EB561B" w:rsidRDefault="00FA794C" w:rsidP="00B62BFD">
            <w:pPr>
              <w:rPr>
                <w:b/>
                <w:szCs w:val="22"/>
                <w:vertAlign w:val="superscript"/>
              </w:rPr>
            </w:pPr>
            <w:r w:rsidRPr="00EB561B">
              <w:rPr>
                <w:b/>
                <w:szCs w:val="22"/>
              </w:rPr>
              <w:t>Warfarin</w:t>
            </w:r>
            <w:r w:rsidRPr="00EB561B">
              <w:rPr>
                <w:b/>
                <w:szCs w:val="22"/>
                <w:vertAlign w:val="superscript"/>
              </w:rPr>
              <w:t>5</w:t>
            </w:r>
            <w:r w:rsidR="009B1367" w:rsidRPr="00EB561B">
              <w:rPr>
                <w:b/>
                <w:szCs w:val="22"/>
                <w:vertAlign w:val="superscript"/>
              </w:rPr>
              <w:t>,6</w:t>
            </w:r>
          </w:p>
        </w:tc>
      </w:tr>
      <w:tr w:rsidR="00FE7473" w:rsidRPr="00EB561B" w14:paraId="74FEF920" w14:textId="77777777" w:rsidTr="00625207">
        <w:trPr>
          <w:trHeight w:val="729"/>
          <w:jc w:val="center"/>
        </w:trPr>
        <w:tc>
          <w:tcPr>
            <w:tcW w:w="981" w:type="dxa"/>
            <w:shd w:val="clear" w:color="auto" w:fill="F2F2F2" w:themeFill="background1" w:themeFillShade="F2"/>
            <w:vAlign w:val="center"/>
          </w:tcPr>
          <w:p w14:paraId="7235B7EE" w14:textId="302754DF" w:rsidR="00FA794C" w:rsidRPr="00625207" w:rsidRDefault="00876D00" w:rsidP="00625207">
            <w:pPr>
              <w:rPr>
                <w:szCs w:val="22"/>
              </w:rPr>
            </w:pPr>
            <w:r w:rsidRPr="00625207">
              <w:rPr>
                <w:szCs w:val="22"/>
              </w:rPr>
              <w:t>Low body weight</w:t>
            </w:r>
          </w:p>
        </w:tc>
        <w:tc>
          <w:tcPr>
            <w:tcW w:w="1951" w:type="dxa"/>
            <w:shd w:val="clear" w:color="auto" w:fill="auto"/>
            <w:vAlign w:val="center"/>
          </w:tcPr>
          <w:p w14:paraId="11DE176E" w14:textId="760CEC08" w:rsidR="00FA794C" w:rsidRPr="00625207" w:rsidRDefault="00FA794C" w:rsidP="00625207">
            <w:pPr>
              <w:rPr>
                <w:szCs w:val="22"/>
              </w:rPr>
            </w:pPr>
            <w:r w:rsidRPr="00625207">
              <w:rPr>
                <w:szCs w:val="22"/>
              </w:rPr>
              <w:t>No dosage adjustment</w:t>
            </w:r>
            <w:r w:rsidR="00411546" w:rsidRPr="00625207">
              <w:rPr>
                <w:szCs w:val="22"/>
              </w:rPr>
              <w:t>, but close clinical surveillance</w:t>
            </w:r>
            <w:r w:rsidR="00FB4374" w:rsidRPr="00625207">
              <w:rPr>
                <w:szCs w:val="22"/>
              </w:rPr>
              <w:t xml:space="preserve"> if</w:t>
            </w:r>
            <w:r w:rsidR="00411546" w:rsidRPr="00625207">
              <w:rPr>
                <w:szCs w:val="22"/>
              </w:rPr>
              <w:t xml:space="preserve"> </w:t>
            </w:r>
            <w:r w:rsidR="00FB4374" w:rsidRPr="00625207">
              <w:rPr>
                <w:szCs w:val="22"/>
              </w:rPr>
              <w:t>&lt;50Kg</w:t>
            </w:r>
          </w:p>
        </w:tc>
        <w:tc>
          <w:tcPr>
            <w:tcW w:w="0" w:type="auto"/>
            <w:shd w:val="clear" w:color="auto" w:fill="auto"/>
            <w:vAlign w:val="center"/>
          </w:tcPr>
          <w:p w14:paraId="10359514" w14:textId="240D2EDC" w:rsidR="00FA794C" w:rsidRPr="00625207" w:rsidRDefault="00FA794C" w:rsidP="00625207">
            <w:pPr>
              <w:rPr>
                <w:szCs w:val="22"/>
              </w:rPr>
            </w:pPr>
            <w:r w:rsidRPr="00625207">
              <w:rPr>
                <w:szCs w:val="22"/>
              </w:rPr>
              <w:t>No dosage adjustment</w:t>
            </w:r>
          </w:p>
        </w:tc>
        <w:tc>
          <w:tcPr>
            <w:tcW w:w="1873" w:type="dxa"/>
            <w:shd w:val="clear" w:color="auto" w:fill="auto"/>
            <w:vAlign w:val="center"/>
          </w:tcPr>
          <w:p w14:paraId="72A4E9FE" w14:textId="69E61F8B" w:rsidR="00FA794C" w:rsidRPr="00625207" w:rsidRDefault="00AC6602" w:rsidP="00625207">
            <w:pPr>
              <w:rPr>
                <w:szCs w:val="22"/>
              </w:rPr>
            </w:pPr>
            <w:r w:rsidRPr="00625207">
              <w:rPr>
                <w:szCs w:val="22"/>
              </w:rPr>
              <w:t>NVAF -</w:t>
            </w:r>
            <w:r w:rsidR="00732C02">
              <w:rPr>
                <w:szCs w:val="22"/>
              </w:rPr>
              <w:t xml:space="preserve"> </w:t>
            </w:r>
            <w:r w:rsidR="008774E6" w:rsidRPr="00625207">
              <w:rPr>
                <w:szCs w:val="22"/>
              </w:rPr>
              <w:t>2.5mg</w:t>
            </w:r>
            <w:r w:rsidR="006865DC" w:rsidRPr="00625207">
              <w:rPr>
                <w:szCs w:val="22"/>
              </w:rPr>
              <w:t xml:space="preserve"> </w:t>
            </w:r>
            <w:r w:rsidR="00EF47B1">
              <w:rPr>
                <w:szCs w:val="22"/>
              </w:rPr>
              <w:t>twice daily</w:t>
            </w:r>
            <w:r w:rsidR="006865DC" w:rsidRPr="00625207">
              <w:rPr>
                <w:szCs w:val="22"/>
              </w:rPr>
              <w:t xml:space="preserve"> if ≤60Kg</w:t>
            </w:r>
            <w:r w:rsidRPr="00625207">
              <w:rPr>
                <w:szCs w:val="22"/>
              </w:rPr>
              <w:t>; VTE – no dosage adjustment</w:t>
            </w:r>
          </w:p>
        </w:tc>
        <w:tc>
          <w:tcPr>
            <w:tcW w:w="1639" w:type="dxa"/>
            <w:shd w:val="clear" w:color="auto" w:fill="auto"/>
            <w:vAlign w:val="center"/>
          </w:tcPr>
          <w:p w14:paraId="3BB1AB49" w14:textId="43F7407C" w:rsidR="00FA794C" w:rsidRPr="00625207" w:rsidRDefault="0048742D" w:rsidP="00625207">
            <w:pPr>
              <w:rPr>
                <w:szCs w:val="22"/>
              </w:rPr>
            </w:pPr>
            <w:r w:rsidRPr="00625207">
              <w:rPr>
                <w:color w:val="0B0C0C"/>
                <w:szCs w:val="22"/>
                <w:lang w:eastAsia="en-GB"/>
              </w:rPr>
              <w:t xml:space="preserve">≤60Kg - </w:t>
            </w:r>
            <w:r w:rsidR="00307029" w:rsidRPr="00625207">
              <w:rPr>
                <w:color w:val="0B0C0C"/>
                <w:szCs w:val="22"/>
                <w:lang w:eastAsia="en-GB"/>
              </w:rPr>
              <w:t xml:space="preserve">NVAF and VTE </w:t>
            </w:r>
            <w:r w:rsidRPr="00625207">
              <w:rPr>
                <w:color w:val="0B0C0C"/>
                <w:szCs w:val="22"/>
                <w:lang w:eastAsia="en-GB"/>
              </w:rPr>
              <w:t>30mg daily</w:t>
            </w:r>
          </w:p>
        </w:tc>
        <w:tc>
          <w:tcPr>
            <w:tcW w:w="1518" w:type="dxa"/>
            <w:vAlign w:val="center"/>
          </w:tcPr>
          <w:p w14:paraId="2A04ECA8" w14:textId="0C515943" w:rsidR="00FA794C" w:rsidRPr="00625207" w:rsidRDefault="008606A3" w:rsidP="00625207">
            <w:pPr>
              <w:rPr>
                <w:szCs w:val="22"/>
              </w:rPr>
            </w:pPr>
            <w:r w:rsidRPr="00625207">
              <w:rPr>
                <w:szCs w:val="22"/>
              </w:rPr>
              <w:t>Loss of weight may require a d</w:t>
            </w:r>
            <w:r w:rsidR="00BF36BB" w:rsidRPr="00625207">
              <w:rPr>
                <w:szCs w:val="22"/>
              </w:rPr>
              <w:t xml:space="preserve">ose </w:t>
            </w:r>
            <w:r w:rsidR="00204BEB" w:rsidRPr="00625207">
              <w:rPr>
                <w:szCs w:val="22"/>
              </w:rPr>
              <w:t>reduction</w:t>
            </w:r>
          </w:p>
        </w:tc>
      </w:tr>
      <w:tr w:rsidR="00FE7473" w:rsidRPr="00EB561B" w14:paraId="2B2077AD" w14:textId="77777777" w:rsidTr="00625207">
        <w:trPr>
          <w:trHeight w:val="1492"/>
          <w:jc w:val="center"/>
        </w:trPr>
        <w:tc>
          <w:tcPr>
            <w:tcW w:w="981" w:type="dxa"/>
            <w:shd w:val="clear" w:color="auto" w:fill="F2F2F2" w:themeFill="background1" w:themeFillShade="F2"/>
            <w:vAlign w:val="center"/>
          </w:tcPr>
          <w:p w14:paraId="36877352" w14:textId="6817F8EC" w:rsidR="00FA794C" w:rsidRPr="00625207" w:rsidRDefault="00244FE6" w:rsidP="00625207">
            <w:pPr>
              <w:rPr>
                <w:szCs w:val="22"/>
                <w:highlight w:val="yellow"/>
              </w:rPr>
            </w:pPr>
            <w:r w:rsidRPr="00625207">
              <w:rPr>
                <w:szCs w:val="22"/>
              </w:rPr>
              <w:t>&gt;120Kg</w:t>
            </w:r>
          </w:p>
        </w:tc>
        <w:tc>
          <w:tcPr>
            <w:tcW w:w="1951" w:type="dxa"/>
            <w:shd w:val="clear" w:color="auto" w:fill="auto"/>
            <w:vAlign w:val="center"/>
          </w:tcPr>
          <w:p w14:paraId="055FDB0C" w14:textId="77777777" w:rsidR="00FA794C" w:rsidRPr="00625207" w:rsidRDefault="00FA794C" w:rsidP="00625207">
            <w:pPr>
              <w:rPr>
                <w:szCs w:val="22"/>
              </w:rPr>
            </w:pPr>
            <w:r w:rsidRPr="00625207">
              <w:rPr>
                <w:szCs w:val="22"/>
              </w:rPr>
              <w:t>No dosage adjustment</w:t>
            </w:r>
          </w:p>
        </w:tc>
        <w:tc>
          <w:tcPr>
            <w:tcW w:w="0" w:type="auto"/>
            <w:shd w:val="clear" w:color="auto" w:fill="auto"/>
            <w:vAlign w:val="center"/>
          </w:tcPr>
          <w:p w14:paraId="49630F0F" w14:textId="56217AC4" w:rsidR="00FA794C" w:rsidRPr="00625207" w:rsidRDefault="00FA794C" w:rsidP="00625207">
            <w:pPr>
              <w:rPr>
                <w:szCs w:val="22"/>
              </w:rPr>
            </w:pPr>
            <w:r w:rsidRPr="00625207">
              <w:rPr>
                <w:szCs w:val="22"/>
              </w:rPr>
              <w:t>No dosage adjustment</w:t>
            </w:r>
          </w:p>
        </w:tc>
        <w:tc>
          <w:tcPr>
            <w:tcW w:w="1873" w:type="dxa"/>
            <w:shd w:val="clear" w:color="auto" w:fill="auto"/>
            <w:vAlign w:val="center"/>
          </w:tcPr>
          <w:p w14:paraId="78459906" w14:textId="3E152B33" w:rsidR="00FA794C" w:rsidRPr="00625207" w:rsidRDefault="00177E47" w:rsidP="00625207">
            <w:pPr>
              <w:rPr>
                <w:szCs w:val="22"/>
              </w:rPr>
            </w:pPr>
            <w:r w:rsidRPr="00625207">
              <w:rPr>
                <w:szCs w:val="22"/>
              </w:rPr>
              <w:t>No dosage adjustment</w:t>
            </w:r>
          </w:p>
        </w:tc>
        <w:tc>
          <w:tcPr>
            <w:tcW w:w="1639" w:type="dxa"/>
            <w:shd w:val="clear" w:color="auto" w:fill="auto"/>
            <w:vAlign w:val="center"/>
          </w:tcPr>
          <w:p w14:paraId="210C6E92" w14:textId="77777777" w:rsidR="00FA794C" w:rsidRPr="00625207" w:rsidRDefault="00FA794C" w:rsidP="00625207">
            <w:pPr>
              <w:rPr>
                <w:szCs w:val="22"/>
              </w:rPr>
            </w:pPr>
            <w:r w:rsidRPr="00625207">
              <w:rPr>
                <w:szCs w:val="22"/>
              </w:rPr>
              <w:t>No dosage adjustment</w:t>
            </w:r>
          </w:p>
        </w:tc>
        <w:tc>
          <w:tcPr>
            <w:tcW w:w="1518" w:type="dxa"/>
            <w:vAlign w:val="center"/>
          </w:tcPr>
          <w:p w14:paraId="74FAA663" w14:textId="009A1057" w:rsidR="00FA794C" w:rsidRPr="00625207" w:rsidRDefault="008606A3" w:rsidP="00625207">
            <w:pPr>
              <w:rPr>
                <w:szCs w:val="22"/>
              </w:rPr>
            </w:pPr>
            <w:r w:rsidRPr="00625207">
              <w:rPr>
                <w:szCs w:val="22"/>
              </w:rPr>
              <w:t xml:space="preserve">Weight gain may </w:t>
            </w:r>
            <w:r w:rsidR="00204BEB" w:rsidRPr="00625207">
              <w:rPr>
                <w:szCs w:val="22"/>
              </w:rPr>
              <w:t>require dosage increase</w:t>
            </w:r>
          </w:p>
        </w:tc>
      </w:tr>
    </w:tbl>
    <w:p w14:paraId="227915DB" w14:textId="5D901677" w:rsidR="003C638F" w:rsidRPr="00EB561B" w:rsidRDefault="003C638F" w:rsidP="004E1F83">
      <w:pPr>
        <w:pStyle w:val="Heading2"/>
        <w:rPr>
          <w:rFonts w:asciiTheme="majorHAnsi" w:hAnsiTheme="majorHAnsi" w:cstheme="majorHAnsi"/>
        </w:rPr>
      </w:pPr>
    </w:p>
    <w:tbl>
      <w:tblPr>
        <w:tblStyle w:val="TableGrid"/>
        <w:tblW w:w="0" w:type="auto"/>
        <w:jc w:val="center"/>
        <w:tblLook w:val="04A0" w:firstRow="1" w:lastRow="0" w:firstColumn="1" w:lastColumn="0" w:noHBand="0" w:noVBand="1"/>
      </w:tblPr>
      <w:tblGrid>
        <w:gridCol w:w="2047"/>
        <w:gridCol w:w="2236"/>
        <w:gridCol w:w="1837"/>
        <w:gridCol w:w="1903"/>
        <w:gridCol w:w="1712"/>
      </w:tblGrid>
      <w:tr w:rsidR="003C638F" w:rsidRPr="00EB561B" w14:paraId="0B2A71C5" w14:textId="77777777" w:rsidTr="00625207">
        <w:trPr>
          <w:cantSplit/>
          <w:jc w:val="center"/>
        </w:trPr>
        <w:tc>
          <w:tcPr>
            <w:tcW w:w="0" w:type="auto"/>
            <w:gridSpan w:val="5"/>
            <w:shd w:val="clear" w:color="auto" w:fill="F2F2F2" w:themeFill="background1" w:themeFillShade="F2"/>
            <w:vAlign w:val="center"/>
          </w:tcPr>
          <w:p w14:paraId="693757A6" w14:textId="77777777" w:rsidR="003C638F" w:rsidRPr="00367CC8" w:rsidRDefault="003C638F" w:rsidP="00625207">
            <w:pPr>
              <w:pStyle w:val="Heading2"/>
            </w:pPr>
            <w:bookmarkStart w:id="73" w:name="_Toc104910453"/>
            <w:bookmarkStart w:id="74" w:name="_Toc106708900"/>
            <w:r w:rsidRPr="00367CC8">
              <w:t>Method of administration</w:t>
            </w:r>
            <w:bookmarkEnd w:id="73"/>
            <w:bookmarkEnd w:id="74"/>
          </w:p>
        </w:tc>
      </w:tr>
      <w:tr w:rsidR="003C638F" w:rsidRPr="00EB561B" w14:paraId="38C14838" w14:textId="77777777" w:rsidTr="00B62BFD">
        <w:trPr>
          <w:cantSplit/>
          <w:jc w:val="center"/>
        </w:trPr>
        <w:tc>
          <w:tcPr>
            <w:tcW w:w="0" w:type="auto"/>
            <w:shd w:val="clear" w:color="auto" w:fill="DBE5F1" w:themeFill="accent1" w:themeFillTint="33"/>
            <w:vAlign w:val="center"/>
          </w:tcPr>
          <w:p w14:paraId="765B4CB5" w14:textId="77777777" w:rsidR="003C638F" w:rsidRPr="00EB561B" w:rsidRDefault="003C638F" w:rsidP="00625207">
            <w:pPr>
              <w:rPr>
                <w:szCs w:val="22"/>
              </w:rPr>
            </w:pPr>
            <w:r w:rsidRPr="00EB561B">
              <w:rPr>
                <w:b/>
                <w:szCs w:val="22"/>
              </w:rPr>
              <w:t>Dabigatran (Pradaxa</w:t>
            </w:r>
            <w:r w:rsidRPr="00EB561B">
              <w:rPr>
                <w:b/>
                <w:szCs w:val="22"/>
              </w:rPr>
              <w:sym w:font="Symbol" w:char="F0D2"/>
            </w:r>
            <w:r w:rsidRPr="00EB561B">
              <w:rPr>
                <w:b/>
                <w:szCs w:val="22"/>
              </w:rPr>
              <w:t>)</w:t>
            </w:r>
            <w:r w:rsidRPr="00EB561B">
              <w:rPr>
                <w:b/>
                <w:szCs w:val="22"/>
                <w:vertAlign w:val="superscript"/>
              </w:rPr>
              <w:t>1</w:t>
            </w:r>
          </w:p>
        </w:tc>
        <w:tc>
          <w:tcPr>
            <w:tcW w:w="0" w:type="auto"/>
            <w:shd w:val="clear" w:color="auto" w:fill="F2DBDB" w:themeFill="accent2" w:themeFillTint="33"/>
            <w:vAlign w:val="center"/>
          </w:tcPr>
          <w:p w14:paraId="279ABA29" w14:textId="77777777" w:rsidR="003C638F" w:rsidRPr="00EB561B" w:rsidRDefault="003C638F" w:rsidP="00625207">
            <w:pPr>
              <w:rPr>
                <w:szCs w:val="22"/>
              </w:rPr>
            </w:pPr>
            <w:r w:rsidRPr="00EB561B">
              <w:rPr>
                <w:b/>
                <w:szCs w:val="22"/>
              </w:rPr>
              <w:t>Rivaroxaban (Xarelto</w:t>
            </w:r>
            <w:r w:rsidRPr="00EB561B">
              <w:rPr>
                <w:b/>
                <w:szCs w:val="22"/>
              </w:rPr>
              <w:sym w:font="Symbol" w:char="F0D2"/>
            </w:r>
            <w:r w:rsidRPr="00EB561B">
              <w:rPr>
                <w:rFonts w:cs="Arial"/>
                <w:szCs w:val="22"/>
              </w:rPr>
              <w:t>▼</w:t>
            </w:r>
            <w:r w:rsidRPr="00EB561B">
              <w:rPr>
                <w:b/>
                <w:szCs w:val="22"/>
              </w:rPr>
              <w:t>)</w:t>
            </w:r>
            <w:r w:rsidRPr="00EB561B">
              <w:rPr>
                <w:b/>
                <w:szCs w:val="22"/>
                <w:vertAlign w:val="superscript"/>
              </w:rPr>
              <w:t>2</w:t>
            </w:r>
          </w:p>
        </w:tc>
        <w:tc>
          <w:tcPr>
            <w:tcW w:w="0" w:type="auto"/>
            <w:shd w:val="clear" w:color="auto" w:fill="E5DFEC" w:themeFill="accent4" w:themeFillTint="33"/>
            <w:vAlign w:val="center"/>
          </w:tcPr>
          <w:p w14:paraId="75E47ADA" w14:textId="77777777" w:rsidR="003C638F" w:rsidRPr="00EB561B" w:rsidRDefault="003C638F" w:rsidP="00625207">
            <w:pPr>
              <w:rPr>
                <w:szCs w:val="22"/>
              </w:rPr>
            </w:pPr>
            <w:r w:rsidRPr="00EB561B">
              <w:rPr>
                <w:b/>
                <w:szCs w:val="22"/>
              </w:rPr>
              <w:t>Apixaban (Eliquis</w:t>
            </w:r>
            <w:r w:rsidRPr="00EB561B">
              <w:rPr>
                <w:b/>
                <w:szCs w:val="22"/>
              </w:rPr>
              <w:sym w:font="Symbol" w:char="F0D2"/>
            </w:r>
            <w:r w:rsidRPr="00EB561B">
              <w:rPr>
                <w:b/>
                <w:szCs w:val="22"/>
              </w:rPr>
              <w:t>)</w:t>
            </w:r>
            <w:r w:rsidRPr="00EB561B">
              <w:rPr>
                <w:b/>
                <w:szCs w:val="22"/>
                <w:vertAlign w:val="superscript"/>
              </w:rPr>
              <w:t>3</w:t>
            </w:r>
          </w:p>
        </w:tc>
        <w:tc>
          <w:tcPr>
            <w:tcW w:w="0" w:type="auto"/>
            <w:shd w:val="clear" w:color="auto" w:fill="FDE9D9" w:themeFill="accent6" w:themeFillTint="33"/>
            <w:vAlign w:val="center"/>
          </w:tcPr>
          <w:p w14:paraId="5949F3BB" w14:textId="36F83F55" w:rsidR="003C638F" w:rsidRPr="00EB561B" w:rsidRDefault="003C638F" w:rsidP="00625207">
            <w:pPr>
              <w:rPr>
                <w:szCs w:val="22"/>
              </w:rPr>
            </w:pPr>
            <w:r w:rsidRPr="00EB561B">
              <w:rPr>
                <w:b/>
                <w:szCs w:val="22"/>
              </w:rPr>
              <w:t>Edoxaban (Lixiana</w:t>
            </w:r>
            <w:r w:rsidRPr="00EB561B">
              <w:rPr>
                <w:b/>
                <w:szCs w:val="22"/>
              </w:rPr>
              <w:sym w:font="Symbol" w:char="F0D2"/>
            </w:r>
            <w:r w:rsidRPr="00EB561B">
              <w:rPr>
                <w:b/>
                <w:szCs w:val="22"/>
              </w:rPr>
              <w:t>)</w:t>
            </w:r>
            <w:r w:rsidRPr="00EB561B">
              <w:rPr>
                <w:b/>
                <w:szCs w:val="22"/>
                <w:vertAlign w:val="superscript"/>
              </w:rPr>
              <w:t>4</w:t>
            </w:r>
          </w:p>
        </w:tc>
        <w:tc>
          <w:tcPr>
            <w:tcW w:w="0" w:type="auto"/>
            <w:shd w:val="clear" w:color="auto" w:fill="EAF1DD" w:themeFill="accent3" w:themeFillTint="33"/>
            <w:vAlign w:val="center"/>
          </w:tcPr>
          <w:p w14:paraId="0CA533CF" w14:textId="5335349A" w:rsidR="003C638F" w:rsidRPr="00EB561B" w:rsidRDefault="003C638F" w:rsidP="00B62BFD">
            <w:pPr>
              <w:rPr>
                <w:b/>
                <w:szCs w:val="22"/>
              </w:rPr>
            </w:pPr>
            <w:r w:rsidRPr="00EB561B">
              <w:rPr>
                <w:b/>
                <w:szCs w:val="22"/>
              </w:rPr>
              <w:t>Warfarin</w:t>
            </w:r>
            <w:r w:rsidRPr="00EB561B">
              <w:rPr>
                <w:b/>
                <w:szCs w:val="22"/>
                <w:vertAlign w:val="superscript"/>
              </w:rPr>
              <w:t>5</w:t>
            </w:r>
            <w:r w:rsidR="009B1367" w:rsidRPr="00EB561B">
              <w:rPr>
                <w:b/>
                <w:szCs w:val="22"/>
                <w:vertAlign w:val="superscript"/>
              </w:rPr>
              <w:t>,6</w:t>
            </w:r>
          </w:p>
        </w:tc>
      </w:tr>
      <w:tr w:rsidR="003C638F" w:rsidRPr="00EB561B" w14:paraId="0B3234BA" w14:textId="77777777" w:rsidTr="00B62BFD">
        <w:trPr>
          <w:cantSplit/>
          <w:trHeight w:val="1000"/>
          <w:jc w:val="center"/>
        </w:trPr>
        <w:tc>
          <w:tcPr>
            <w:tcW w:w="0" w:type="auto"/>
            <w:shd w:val="clear" w:color="auto" w:fill="auto"/>
            <w:vAlign w:val="center"/>
          </w:tcPr>
          <w:p w14:paraId="69FC52C6" w14:textId="77777777" w:rsidR="003C638F" w:rsidRPr="00EB561B" w:rsidRDefault="003C638F" w:rsidP="00625207">
            <w:pPr>
              <w:rPr>
                <w:szCs w:val="22"/>
              </w:rPr>
            </w:pPr>
            <w:r w:rsidRPr="00EB561B">
              <w:rPr>
                <w:szCs w:val="22"/>
              </w:rPr>
              <w:t>With or without food</w:t>
            </w:r>
          </w:p>
        </w:tc>
        <w:tc>
          <w:tcPr>
            <w:tcW w:w="0" w:type="auto"/>
            <w:shd w:val="clear" w:color="auto" w:fill="auto"/>
            <w:vAlign w:val="center"/>
          </w:tcPr>
          <w:p w14:paraId="10006C3F" w14:textId="77777777" w:rsidR="003C638F" w:rsidRPr="00EB561B" w:rsidRDefault="003C638F" w:rsidP="00625207">
            <w:pPr>
              <w:rPr>
                <w:szCs w:val="22"/>
              </w:rPr>
            </w:pPr>
            <w:r w:rsidRPr="00EB561B">
              <w:rPr>
                <w:szCs w:val="22"/>
              </w:rPr>
              <w:t>With food</w:t>
            </w:r>
          </w:p>
        </w:tc>
        <w:tc>
          <w:tcPr>
            <w:tcW w:w="0" w:type="auto"/>
            <w:shd w:val="clear" w:color="auto" w:fill="auto"/>
            <w:vAlign w:val="center"/>
          </w:tcPr>
          <w:p w14:paraId="7B455917" w14:textId="77777777" w:rsidR="003C638F" w:rsidRPr="00EB561B" w:rsidRDefault="003C638F" w:rsidP="00625207">
            <w:pPr>
              <w:rPr>
                <w:szCs w:val="22"/>
              </w:rPr>
            </w:pPr>
            <w:r w:rsidRPr="00EB561B">
              <w:rPr>
                <w:szCs w:val="22"/>
              </w:rPr>
              <w:t>With or without food</w:t>
            </w:r>
          </w:p>
        </w:tc>
        <w:tc>
          <w:tcPr>
            <w:tcW w:w="0" w:type="auto"/>
            <w:shd w:val="clear" w:color="auto" w:fill="auto"/>
            <w:vAlign w:val="center"/>
          </w:tcPr>
          <w:p w14:paraId="2E77CE01" w14:textId="77777777" w:rsidR="003C638F" w:rsidRPr="00EB561B" w:rsidRDefault="003C638F" w:rsidP="00625207">
            <w:pPr>
              <w:rPr>
                <w:szCs w:val="22"/>
              </w:rPr>
            </w:pPr>
            <w:r w:rsidRPr="00EB561B">
              <w:rPr>
                <w:szCs w:val="22"/>
              </w:rPr>
              <w:t>With or without food</w:t>
            </w:r>
          </w:p>
        </w:tc>
        <w:tc>
          <w:tcPr>
            <w:tcW w:w="0" w:type="auto"/>
          </w:tcPr>
          <w:p w14:paraId="7A90419E" w14:textId="77777777" w:rsidR="003C638F" w:rsidRPr="00EB561B" w:rsidRDefault="003C638F" w:rsidP="00625207">
            <w:pPr>
              <w:rPr>
                <w:szCs w:val="22"/>
              </w:rPr>
            </w:pPr>
            <w:r w:rsidRPr="00EB561B">
              <w:rPr>
                <w:szCs w:val="22"/>
              </w:rPr>
              <w:t>With or without food</w:t>
            </w:r>
          </w:p>
        </w:tc>
      </w:tr>
    </w:tbl>
    <w:p w14:paraId="16FE9A9D" w14:textId="5DE1E868" w:rsidR="003C638F" w:rsidRDefault="003C638F" w:rsidP="002E47F4">
      <w:pPr>
        <w:rPr>
          <w:rFonts w:asciiTheme="majorHAnsi" w:hAnsiTheme="majorHAnsi" w:cstheme="majorHAnsi"/>
          <w:szCs w:val="22"/>
        </w:rPr>
      </w:pPr>
    </w:p>
    <w:p w14:paraId="3E9DB48C" w14:textId="432445BC" w:rsidR="00B62BFD" w:rsidRDefault="00B62BFD" w:rsidP="002E47F4">
      <w:pPr>
        <w:rPr>
          <w:rFonts w:asciiTheme="majorHAnsi" w:hAnsiTheme="majorHAnsi" w:cstheme="majorHAnsi"/>
          <w:szCs w:val="22"/>
        </w:rPr>
      </w:pPr>
    </w:p>
    <w:p w14:paraId="61942632" w14:textId="0B8A3165" w:rsidR="00B62BFD" w:rsidRDefault="00B62BFD" w:rsidP="002E47F4">
      <w:pPr>
        <w:rPr>
          <w:rFonts w:asciiTheme="majorHAnsi" w:hAnsiTheme="majorHAnsi" w:cstheme="majorHAnsi"/>
          <w:szCs w:val="22"/>
        </w:rPr>
      </w:pPr>
    </w:p>
    <w:p w14:paraId="4F95B261" w14:textId="77777777" w:rsidR="00B62BFD" w:rsidRPr="00EB561B" w:rsidRDefault="00B62BFD" w:rsidP="002E47F4">
      <w:pPr>
        <w:rPr>
          <w:rFonts w:asciiTheme="majorHAnsi" w:hAnsiTheme="majorHAnsi" w:cstheme="majorHAnsi"/>
          <w:szCs w:val="22"/>
        </w:rPr>
      </w:pPr>
    </w:p>
    <w:tbl>
      <w:tblPr>
        <w:tblStyle w:val="TableGrid"/>
        <w:tblpPr w:leftFromText="180" w:rightFromText="180" w:vertAnchor="text" w:horzAnchor="margin" w:tblpY="-292"/>
        <w:tblW w:w="5000" w:type="pct"/>
        <w:tblLayout w:type="fixed"/>
        <w:tblLook w:val="04A0" w:firstRow="1" w:lastRow="0" w:firstColumn="1" w:lastColumn="0" w:noHBand="0" w:noVBand="1"/>
      </w:tblPr>
      <w:tblGrid>
        <w:gridCol w:w="2547"/>
        <w:gridCol w:w="7188"/>
      </w:tblGrid>
      <w:tr w:rsidR="002E47F4" w:rsidRPr="00EB561B" w14:paraId="207CC8C1" w14:textId="77777777" w:rsidTr="00052451">
        <w:trPr>
          <w:cantSplit/>
        </w:trPr>
        <w:tc>
          <w:tcPr>
            <w:tcW w:w="5000" w:type="pct"/>
            <w:gridSpan w:val="2"/>
            <w:shd w:val="clear" w:color="auto" w:fill="F2F2F2" w:themeFill="background1" w:themeFillShade="F2"/>
            <w:vAlign w:val="center"/>
          </w:tcPr>
          <w:p w14:paraId="6A10C5AF" w14:textId="5882A55F" w:rsidR="002E47F4" w:rsidRPr="00EB561B" w:rsidRDefault="00777693" w:rsidP="00625207">
            <w:pPr>
              <w:pStyle w:val="Heading2"/>
            </w:pPr>
            <w:hyperlink w:anchor="Reversal" w:history="1">
              <w:bookmarkStart w:id="75" w:name="_Toc104910454"/>
              <w:bookmarkStart w:id="76" w:name="_Toc106708901"/>
              <w:r w:rsidR="002E47F4" w:rsidRPr="00367CC8">
                <w:t>Reversibility</w:t>
              </w:r>
            </w:hyperlink>
            <w:r w:rsidR="005924AC" w:rsidRPr="002E0A78">
              <w:rPr>
                <w:rStyle w:val="Hyperlink"/>
                <w:rFonts w:cs="Arial"/>
                <w:color w:val="auto"/>
                <w:sz w:val="22"/>
                <w:szCs w:val="22"/>
                <w:u w:val="none"/>
                <w:vertAlign w:val="superscript"/>
              </w:rPr>
              <w:t>1-</w:t>
            </w:r>
            <w:r w:rsidR="00700586" w:rsidRPr="002E0A78">
              <w:rPr>
                <w:rStyle w:val="Hyperlink"/>
                <w:rFonts w:cs="Arial"/>
                <w:color w:val="auto"/>
                <w:sz w:val="22"/>
                <w:szCs w:val="22"/>
                <w:u w:val="none"/>
                <w:vertAlign w:val="superscript"/>
              </w:rPr>
              <w:t>6</w:t>
            </w:r>
            <w:r w:rsidR="002E47F4" w:rsidRPr="00EB561B">
              <w:t xml:space="preserve"> </w:t>
            </w:r>
            <w:r w:rsidR="004B2933">
              <w:t>(</w:t>
            </w:r>
            <w:r w:rsidR="00745971" w:rsidRPr="00EB561B">
              <w:t>Also s</w:t>
            </w:r>
            <w:r w:rsidR="002E47F4" w:rsidRPr="00EB561B">
              <w:t xml:space="preserve">ee </w:t>
            </w:r>
            <w:r w:rsidR="00745971" w:rsidRPr="00EB561B">
              <w:t>reversal of anticoagulation b</w:t>
            </w:r>
            <w:r w:rsidR="002E47F4" w:rsidRPr="00EB561B">
              <w:t>elow</w:t>
            </w:r>
            <w:bookmarkEnd w:id="75"/>
            <w:r w:rsidR="004B2933">
              <w:t>)</w:t>
            </w:r>
            <w:bookmarkEnd w:id="76"/>
            <w:r w:rsidR="002E47F4" w:rsidRPr="00EB561B">
              <w:t xml:space="preserve"> </w:t>
            </w:r>
          </w:p>
        </w:tc>
      </w:tr>
      <w:tr w:rsidR="00625207" w:rsidRPr="00EB561B" w14:paraId="38222F94" w14:textId="77777777" w:rsidTr="00C05B7F">
        <w:trPr>
          <w:cantSplit/>
          <w:trHeight w:val="637"/>
        </w:trPr>
        <w:tc>
          <w:tcPr>
            <w:tcW w:w="1308" w:type="pct"/>
            <w:shd w:val="clear" w:color="auto" w:fill="DBE5F1" w:themeFill="accent1" w:themeFillTint="33"/>
            <w:vAlign w:val="center"/>
          </w:tcPr>
          <w:p w14:paraId="7B94885E" w14:textId="720637B8" w:rsidR="00625207" w:rsidRPr="00C05B7F" w:rsidRDefault="00625207" w:rsidP="00C05B7F">
            <w:pPr>
              <w:rPr>
                <w:b/>
                <w:bCs/>
              </w:rPr>
            </w:pPr>
            <w:r w:rsidRPr="00C05B7F">
              <w:rPr>
                <w:b/>
                <w:bCs/>
              </w:rPr>
              <w:t>Dabigatran (Pradaxa</w:t>
            </w:r>
            <w:r w:rsidRPr="00C05B7F">
              <w:rPr>
                <w:b/>
                <w:bCs/>
              </w:rPr>
              <w:sym w:font="Symbol" w:char="F0D2"/>
            </w:r>
            <w:r w:rsidRPr="00C05B7F">
              <w:rPr>
                <w:b/>
                <w:bCs/>
              </w:rPr>
              <w:t>)</w:t>
            </w:r>
            <w:r w:rsidRPr="00C05B7F">
              <w:rPr>
                <w:b/>
                <w:bCs/>
                <w:vertAlign w:val="superscript"/>
              </w:rPr>
              <w:t>1</w:t>
            </w:r>
          </w:p>
        </w:tc>
        <w:tc>
          <w:tcPr>
            <w:tcW w:w="3692" w:type="pct"/>
            <w:shd w:val="clear" w:color="auto" w:fill="auto"/>
            <w:vAlign w:val="center"/>
          </w:tcPr>
          <w:p w14:paraId="46B7B2F9" w14:textId="77777777" w:rsidR="00625207" w:rsidRDefault="00625207" w:rsidP="00870046">
            <w:pPr>
              <w:spacing w:before="40" w:after="40"/>
            </w:pPr>
            <w:proofErr w:type="spellStart"/>
            <w:r>
              <w:t>Idarucizumab</w:t>
            </w:r>
            <w:proofErr w:type="spellEnd"/>
            <w:r>
              <w:t xml:space="preserve"> (</w:t>
            </w:r>
            <w:proofErr w:type="spellStart"/>
            <w:r>
              <w:t>Praxbind</w:t>
            </w:r>
            <w:proofErr w:type="spellEnd"/>
            <w:r>
              <w:t xml:space="preserve">®) </w:t>
            </w:r>
          </w:p>
          <w:p w14:paraId="7D4E1901" w14:textId="35100456" w:rsidR="00625207" w:rsidRDefault="00625207" w:rsidP="00870046">
            <w:pPr>
              <w:spacing w:before="40" w:after="40"/>
            </w:pPr>
            <w:r>
              <w:t>Priced at £2,400 per dose (2 x 50g vials)</w:t>
            </w:r>
            <w:r w:rsidRPr="00943B56">
              <w:rPr>
                <w:vertAlign w:val="superscript"/>
              </w:rPr>
              <w:t>6,2</w:t>
            </w:r>
            <w:r w:rsidR="00870046">
              <w:rPr>
                <w:vertAlign w:val="superscript"/>
              </w:rPr>
              <w:t>8</w:t>
            </w:r>
          </w:p>
        </w:tc>
      </w:tr>
      <w:tr w:rsidR="00625207" w:rsidRPr="00EB561B" w14:paraId="4EEEB367" w14:textId="77777777" w:rsidTr="00C05B7F">
        <w:trPr>
          <w:cantSplit/>
          <w:trHeight w:val="636"/>
        </w:trPr>
        <w:tc>
          <w:tcPr>
            <w:tcW w:w="1308" w:type="pct"/>
            <w:shd w:val="clear" w:color="auto" w:fill="F2DBDB" w:themeFill="accent2" w:themeFillTint="33"/>
            <w:vAlign w:val="center"/>
          </w:tcPr>
          <w:p w14:paraId="62A4D946" w14:textId="73948C9F" w:rsidR="00625207" w:rsidRPr="00C05B7F" w:rsidRDefault="00625207" w:rsidP="00C05B7F">
            <w:pPr>
              <w:rPr>
                <w:b/>
                <w:bCs/>
              </w:rPr>
            </w:pPr>
            <w:r w:rsidRPr="00C05B7F">
              <w:rPr>
                <w:b/>
                <w:bCs/>
              </w:rPr>
              <w:t>Rivaroxaban (Xarelto</w:t>
            </w:r>
            <w:r w:rsidRPr="00C05B7F">
              <w:rPr>
                <w:b/>
                <w:bCs/>
              </w:rPr>
              <w:sym w:font="Symbol" w:char="F0D2"/>
            </w:r>
            <w:r w:rsidRPr="00C05B7F">
              <w:rPr>
                <w:rFonts w:cs="Arial"/>
                <w:b/>
                <w:bCs/>
              </w:rPr>
              <w:t>▼</w:t>
            </w:r>
            <w:r w:rsidRPr="00C05B7F">
              <w:rPr>
                <w:b/>
                <w:bCs/>
              </w:rPr>
              <w:t>)</w:t>
            </w:r>
            <w:r w:rsidRPr="00C05B7F">
              <w:rPr>
                <w:b/>
                <w:bCs/>
                <w:vertAlign w:val="superscript"/>
              </w:rPr>
              <w:t>2</w:t>
            </w:r>
          </w:p>
        </w:tc>
        <w:tc>
          <w:tcPr>
            <w:tcW w:w="3692" w:type="pct"/>
            <w:shd w:val="clear" w:color="auto" w:fill="auto"/>
            <w:vAlign w:val="center"/>
          </w:tcPr>
          <w:p w14:paraId="31771847" w14:textId="77777777" w:rsidR="00625207" w:rsidRDefault="00625207" w:rsidP="00870046">
            <w:pPr>
              <w:spacing w:before="40" w:after="40"/>
            </w:pPr>
            <w:r>
              <w:t>Andexanet alfa (</w:t>
            </w:r>
            <w:proofErr w:type="spellStart"/>
            <w:r>
              <w:t>Ondexxya</w:t>
            </w:r>
            <w:proofErr w:type="spellEnd"/>
            <w:r>
              <w:t xml:space="preserve">®) </w:t>
            </w:r>
          </w:p>
          <w:p w14:paraId="1B21D1C4" w14:textId="77777777" w:rsidR="00625207" w:rsidRDefault="00625207" w:rsidP="00870046">
            <w:pPr>
              <w:spacing w:before="40" w:after="40"/>
            </w:pPr>
            <w:r>
              <w:t>Priced at £11,100 for 4 vials of 200mg powder for solution for infusion</w:t>
            </w:r>
          </w:p>
          <w:p w14:paraId="7B791481" w14:textId="77777777" w:rsidR="00625207" w:rsidRDefault="00625207" w:rsidP="00870046">
            <w:pPr>
              <w:spacing w:before="40" w:after="40"/>
            </w:pPr>
            <w:r>
              <w:t xml:space="preserve">Low dose – 5 vials = £13,875 </w:t>
            </w:r>
          </w:p>
          <w:p w14:paraId="6F14A3ED" w14:textId="3B4163DB" w:rsidR="00625207" w:rsidRDefault="00625207" w:rsidP="00870046">
            <w:pPr>
              <w:spacing w:before="40" w:after="40"/>
            </w:pPr>
            <w:r>
              <w:t>High dose – 9 vials = £24,975</w:t>
            </w:r>
            <w:r w:rsidRPr="00943B56">
              <w:rPr>
                <w:vertAlign w:val="superscript"/>
              </w:rPr>
              <w:t>6,2</w:t>
            </w:r>
            <w:r w:rsidR="00870046">
              <w:rPr>
                <w:vertAlign w:val="superscript"/>
              </w:rPr>
              <w:t>9</w:t>
            </w:r>
          </w:p>
          <w:p w14:paraId="685639A7" w14:textId="40934271" w:rsidR="00625207" w:rsidRDefault="00625207" w:rsidP="00870046">
            <w:pPr>
              <w:spacing w:before="40" w:after="40"/>
            </w:pPr>
            <w:r>
              <w:t>Activated charcoal may be considered</w:t>
            </w:r>
          </w:p>
        </w:tc>
      </w:tr>
      <w:tr w:rsidR="00625207" w:rsidRPr="00EB561B" w14:paraId="6945F451" w14:textId="77777777" w:rsidTr="00C05B7F">
        <w:trPr>
          <w:cantSplit/>
          <w:trHeight w:val="636"/>
        </w:trPr>
        <w:tc>
          <w:tcPr>
            <w:tcW w:w="1308" w:type="pct"/>
            <w:shd w:val="clear" w:color="auto" w:fill="E5DFEC" w:themeFill="accent4" w:themeFillTint="33"/>
            <w:vAlign w:val="center"/>
          </w:tcPr>
          <w:p w14:paraId="3D4AFD0D" w14:textId="2C616EE1" w:rsidR="00625207" w:rsidRPr="00C05B7F" w:rsidRDefault="00625207" w:rsidP="00C05B7F">
            <w:pPr>
              <w:rPr>
                <w:b/>
                <w:bCs/>
              </w:rPr>
            </w:pPr>
            <w:r w:rsidRPr="00C05B7F">
              <w:rPr>
                <w:b/>
                <w:bCs/>
              </w:rPr>
              <w:t xml:space="preserve">Apixaban </w:t>
            </w:r>
            <w:r w:rsidR="007D1B0D">
              <w:rPr>
                <w:b/>
                <w:bCs/>
              </w:rPr>
              <w:t xml:space="preserve">    </w:t>
            </w:r>
            <w:r w:rsidRPr="00C05B7F">
              <w:rPr>
                <w:b/>
                <w:bCs/>
              </w:rPr>
              <w:t>(Eliquis</w:t>
            </w:r>
            <w:r w:rsidRPr="00C05B7F">
              <w:rPr>
                <w:b/>
                <w:bCs/>
              </w:rPr>
              <w:sym w:font="Symbol" w:char="F0D2"/>
            </w:r>
            <w:r w:rsidRPr="00C05B7F">
              <w:rPr>
                <w:b/>
                <w:bCs/>
              </w:rPr>
              <w:t>)</w:t>
            </w:r>
            <w:r w:rsidRPr="00C05B7F">
              <w:rPr>
                <w:b/>
                <w:bCs/>
                <w:vertAlign w:val="superscript"/>
              </w:rPr>
              <w:t>3</w:t>
            </w:r>
          </w:p>
        </w:tc>
        <w:tc>
          <w:tcPr>
            <w:tcW w:w="3692" w:type="pct"/>
            <w:shd w:val="clear" w:color="auto" w:fill="auto"/>
            <w:vAlign w:val="center"/>
          </w:tcPr>
          <w:p w14:paraId="6F2F526D" w14:textId="77777777" w:rsidR="00625207" w:rsidRDefault="00625207" w:rsidP="00870046">
            <w:pPr>
              <w:spacing w:before="40" w:after="40"/>
            </w:pPr>
            <w:r>
              <w:t>Andexanet alfa (</w:t>
            </w:r>
            <w:proofErr w:type="spellStart"/>
            <w:r>
              <w:t>Ondexxya</w:t>
            </w:r>
            <w:proofErr w:type="spellEnd"/>
            <w:r>
              <w:t>®)</w:t>
            </w:r>
          </w:p>
          <w:p w14:paraId="3936EC64" w14:textId="77777777" w:rsidR="00625207" w:rsidRDefault="00625207" w:rsidP="00870046">
            <w:pPr>
              <w:spacing w:before="40" w:after="40"/>
            </w:pPr>
            <w:r>
              <w:t xml:space="preserve">Priced at £11,100 for 4 vials of 200mg powder for solution for infusion </w:t>
            </w:r>
          </w:p>
          <w:p w14:paraId="0B1782CF" w14:textId="77777777" w:rsidR="00625207" w:rsidRDefault="00625207" w:rsidP="00870046">
            <w:pPr>
              <w:spacing w:before="40" w:after="40"/>
            </w:pPr>
            <w:r>
              <w:t xml:space="preserve">Low dose – 5 vials = £13,875 </w:t>
            </w:r>
          </w:p>
          <w:p w14:paraId="200207CF" w14:textId="6CA82788" w:rsidR="00625207" w:rsidRDefault="00625207" w:rsidP="00870046">
            <w:pPr>
              <w:spacing w:before="40" w:after="40"/>
            </w:pPr>
            <w:r>
              <w:t>High dose – 9 vials = £24,975</w:t>
            </w:r>
            <w:r w:rsidRPr="00943B56">
              <w:rPr>
                <w:vertAlign w:val="superscript"/>
              </w:rPr>
              <w:t>6,2</w:t>
            </w:r>
            <w:r w:rsidR="00870046">
              <w:rPr>
                <w:vertAlign w:val="superscript"/>
              </w:rPr>
              <w:t>9</w:t>
            </w:r>
          </w:p>
          <w:p w14:paraId="36655A4C" w14:textId="0CFE9861" w:rsidR="00625207" w:rsidRDefault="00625207" w:rsidP="00870046">
            <w:pPr>
              <w:spacing w:before="40" w:after="40"/>
            </w:pPr>
            <w:r>
              <w:t xml:space="preserve">Prothrombin complex concentrates (PCC) or recombinant factor </w:t>
            </w:r>
            <w:proofErr w:type="spellStart"/>
            <w:r>
              <w:t>VIIa</w:t>
            </w:r>
            <w:proofErr w:type="spellEnd"/>
            <w:r>
              <w:t xml:space="preserve"> may be considered for life threatening situations</w:t>
            </w:r>
          </w:p>
        </w:tc>
      </w:tr>
      <w:tr w:rsidR="00625207" w:rsidRPr="00EB561B" w14:paraId="05335810" w14:textId="77777777" w:rsidTr="00C05B7F">
        <w:trPr>
          <w:cantSplit/>
          <w:trHeight w:val="636"/>
        </w:trPr>
        <w:tc>
          <w:tcPr>
            <w:tcW w:w="1308" w:type="pct"/>
            <w:shd w:val="clear" w:color="auto" w:fill="FDE9D9" w:themeFill="accent6" w:themeFillTint="33"/>
            <w:vAlign w:val="center"/>
          </w:tcPr>
          <w:p w14:paraId="5375BAD0" w14:textId="2BB2D19F" w:rsidR="00625207" w:rsidRPr="00C05B7F" w:rsidRDefault="00625207" w:rsidP="00C05B7F">
            <w:pPr>
              <w:rPr>
                <w:b/>
                <w:bCs/>
              </w:rPr>
            </w:pPr>
            <w:r w:rsidRPr="00C05B7F">
              <w:rPr>
                <w:b/>
                <w:bCs/>
              </w:rPr>
              <w:t xml:space="preserve">Edoxaban </w:t>
            </w:r>
            <w:r w:rsidR="007D1B0D">
              <w:rPr>
                <w:b/>
                <w:bCs/>
              </w:rPr>
              <w:t xml:space="preserve">  </w:t>
            </w:r>
            <w:r w:rsidRPr="00C05B7F">
              <w:rPr>
                <w:b/>
                <w:bCs/>
              </w:rPr>
              <w:t>(Lixiana</w:t>
            </w:r>
            <w:r w:rsidRPr="00C05B7F">
              <w:rPr>
                <w:b/>
                <w:bCs/>
              </w:rPr>
              <w:sym w:font="Symbol" w:char="F0D2"/>
            </w:r>
            <w:r w:rsidRPr="00C05B7F">
              <w:rPr>
                <w:b/>
                <w:bCs/>
              </w:rPr>
              <w:t>)</w:t>
            </w:r>
            <w:r w:rsidRPr="00C05B7F">
              <w:rPr>
                <w:b/>
                <w:bCs/>
                <w:vertAlign w:val="superscript"/>
              </w:rPr>
              <w:t>4</w:t>
            </w:r>
          </w:p>
        </w:tc>
        <w:tc>
          <w:tcPr>
            <w:tcW w:w="3692" w:type="pct"/>
            <w:shd w:val="clear" w:color="auto" w:fill="auto"/>
            <w:vAlign w:val="center"/>
          </w:tcPr>
          <w:p w14:paraId="2986D8C4" w14:textId="4EFB8B9F" w:rsidR="00C05B7F" w:rsidRDefault="00C05B7F" w:rsidP="00C05B7F">
            <w:r>
              <w:t xml:space="preserve">No antidote </w:t>
            </w:r>
          </w:p>
          <w:p w14:paraId="0D35D00D" w14:textId="46686F22" w:rsidR="00C05B7F" w:rsidRDefault="00C05B7F" w:rsidP="00C05B7F">
            <w:r>
              <w:t>Early administration of activated charcoal may be considered in case of edoxaban overdose to reduce absorption</w:t>
            </w:r>
          </w:p>
          <w:p w14:paraId="3BBAB80B" w14:textId="0A018DD0" w:rsidR="002E0A78" w:rsidRPr="00870046" w:rsidRDefault="002E0A78" w:rsidP="00870046">
            <w:pPr>
              <w:pStyle w:val="pf0"/>
              <w:rPr>
                <w:rFonts w:ascii="Arial" w:hAnsi="Arial"/>
                <w:sz w:val="22"/>
                <w:lang w:eastAsia="en-US"/>
              </w:rPr>
            </w:pPr>
            <w:r w:rsidRPr="002E0A78">
              <w:rPr>
                <w:rFonts w:ascii="Arial" w:hAnsi="Arial"/>
                <w:sz w:val="22"/>
                <w:lang w:eastAsia="en-US"/>
              </w:rPr>
              <w:t xml:space="preserve">For life-threatening bleeding that cannot be controlled with the measures such as transfusion or haemostasis, the administration of a 4-factor prothrombin complex concentrate (PCC) at 50 IU/kg has been shown to reverse the effects of edoxaban 30 minutes after completing the infusion. Recombinant factor </w:t>
            </w:r>
            <w:proofErr w:type="spellStart"/>
            <w:r w:rsidRPr="002E0A78">
              <w:rPr>
                <w:rFonts w:ascii="Arial" w:hAnsi="Arial"/>
                <w:sz w:val="22"/>
                <w:lang w:eastAsia="en-US"/>
              </w:rPr>
              <w:t>VIIa</w:t>
            </w:r>
            <w:proofErr w:type="spellEnd"/>
            <w:r w:rsidRPr="002E0A78">
              <w:rPr>
                <w:rFonts w:ascii="Arial" w:hAnsi="Arial"/>
                <w:sz w:val="22"/>
                <w:lang w:eastAsia="en-US"/>
              </w:rPr>
              <w:t xml:space="preserve"> (r-</w:t>
            </w:r>
            <w:proofErr w:type="spellStart"/>
            <w:r w:rsidRPr="002E0A78">
              <w:rPr>
                <w:rFonts w:ascii="Arial" w:hAnsi="Arial"/>
                <w:sz w:val="22"/>
                <w:lang w:eastAsia="en-US"/>
              </w:rPr>
              <w:t>FVIIa</w:t>
            </w:r>
            <w:proofErr w:type="spellEnd"/>
            <w:r w:rsidRPr="002E0A78">
              <w:rPr>
                <w:rFonts w:ascii="Arial" w:hAnsi="Arial"/>
                <w:sz w:val="22"/>
                <w:lang w:eastAsia="en-US"/>
              </w:rPr>
              <w:t>) can also be considered. However, there is limited clinical experience with the use of this product in individuals receiving edoxaban.</w:t>
            </w:r>
          </w:p>
        </w:tc>
      </w:tr>
      <w:tr w:rsidR="00625207" w:rsidRPr="00EB561B" w14:paraId="547ABF91" w14:textId="77777777" w:rsidTr="00B62BFD">
        <w:trPr>
          <w:cantSplit/>
          <w:trHeight w:val="636"/>
        </w:trPr>
        <w:tc>
          <w:tcPr>
            <w:tcW w:w="1308" w:type="pct"/>
            <w:shd w:val="clear" w:color="auto" w:fill="EAF1DD" w:themeFill="accent3" w:themeFillTint="33"/>
            <w:vAlign w:val="center"/>
          </w:tcPr>
          <w:p w14:paraId="41EE4368" w14:textId="0C4A4DDB" w:rsidR="00625207" w:rsidRPr="00C05B7F" w:rsidRDefault="00625207" w:rsidP="00C05B7F">
            <w:pPr>
              <w:rPr>
                <w:b/>
                <w:bCs/>
              </w:rPr>
            </w:pPr>
            <w:r w:rsidRPr="00C05B7F">
              <w:rPr>
                <w:b/>
                <w:bCs/>
              </w:rPr>
              <w:t>Warfarin</w:t>
            </w:r>
            <w:r w:rsidRPr="00C05B7F">
              <w:rPr>
                <w:b/>
                <w:bCs/>
                <w:vertAlign w:val="superscript"/>
              </w:rPr>
              <w:t>5</w:t>
            </w:r>
          </w:p>
        </w:tc>
        <w:tc>
          <w:tcPr>
            <w:tcW w:w="3692" w:type="pct"/>
            <w:shd w:val="clear" w:color="auto" w:fill="auto"/>
            <w:vAlign w:val="center"/>
          </w:tcPr>
          <w:p w14:paraId="1E1F5337" w14:textId="032D4CC7" w:rsidR="00C05B7F" w:rsidRDefault="00C05B7F" w:rsidP="00C05B7F">
            <w:r>
              <w:t xml:space="preserve">Major bleeding - stop warfarin give </w:t>
            </w:r>
            <w:proofErr w:type="spellStart"/>
            <w:r>
              <w:t>phytomenadione</w:t>
            </w:r>
            <w:proofErr w:type="spellEnd"/>
            <w:r>
              <w:t xml:space="preserve"> (vitamin K1) by slow intravenous injection; give dried prothrombin complex (factors II, VII, IX, and X); if dried prothrombin complex unavailable, fresh frozen plasma can be given but is less effective; recombinant factor </w:t>
            </w:r>
            <w:proofErr w:type="spellStart"/>
            <w:r>
              <w:t>VIIa</w:t>
            </w:r>
            <w:proofErr w:type="spellEnd"/>
            <w:r>
              <w:t xml:space="preserve"> is not recommended for emergency anticoagulation reversal</w:t>
            </w:r>
            <w:r w:rsidR="00EE5E8C">
              <w:rPr>
                <w:vertAlign w:val="superscript"/>
              </w:rPr>
              <w:t>6</w:t>
            </w:r>
          </w:p>
          <w:p w14:paraId="40DDB7FF" w14:textId="3077C208" w:rsidR="00C05B7F" w:rsidRDefault="00C05B7F" w:rsidP="005C38D5">
            <w:pPr>
              <w:spacing w:before="0" w:after="0"/>
            </w:pPr>
            <w:r>
              <w:t>INR &gt;8.0, minor bleeding - stop</w:t>
            </w:r>
            <w:r w:rsidR="00C71032">
              <w:t xml:space="preserve"> </w:t>
            </w:r>
            <w:r>
              <w:t>warfarin sodium; give</w:t>
            </w:r>
            <w:r w:rsidR="00C71032">
              <w:t xml:space="preserve"> </w:t>
            </w:r>
            <w:proofErr w:type="spellStart"/>
            <w:r>
              <w:t>phytomenadione</w:t>
            </w:r>
            <w:proofErr w:type="spellEnd"/>
          </w:p>
          <w:p w14:paraId="14E884A9" w14:textId="2AB51D02" w:rsidR="00C05B7F" w:rsidRDefault="00C05B7F" w:rsidP="005C38D5">
            <w:pPr>
              <w:spacing w:before="0" w:after="0"/>
            </w:pPr>
            <w:r>
              <w:t>(vitamin K1) by slow intravenous injection; repeat dose</w:t>
            </w:r>
            <w:r w:rsidR="00C71032">
              <w:t xml:space="preserve"> </w:t>
            </w:r>
            <w:r>
              <w:t xml:space="preserve">of </w:t>
            </w:r>
            <w:proofErr w:type="spellStart"/>
            <w:r>
              <w:t>phytomenadione</w:t>
            </w:r>
            <w:proofErr w:type="spellEnd"/>
            <w:r>
              <w:t xml:space="preserve"> if INR still too high after 24 hours; restart warfarin sodium when INR &lt;5.0</w:t>
            </w:r>
            <w:r w:rsidR="00EE5E8C">
              <w:rPr>
                <w:vertAlign w:val="superscript"/>
              </w:rPr>
              <w:t>6</w:t>
            </w:r>
          </w:p>
          <w:p w14:paraId="1D1AAFDF" w14:textId="77777777" w:rsidR="004B2933" w:rsidRDefault="004B2933" w:rsidP="005C38D5">
            <w:pPr>
              <w:spacing w:before="0" w:after="0"/>
            </w:pPr>
          </w:p>
          <w:p w14:paraId="2E617D9D" w14:textId="3612E564" w:rsidR="00C05B7F" w:rsidRDefault="00C05B7F" w:rsidP="00416D06">
            <w:pPr>
              <w:spacing w:before="0" w:after="0"/>
            </w:pPr>
            <w:r>
              <w:t xml:space="preserve">INR &gt;8.0, no bleeding - stop warfarin sodium; give </w:t>
            </w:r>
            <w:proofErr w:type="spellStart"/>
            <w:r>
              <w:t>phytomenadione</w:t>
            </w:r>
            <w:proofErr w:type="spellEnd"/>
            <w:r>
              <w:t xml:space="preserve"> </w:t>
            </w:r>
          </w:p>
          <w:p w14:paraId="6D1CC287" w14:textId="01C2A5A1" w:rsidR="00C05B7F" w:rsidRDefault="00C05B7F" w:rsidP="00416D06">
            <w:pPr>
              <w:spacing w:before="0" w:after="0"/>
            </w:pPr>
            <w:r>
              <w:t xml:space="preserve">(vitamin K1) by mouth using the intravenous preparation orally [unlicensed use]; repeat dose of </w:t>
            </w:r>
            <w:proofErr w:type="spellStart"/>
            <w:r>
              <w:t>phytomenadione</w:t>
            </w:r>
            <w:proofErr w:type="spellEnd"/>
            <w:r>
              <w:t xml:space="preserve"> if INR still too high after 24 hours; restart warfarin when INR &lt;5.0</w:t>
            </w:r>
            <w:r w:rsidR="00EE5E8C">
              <w:rPr>
                <w:vertAlign w:val="superscript"/>
              </w:rPr>
              <w:t>6</w:t>
            </w:r>
          </w:p>
          <w:p w14:paraId="09A4E478" w14:textId="02E72623" w:rsidR="00C05B7F" w:rsidRDefault="00C05B7F" w:rsidP="00C05B7F">
            <w:r>
              <w:t xml:space="preserve">INR 5.0–8.0, minor bleeding – stop warfarin sodium; give </w:t>
            </w:r>
            <w:proofErr w:type="spellStart"/>
            <w:r>
              <w:t>phytomenadione</w:t>
            </w:r>
            <w:proofErr w:type="spellEnd"/>
            <w:r>
              <w:t xml:space="preserve"> (vitamin K1) by slow intravenous injection; restart warfarin sodium when INR &lt;5.0</w:t>
            </w:r>
            <w:r w:rsidR="00D932FA">
              <w:rPr>
                <w:vertAlign w:val="superscript"/>
              </w:rPr>
              <w:t>6</w:t>
            </w:r>
          </w:p>
          <w:p w14:paraId="6C7BCC69" w14:textId="296C316A" w:rsidR="00C05B7F" w:rsidRDefault="00C05B7F" w:rsidP="00C05B7F">
            <w:r>
              <w:t>INR 5.0–8.0, no bleeding - withhold 1 or 2 doses of warfarin sodium and reduce subsequent maintenance dose</w:t>
            </w:r>
            <w:r w:rsidR="00D932FA">
              <w:rPr>
                <w:vertAlign w:val="superscript"/>
              </w:rPr>
              <w:t>6</w:t>
            </w:r>
          </w:p>
          <w:p w14:paraId="1DC61E07" w14:textId="72A26F57" w:rsidR="00625207" w:rsidRDefault="00C05B7F" w:rsidP="00C05B7F">
            <w:r>
              <w:t>Unexpected bleeding at therapeutic levels - always investigate possibility of underlying cause e.g. unsuspected renal or gastro-intestinal tract pathology</w:t>
            </w:r>
            <w:r w:rsidR="00D932FA">
              <w:rPr>
                <w:vertAlign w:val="superscript"/>
              </w:rPr>
              <w:t>6</w:t>
            </w:r>
          </w:p>
        </w:tc>
      </w:tr>
    </w:tbl>
    <w:p w14:paraId="1EE3803E" w14:textId="77777777" w:rsidR="00773024" w:rsidRDefault="00773024" w:rsidP="00C05B7F">
      <w:pPr>
        <w:pStyle w:val="Heading2"/>
      </w:pPr>
      <w:bookmarkStart w:id="77" w:name="_Toc104910455"/>
    </w:p>
    <w:p w14:paraId="1BC33DFD" w14:textId="74669809" w:rsidR="0010338F" w:rsidRPr="00367CC8" w:rsidRDefault="0010338F" w:rsidP="00C05B7F">
      <w:pPr>
        <w:pStyle w:val="Heading2"/>
      </w:pPr>
      <w:bookmarkStart w:id="78" w:name="_Toc106708902"/>
      <w:r w:rsidRPr="00367CC8">
        <w:lastRenderedPageBreak/>
        <w:t>Reversal of anticoagulation</w:t>
      </w:r>
      <w:bookmarkEnd w:id="77"/>
      <w:bookmarkEnd w:id="78"/>
    </w:p>
    <w:p w14:paraId="12DA9270" w14:textId="77777777" w:rsidR="00C05B7F" w:rsidRDefault="001423E8" w:rsidP="00C71032">
      <w:pPr>
        <w:jc w:val="both"/>
        <w:rPr>
          <w:b/>
          <w:bCs/>
        </w:rPr>
      </w:pPr>
      <w:r w:rsidRPr="00EB561B">
        <w:rPr>
          <w:b/>
          <w:bCs/>
        </w:rPr>
        <w:t>Warfarin</w:t>
      </w:r>
    </w:p>
    <w:p w14:paraId="4B8F485E" w14:textId="675DC1A4" w:rsidR="0094051F" w:rsidRPr="00EB561B" w:rsidRDefault="0010338F" w:rsidP="00C71032">
      <w:pPr>
        <w:jc w:val="both"/>
      </w:pPr>
      <w:r w:rsidRPr="00EB561B">
        <w:t xml:space="preserve">The effects of warfarin can be reversed with </w:t>
      </w:r>
      <w:proofErr w:type="spellStart"/>
      <w:r w:rsidRPr="00EB561B">
        <w:t>phytomenadione</w:t>
      </w:r>
      <w:proofErr w:type="spellEnd"/>
      <w:r w:rsidRPr="00EB561B">
        <w:t xml:space="preserve"> in combination with dried prothrombin complex or fresh frozen plasma.</w:t>
      </w:r>
      <w:r w:rsidR="004C52A2" w:rsidRPr="00EB561B">
        <w:rPr>
          <w:vertAlign w:val="superscript"/>
        </w:rPr>
        <w:t>6</w:t>
      </w:r>
      <w:r w:rsidRPr="00EB561B">
        <w:t xml:space="preserve"> </w:t>
      </w:r>
    </w:p>
    <w:p w14:paraId="51CF84FF" w14:textId="77777777" w:rsidR="00C05B7F" w:rsidRDefault="0094051F" w:rsidP="00C71032">
      <w:pPr>
        <w:jc w:val="both"/>
        <w:rPr>
          <w:b/>
          <w:bCs/>
        </w:rPr>
      </w:pPr>
      <w:r w:rsidRPr="00EB561B">
        <w:rPr>
          <w:b/>
          <w:bCs/>
        </w:rPr>
        <w:t>DOACs</w:t>
      </w:r>
    </w:p>
    <w:p w14:paraId="2C2DE376" w14:textId="4F7724D4" w:rsidR="0010338F" w:rsidRPr="00EB561B" w:rsidRDefault="0010338F" w:rsidP="00C71032">
      <w:pPr>
        <w:jc w:val="both"/>
      </w:pPr>
      <w:r w:rsidRPr="00EB561B">
        <w:t>Specific reversal agents are now available for dabigatran (</w:t>
      </w:r>
      <w:proofErr w:type="spellStart"/>
      <w:r w:rsidRPr="00EB561B">
        <w:t>idarucizumab</w:t>
      </w:r>
      <w:proofErr w:type="spellEnd"/>
      <w:r w:rsidRPr="00EB561B">
        <w:t xml:space="preserve"> - </w:t>
      </w:r>
      <w:proofErr w:type="spellStart"/>
      <w:r w:rsidRPr="00EB561B">
        <w:t>Praxbind</w:t>
      </w:r>
      <w:proofErr w:type="spellEnd"/>
      <w:r w:rsidRPr="00EB561B">
        <w:t>®), apixaban and rivaroxaban (</w:t>
      </w:r>
      <w:proofErr w:type="spellStart"/>
      <w:r w:rsidRPr="00EB561B">
        <w:t>andexanet</w:t>
      </w:r>
      <w:proofErr w:type="spellEnd"/>
      <w:r w:rsidRPr="00EB561B">
        <w:t xml:space="preserve"> alfa - </w:t>
      </w:r>
      <w:proofErr w:type="spellStart"/>
      <w:r w:rsidRPr="00EB561B">
        <w:t>Ondexxya</w:t>
      </w:r>
      <w:proofErr w:type="spellEnd"/>
      <w:r w:rsidRPr="00EB561B">
        <w:rPr>
          <w:rFonts w:cs="Arial"/>
        </w:rPr>
        <w:t>▼</w:t>
      </w:r>
      <w:r w:rsidRPr="00EB561B">
        <w:t>).</w:t>
      </w:r>
      <w:r w:rsidR="00CC07CB" w:rsidRPr="00EB561B">
        <w:rPr>
          <w:vertAlign w:val="superscript"/>
        </w:rPr>
        <w:t>2</w:t>
      </w:r>
      <w:r w:rsidR="00870046">
        <w:rPr>
          <w:vertAlign w:val="superscript"/>
        </w:rPr>
        <w:t>8</w:t>
      </w:r>
      <w:r w:rsidR="00CC07CB" w:rsidRPr="00EB561B">
        <w:rPr>
          <w:vertAlign w:val="superscript"/>
        </w:rPr>
        <w:t>,2</w:t>
      </w:r>
      <w:r w:rsidR="00870046">
        <w:rPr>
          <w:vertAlign w:val="superscript"/>
        </w:rPr>
        <w:t>9</w:t>
      </w:r>
      <w:r w:rsidRPr="00EB561B">
        <w:t xml:space="preserve"> These are discussed further:</w:t>
      </w:r>
    </w:p>
    <w:p w14:paraId="5C22E6E7" w14:textId="77777777" w:rsidR="00C05B7F" w:rsidRDefault="005B72E4" w:rsidP="00C71032">
      <w:pPr>
        <w:jc w:val="both"/>
        <w:rPr>
          <w:b/>
          <w:bCs/>
        </w:rPr>
      </w:pPr>
      <w:r w:rsidRPr="00EB561B">
        <w:rPr>
          <w:b/>
          <w:bCs/>
        </w:rPr>
        <w:t>Dabigatran</w:t>
      </w:r>
    </w:p>
    <w:p w14:paraId="66D1E52E" w14:textId="3858D18B" w:rsidR="0010338F" w:rsidRPr="00EB561B" w:rsidRDefault="0010338F" w:rsidP="00C71032">
      <w:pPr>
        <w:jc w:val="both"/>
      </w:pPr>
      <w:proofErr w:type="spellStart"/>
      <w:r w:rsidRPr="00EB561B">
        <w:t>Idarucizumab</w:t>
      </w:r>
      <w:proofErr w:type="spellEnd"/>
      <w:r w:rsidRPr="00EB561B">
        <w:t xml:space="preserve"> is licensed to reverse the anticoagulant effects of dabigatran.</w:t>
      </w:r>
      <w:r w:rsidR="00E30E2B" w:rsidRPr="00EB561B">
        <w:rPr>
          <w:vertAlign w:val="superscript"/>
        </w:rPr>
        <w:t>2</w:t>
      </w:r>
      <w:r w:rsidR="00870046">
        <w:rPr>
          <w:vertAlign w:val="superscript"/>
        </w:rPr>
        <w:t>8</w:t>
      </w:r>
      <w:r w:rsidRPr="00EB561B">
        <w:t xml:space="preserve"> In the interim analysis of the RE-VERSE AD study, NICE states that people may still need other supportive measures, for example blood products, to manage their bleeding and these should be considered as medically appropriate.</w:t>
      </w:r>
      <w:r w:rsidR="00870046">
        <w:rPr>
          <w:vertAlign w:val="superscript"/>
        </w:rPr>
        <w:t>30</w:t>
      </w:r>
    </w:p>
    <w:p w14:paraId="1D520249" w14:textId="33A655C3" w:rsidR="0010338F" w:rsidRPr="00EB561B" w:rsidRDefault="0010338F" w:rsidP="00C71032">
      <w:pPr>
        <w:jc w:val="both"/>
        <w:rPr>
          <w:color w:val="000000"/>
        </w:rPr>
      </w:pPr>
      <w:r w:rsidRPr="00EB561B">
        <w:t xml:space="preserve">The SPC provides the results of RE-VERSE AD </w:t>
      </w:r>
      <w:r w:rsidR="00721BE4">
        <w:t xml:space="preserve">study </w:t>
      </w:r>
      <w:r w:rsidRPr="00EB561B">
        <w:t>(n=</w:t>
      </w:r>
      <w:r w:rsidRPr="00EB561B">
        <w:rPr>
          <w:color w:val="000000"/>
        </w:rPr>
        <w:t xml:space="preserve"> 503 patients: 301 patients with serious bleeding (Group A) and 202 patients requiring an urgent procedure/surgery (Group B)). Restoration of haemostasis was achieved in 80.3% of evaluable patients who had serious bleeding and normal haemostasis was observed in 93.4% of patients who required an urgent procedure. Of the total 503 patients, 101 patients died; each of these deaths could be attributed to either a complication of the index event, or co-morbidities. Thrombotic events were reported in 34 patients (23 out of the 34 patients were not on antithrombotic therapy at the time of the event) and in each of these cases, the thrombotic event could be attributed to the underlying medical condition of the patient. Mild symptoms of potential hypersensitivity (pyrexia, bronchospasm, hyperventilation, rash or pruritus) were reported. A causal relationship to </w:t>
      </w:r>
      <w:proofErr w:type="spellStart"/>
      <w:r w:rsidRPr="00EB561B">
        <w:rPr>
          <w:color w:val="000000"/>
        </w:rPr>
        <w:t>idarucizumab</w:t>
      </w:r>
      <w:proofErr w:type="spellEnd"/>
      <w:r w:rsidRPr="00EB561B">
        <w:rPr>
          <w:color w:val="000000"/>
        </w:rPr>
        <w:t xml:space="preserve"> could not be established.</w:t>
      </w:r>
      <w:r w:rsidR="00BC07B4" w:rsidRPr="00EB561B">
        <w:rPr>
          <w:color w:val="000000"/>
          <w:vertAlign w:val="superscript"/>
        </w:rPr>
        <w:t>2</w:t>
      </w:r>
      <w:r w:rsidR="00870046">
        <w:rPr>
          <w:color w:val="000000"/>
          <w:vertAlign w:val="superscript"/>
        </w:rPr>
        <w:t>8</w:t>
      </w:r>
    </w:p>
    <w:p w14:paraId="1927AEB1" w14:textId="77777777" w:rsidR="00C05B7F" w:rsidRDefault="005B72E4" w:rsidP="00C71032">
      <w:pPr>
        <w:jc w:val="both"/>
        <w:rPr>
          <w:b/>
          <w:bCs/>
        </w:rPr>
      </w:pPr>
      <w:r w:rsidRPr="00EB561B">
        <w:rPr>
          <w:b/>
          <w:bCs/>
        </w:rPr>
        <w:t>Rivaroxaban and apixaban</w:t>
      </w:r>
    </w:p>
    <w:p w14:paraId="6E2E658F" w14:textId="4461DA9C" w:rsidR="0010338F" w:rsidRPr="00EB561B" w:rsidRDefault="0010338F" w:rsidP="00C71032">
      <w:pPr>
        <w:jc w:val="both"/>
      </w:pPr>
      <w:r w:rsidRPr="002E0A78">
        <w:t>Andexanet alfa</w:t>
      </w:r>
      <w:r w:rsidRPr="00EB561B">
        <w:t xml:space="preserve"> is licensed to reverse the anticoagulant effects of rivaroxaban</w:t>
      </w:r>
      <w:r w:rsidRPr="00EB561B">
        <w:rPr>
          <w:b/>
          <w:bCs/>
        </w:rPr>
        <w:t xml:space="preserve"> </w:t>
      </w:r>
      <w:r w:rsidRPr="00EB561B">
        <w:t>and</w:t>
      </w:r>
      <w:r w:rsidRPr="00EB561B">
        <w:rPr>
          <w:b/>
          <w:bCs/>
        </w:rPr>
        <w:t xml:space="preserve"> </w:t>
      </w:r>
      <w:r w:rsidRPr="00EB561B">
        <w:t>apixaban.</w:t>
      </w:r>
      <w:r w:rsidR="00B1252E" w:rsidRPr="00EB561B">
        <w:rPr>
          <w:vertAlign w:val="superscript"/>
        </w:rPr>
        <w:t>2</w:t>
      </w:r>
      <w:r w:rsidR="00870046">
        <w:rPr>
          <w:vertAlign w:val="superscript"/>
        </w:rPr>
        <w:t>9</w:t>
      </w:r>
      <w:r w:rsidRPr="00EB561B">
        <w:t xml:space="preserve"> Because of the limitations of the clinical evidence, the cost-effectiveness estimates for </w:t>
      </w:r>
      <w:proofErr w:type="spellStart"/>
      <w:r w:rsidRPr="00EB561B">
        <w:t>andexanet</w:t>
      </w:r>
      <w:proofErr w:type="spellEnd"/>
      <w:r w:rsidRPr="00EB561B">
        <w:t xml:space="preserve"> alfa are uncertain.</w:t>
      </w:r>
      <w:r w:rsidR="00C71032">
        <w:t xml:space="preserve"> </w:t>
      </w:r>
      <w:r w:rsidRPr="00EB561B">
        <w:t xml:space="preserve">Therefore, </w:t>
      </w:r>
      <w:proofErr w:type="spellStart"/>
      <w:r w:rsidRPr="00EB561B">
        <w:t>andexanet</w:t>
      </w:r>
      <w:proofErr w:type="spellEnd"/>
      <w:r w:rsidRPr="00EB561B">
        <w:t xml:space="preserve"> alfa for reversing anticoagulation is recommended for routine use only in gastrointestinal bleeding. It is recommended only in research in intracranial haemorrhage (ICH).</w:t>
      </w:r>
      <w:r w:rsidR="00F81A53" w:rsidRPr="00EB561B">
        <w:rPr>
          <w:vertAlign w:val="superscript"/>
        </w:rPr>
        <w:t>3</w:t>
      </w:r>
      <w:r w:rsidR="00870046">
        <w:rPr>
          <w:vertAlign w:val="superscript"/>
        </w:rPr>
        <w:t>1</w:t>
      </w:r>
    </w:p>
    <w:p w14:paraId="0E622B35" w14:textId="77777777" w:rsidR="00C71032" w:rsidRDefault="005B72E4" w:rsidP="00C71032">
      <w:pPr>
        <w:jc w:val="both"/>
        <w:rPr>
          <w:b/>
          <w:bCs/>
        </w:rPr>
      </w:pPr>
      <w:r w:rsidRPr="00EB561B">
        <w:rPr>
          <w:b/>
          <w:bCs/>
        </w:rPr>
        <w:t>Edoxaban</w:t>
      </w:r>
    </w:p>
    <w:p w14:paraId="31AA641F" w14:textId="6A9036C2" w:rsidR="0010338F" w:rsidRPr="00EB561B" w:rsidRDefault="00E26B00" w:rsidP="00C71032">
      <w:pPr>
        <w:jc w:val="both"/>
      </w:pPr>
      <w:r w:rsidRPr="00EB561B">
        <w:t>A specific antidote antagonising the pharmacodynamic effect of edoxaban is not available</w:t>
      </w:r>
      <w:r w:rsidR="00043B1D" w:rsidRPr="00EB561B">
        <w:rPr>
          <w:b/>
          <w:bCs/>
        </w:rPr>
        <w:t xml:space="preserve">. </w:t>
      </w:r>
      <w:r w:rsidR="00F22B0F" w:rsidRPr="00EB561B">
        <w:t>Early administration of activated charcoal may be considered in case of edoxaban overdose to reduce absorption. This recommendation is based on standard treatment of medicinal product overdose and data available with similar compounds, as the use of activated charcoal to reduce absorption of edoxaban has not been specifically studied in the edoxaban clinical programme.</w:t>
      </w:r>
      <w:r w:rsidR="006821A5">
        <w:t xml:space="preserve"> </w:t>
      </w:r>
      <w:r w:rsidR="006821A5" w:rsidRPr="002E0A78">
        <w:t xml:space="preserve">For life-threatening bleeding that cannot be controlled with the measures such as transfusion or haemostasis, the administration of a 4-factor prothrombin complex concentrate (PCC) at 50 IU/kg has been shown to reverse the effects of edoxaban 30 minutes after completing the infusion. Recombinant factor </w:t>
      </w:r>
      <w:proofErr w:type="spellStart"/>
      <w:r w:rsidR="006821A5" w:rsidRPr="002E0A78">
        <w:t>VIIa</w:t>
      </w:r>
      <w:proofErr w:type="spellEnd"/>
      <w:r w:rsidR="006821A5" w:rsidRPr="002E0A78">
        <w:t xml:space="preserve"> (r-</w:t>
      </w:r>
      <w:proofErr w:type="spellStart"/>
      <w:r w:rsidR="006821A5" w:rsidRPr="002E0A78">
        <w:t>FVIIa</w:t>
      </w:r>
      <w:proofErr w:type="spellEnd"/>
      <w:r w:rsidR="006821A5" w:rsidRPr="002E0A78">
        <w:t>) can also be considered. However, there is limited clinical experience with the use of this product in individuals receiving edoxaban.</w:t>
      </w:r>
      <w:r w:rsidR="002F1AE5" w:rsidRPr="00EB561B">
        <w:rPr>
          <w:vertAlign w:val="superscript"/>
        </w:rPr>
        <w:t>4</w:t>
      </w:r>
    </w:p>
    <w:p w14:paraId="5243B84A" w14:textId="77777777" w:rsidR="0010338F" w:rsidRPr="00EB561B" w:rsidRDefault="0010338F" w:rsidP="00C05B7F"/>
    <w:p w14:paraId="66D7F545" w14:textId="77777777" w:rsidR="0010338F" w:rsidRDefault="0010338F">
      <w:pPr>
        <w:rPr>
          <w:rFonts w:asciiTheme="majorHAnsi" w:hAnsiTheme="majorHAnsi" w:cstheme="majorHAnsi"/>
        </w:rPr>
      </w:pPr>
    </w:p>
    <w:p w14:paraId="6174C6EB" w14:textId="77777777" w:rsidR="004001CA" w:rsidRDefault="004001CA">
      <w:pPr>
        <w:rPr>
          <w:rFonts w:asciiTheme="majorHAnsi" w:hAnsiTheme="majorHAnsi" w:cstheme="majorHAnsi"/>
        </w:rPr>
      </w:pPr>
    </w:p>
    <w:p w14:paraId="14A378A2" w14:textId="77777777" w:rsidR="004001CA" w:rsidRDefault="004001CA">
      <w:pPr>
        <w:rPr>
          <w:rFonts w:asciiTheme="majorHAnsi" w:hAnsiTheme="majorHAnsi" w:cstheme="majorHAnsi"/>
        </w:rPr>
      </w:pPr>
    </w:p>
    <w:p w14:paraId="7E329BC6" w14:textId="77777777" w:rsidR="004001CA" w:rsidRDefault="004001CA">
      <w:pPr>
        <w:rPr>
          <w:rFonts w:asciiTheme="majorHAnsi" w:hAnsiTheme="majorHAnsi" w:cstheme="majorHAnsi"/>
        </w:rPr>
      </w:pPr>
    </w:p>
    <w:p w14:paraId="4ADB5479" w14:textId="77777777" w:rsidR="004001CA" w:rsidRDefault="004001CA">
      <w:pPr>
        <w:rPr>
          <w:rFonts w:asciiTheme="majorHAnsi" w:hAnsiTheme="majorHAnsi" w:cstheme="majorHAnsi"/>
        </w:rPr>
      </w:pPr>
    </w:p>
    <w:p w14:paraId="55662FB6" w14:textId="77777777" w:rsidR="004001CA" w:rsidRDefault="004001CA">
      <w:pPr>
        <w:rPr>
          <w:rFonts w:asciiTheme="majorHAnsi" w:hAnsiTheme="majorHAnsi" w:cstheme="majorHAnsi"/>
        </w:rPr>
      </w:pPr>
    </w:p>
    <w:p w14:paraId="3D50FAAA" w14:textId="77777777" w:rsidR="004001CA" w:rsidRDefault="004001CA">
      <w:pPr>
        <w:rPr>
          <w:rFonts w:asciiTheme="majorHAnsi" w:hAnsiTheme="majorHAnsi" w:cstheme="majorHAnsi"/>
        </w:rPr>
      </w:pPr>
    </w:p>
    <w:p w14:paraId="2358EE81" w14:textId="77777777" w:rsidR="004001CA" w:rsidRDefault="004001CA">
      <w:pPr>
        <w:rPr>
          <w:rFonts w:asciiTheme="majorHAnsi" w:hAnsiTheme="majorHAnsi" w:cstheme="majorHAnsi"/>
        </w:rPr>
      </w:pPr>
    </w:p>
    <w:p w14:paraId="6396A5A3" w14:textId="77777777" w:rsidR="004001CA" w:rsidRDefault="004001CA">
      <w:pPr>
        <w:rPr>
          <w:rFonts w:asciiTheme="majorHAnsi" w:hAnsiTheme="majorHAnsi" w:cstheme="majorHAnsi"/>
        </w:rPr>
      </w:pPr>
    </w:p>
    <w:p w14:paraId="3C614FA1" w14:textId="77777777" w:rsidR="004001CA" w:rsidRDefault="004001CA">
      <w:pPr>
        <w:rPr>
          <w:rFonts w:asciiTheme="majorHAnsi" w:hAnsiTheme="majorHAnsi" w:cstheme="majorHAnsi"/>
        </w:rPr>
      </w:pPr>
    </w:p>
    <w:tbl>
      <w:tblPr>
        <w:tblStyle w:val="TableGrid"/>
        <w:tblW w:w="5000" w:type="pct"/>
        <w:jc w:val="center"/>
        <w:tblLook w:val="04A0" w:firstRow="1" w:lastRow="0" w:firstColumn="1" w:lastColumn="0" w:noHBand="0" w:noVBand="1"/>
      </w:tblPr>
      <w:tblGrid>
        <w:gridCol w:w="1947"/>
        <w:gridCol w:w="1947"/>
        <w:gridCol w:w="1947"/>
        <w:gridCol w:w="1947"/>
        <w:gridCol w:w="1947"/>
      </w:tblGrid>
      <w:tr w:rsidR="002E47F4" w:rsidRPr="00EB561B" w14:paraId="760F614F" w14:textId="77777777" w:rsidTr="00C71032">
        <w:trPr>
          <w:cantSplit/>
          <w:jc w:val="center"/>
        </w:trPr>
        <w:tc>
          <w:tcPr>
            <w:tcW w:w="5000" w:type="pct"/>
            <w:gridSpan w:val="5"/>
            <w:shd w:val="clear" w:color="auto" w:fill="F2F2F2" w:themeFill="background1" w:themeFillShade="F2"/>
            <w:vAlign w:val="center"/>
          </w:tcPr>
          <w:p w14:paraId="7B689454" w14:textId="77777777" w:rsidR="002E47F4" w:rsidRPr="00367CC8" w:rsidRDefault="002E47F4" w:rsidP="00C71032">
            <w:pPr>
              <w:pStyle w:val="Heading2"/>
            </w:pPr>
            <w:bookmarkStart w:id="79" w:name="_Toc96868265"/>
            <w:bookmarkStart w:id="80" w:name="_Toc104910456"/>
            <w:bookmarkStart w:id="81" w:name="_Toc106708903"/>
            <w:r w:rsidRPr="00367CC8">
              <w:t>Conversion from warfarin</w:t>
            </w:r>
            <w:bookmarkEnd w:id="79"/>
            <w:r w:rsidRPr="00367CC8">
              <w:t xml:space="preserve"> to DOAC</w:t>
            </w:r>
            <w:bookmarkEnd w:id="80"/>
            <w:bookmarkEnd w:id="81"/>
          </w:p>
        </w:tc>
      </w:tr>
      <w:tr w:rsidR="002E47F4" w:rsidRPr="00EB561B" w14:paraId="0CC98C16" w14:textId="77777777" w:rsidTr="000828CD">
        <w:trPr>
          <w:cantSplit/>
          <w:jc w:val="center"/>
        </w:trPr>
        <w:tc>
          <w:tcPr>
            <w:tcW w:w="1000" w:type="pct"/>
            <w:shd w:val="clear" w:color="auto" w:fill="DBE5F1" w:themeFill="accent1" w:themeFillTint="33"/>
            <w:vAlign w:val="center"/>
          </w:tcPr>
          <w:p w14:paraId="47150B36" w14:textId="77777777" w:rsidR="002E47F4" w:rsidRPr="00EB561B" w:rsidRDefault="002E47F4" w:rsidP="00C71032">
            <w:pPr>
              <w:rPr>
                <w:szCs w:val="22"/>
              </w:rPr>
            </w:pPr>
            <w:r w:rsidRPr="00EB561B">
              <w:rPr>
                <w:b/>
                <w:szCs w:val="22"/>
              </w:rPr>
              <w:t>Dabigatran (Pradaxa</w:t>
            </w:r>
            <w:r w:rsidRPr="00EB561B">
              <w:rPr>
                <w:b/>
                <w:szCs w:val="22"/>
              </w:rPr>
              <w:sym w:font="Symbol" w:char="F0D2"/>
            </w:r>
            <w:r w:rsidRPr="00EB561B">
              <w:rPr>
                <w:b/>
                <w:szCs w:val="22"/>
              </w:rPr>
              <w:t>)</w:t>
            </w:r>
            <w:r w:rsidRPr="00EB561B">
              <w:rPr>
                <w:b/>
                <w:szCs w:val="22"/>
                <w:vertAlign w:val="superscript"/>
              </w:rPr>
              <w:t>1</w:t>
            </w:r>
          </w:p>
        </w:tc>
        <w:tc>
          <w:tcPr>
            <w:tcW w:w="1000" w:type="pct"/>
            <w:shd w:val="clear" w:color="auto" w:fill="F2DBDB" w:themeFill="accent2" w:themeFillTint="33"/>
            <w:vAlign w:val="center"/>
          </w:tcPr>
          <w:p w14:paraId="0D5BE5AC" w14:textId="77777777" w:rsidR="002E47F4" w:rsidRPr="00EB561B" w:rsidRDefault="002E47F4" w:rsidP="00C71032">
            <w:pPr>
              <w:rPr>
                <w:szCs w:val="22"/>
              </w:rPr>
            </w:pPr>
            <w:r w:rsidRPr="00EB561B">
              <w:rPr>
                <w:b/>
                <w:szCs w:val="22"/>
              </w:rPr>
              <w:t>Rivaroxaban (Xarelto</w:t>
            </w:r>
            <w:r w:rsidRPr="00EB561B">
              <w:rPr>
                <w:b/>
                <w:szCs w:val="22"/>
              </w:rPr>
              <w:sym w:font="Symbol" w:char="F0D2"/>
            </w:r>
            <w:r w:rsidRPr="00EB561B">
              <w:rPr>
                <w:rFonts w:cs="Arial"/>
                <w:szCs w:val="22"/>
              </w:rPr>
              <w:t>▼</w:t>
            </w:r>
            <w:r w:rsidRPr="00EB561B">
              <w:rPr>
                <w:b/>
                <w:szCs w:val="22"/>
              </w:rPr>
              <w:t>)</w:t>
            </w:r>
            <w:r w:rsidRPr="00EB561B">
              <w:rPr>
                <w:b/>
                <w:szCs w:val="22"/>
                <w:vertAlign w:val="superscript"/>
              </w:rPr>
              <w:t>2</w:t>
            </w:r>
          </w:p>
        </w:tc>
        <w:tc>
          <w:tcPr>
            <w:tcW w:w="1000" w:type="pct"/>
            <w:shd w:val="clear" w:color="auto" w:fill="E5DFEC" w:themeFill="accent4" w:themeFillTint="33"/>
            <w:vAlign w:val="center"/>
          </w:tcPr>
          <w:p w14:paraId="19869CCD" w14:textId="77777777" w:rsidR="002E47F4" w:rsidRPr="00EB561B" w:rsidRDefault="002E47F4" w:rsidP="00C71032">
            <w:pPr>
              <w:rPr>
                <w:szCs w:val="22"/>
              </w:rPr>
            </w:pPr>
            <w:r w:rsidRPr="00EB561B">
              <w:rPr>
                <w:b/>
                <w:szCs w:val="22"/>
              </w:rPr>
              <w:t>Apixaban (Eliquis</w:t>
            </w:r>
            <w:r w:rsidRPr="00EB561B">
              <w:rPr>
                <w:b/>
                <w:szCs w:val="22"/>
              </w:rPr>
              <w:sym w:font="Symbol" w:char="F0D2"/>
            </w:r>
            <w:r w:rsidRPr="00EB561B">
              <w:rPr>
                <w:b/>
                <w:szCs w:val="22"/>
              </w:rPr>
              <w:t>)</w:t>
            </w:r>
            <w:r w:rsidRPr="00EB561B">
              <w:rPr>
                <w:b/>
                <w:szCs w:val="22"/>
                <w:vertAlign w:val="superscript"/>
              </w:rPr>
              <w:t>3</w:t>
            </w:r>
          </w:p>
        </w:tc>
        <w:tc>
          <w:tcPr>
            <w:tcW w:w="1000" w:type="pct"/>
            <w:shd w:val="clear" w:color="auto" w:fill="FDE9D9" w:themeFill="accent6" w:themeFillTint="33"/>
            <w:vAlign w:val="center"/>
          </w:tcPr>
          <w:p w14:paraId="5C3A297B" w14:textId="2FFEFB33" w:rsidR="002E47F4" w:rsidRPr="00EB561B" w:rsidRDefault="002E47F4" w:rsidP="00C71032">
            <w:pPr>
              <w:rPr>
                <w:szCs w:val="22"/>
              </w:rPr>
            </w:pPr>
            <w:r w:rsidRPr="00EB561B">
              <w:rPr>
                <w:b/>
                <w:szCs w:val="22"/>
              </w:rPr>
              <w:t>Edoxaban (Lixiana</w:t>
            </w:r>
            <w:r w:rsidRPr="00EB561B">
              <w:rPr>
                <w:b/>
                <w:szCs w:val="22"/>
              </w:rPr>
              <w:sym w:font="Symbol" w:char="F0D2"/>
            </w:r>
            <w:r w:rsidRPr="00EB561B">
              <w:rPr>
                <w:b/>
                <w:szCs w:val="22"/>
              </w:rPr>
              <w:t>)</w:t>
            </w:r>
            <w:r w:rsidRPr="00EB561B">
              <w:rPr>
                <w:b/>
                <w:szCs w:val="22"/>
                <w:vertAlign w:val="superscript"/>
              </w:rPr>
              <w:t>4</w:t>
            </w:r>
          </w:p>
        </w:tc>
        <w:tc>
          <w:tcPr>
            <w:tcW w:w="1000" w:type="pct"/>
            <w:shd w:val="clear" w:color="auto" w:fill="EAF1DD" w:themeFill="accent3" w:themeFillTint="33"/>
            <w:vAlign w:val="center"/>
          </w:tcPr>
          <w:p w14:paraId="3E5638B0" w14:textId="6FAB0949" w:rsidR="002E47F4" w:rsidRPr="00EB561B" w:rsidRDefault="002E47F4" w:rsidP="00C71032">
            <w:pPr>
              <w:rPr>
                <w:b/>
                <w:szCs w:val="22"/>
                <w:vertAlign w:val="superscript"/>
              </w:rPr>
            </w:pPr>
            <w:r w:rsidRPr="00EB561B">
              <w:rPr>
                <w:b/>
                <w:szCs w:val="22"/>
              </w:rPr>
              <w:t>Warfarin</w:t>
            </w:r>
            <w:r w:rsidR="005924AC" w:rsidRPr="00EB561B">
              <w:rPr>
                <w:b/>
                <w:szCs w:val="22"/>
                <w:vertAlign w:val="superscript"/>
              </w:rPr>
              <w:t>5</w:t>
            </w:r>
            <w:r w:rsidR="009153B4" w:rsidRPr="00EB561B">
              <w:rPr>
                <w:b/>
                <w:szCs w:val="22"/>
                <w:vertAlign w:val="superscript"/>
              </w:rPr>
              <w:t>,6</w:t>
            </w:r>
          </w:p>
        </w:tc>
      </w:tr>
      <w:tr w:rsidR="002E47F4" w:rsidRPr="00EB561B" w14:paraId="73F6F5DF" w14:textId="77777777" w:rsidTr="00C71032">
        <w:trPr>
          <w:cantSplit/>
          <w:trHeight w:val="1084"/>
          <w:jc w:val="center"/>
        </w:trPr>
        <w:tc>
          <w:tcPr>
            <w:tcW w:w="1000" w:type="pct"/>
            <w:shd w:val="clear" w:color="auto" w:fill="auto"/>
            <w:vAlign w:val="center"/>
          </w:tcPr>
          <w:p w14:paraId="2B0FDACC" w14:textId="18D75A10" w:rsidR="002E47F4" w:rsidRPr="00EB561B" w:rsidRDefault="00601248" w:rsidP="00C71032">
            <w:pPr>
              <w:rPr>
                <w:szCs w:val="22"/>
              </w:rPr>
            </w:pPr>
            <w:r>
              <w:rPr>
                <w:szCs w:val="22"/>
              </w:rPr>
              <w:t>Discontinue</w:t>
            </w:r>
            <w:r w:rsidR="002E47F4" w:rsidRPr="00EB561B">
              <w:rPr>
                <w:szCs w:val="22"/>
              </w:rPr>
              <w:t xml:space="preserve"> warfari</w:t>
            </w:r>
            <w:r>
              <w:rPr>
                <w:szCs w:val="22"/>
              </w:rPr>
              <w:t>n and s</w:t>
            </w:r>
            <w:r w:rsidR="002E47F4" w:rsidRPr="00EB561B">
              <w:rPr>
                <w:szCs w:val="22"/>
              </w:rPr>
              <w:t>tart dabigatran when INR &lt;2</w:t>
            </w:r>
          </w:p>
        </w:tc>
        <w:tc>
          <w:tcPr>
            <w:tcW w:w="1000" w:type="pct"/>
            <w:shd w:val="clear" w:color="auto" w:fill="auto"/>
            <w:vAlign w:val="center"/>
          </w:tcPr>
          <w:p w14:paraId="1A497D6F" w14:textId="77777777" w:rsidR="002E47F4" w:rsidRPr="00EB561B" w:rsidRDefault="002E47F4" w:rsidP="00C71032">
            <w:pPr>
              <w:rPr>
                <w:szCs w:val="22"/>
              </w:rPr>
            </w:pPr>
            <w:r w:rsidRPr="00EB561B">
              <w:rPr>
                <w:szCs w:val="22"/>
              </w:rPr>
              <w:t xml:space="preserve">Discontinue warfarin and start rivaroxaban when: </w:t>
            </w:r>
          </w:p>
          <w:p w14:paraId="105DBD14" w14:textId="748B7E03" w:rsidR="002E47F4" w:rsidRPr="00EB561B" w:rsidRDefault="002E47F4" w:rsidP="00C71032">
            <w:pPr>
              <w:rPr>
                <w:szCs w:val="22"/>
              </w:rPr>
            </w:pPr>
            <w:r w:rsidRPr="00EB561B">
              <w:rPr>
                <w:szCs w:val="22"/>
              </w:rPr>
              <w:t>INR</w:t>
            </w:r>
            <w:r w:rsidR="00DB2FD8" w:rsidRPr="00EB561B">
              <w:rPr>
                <w:szCs w:val="22"/>
              </w:rPr>
              <w:t xml:space="preserve"> ≤</w:t>
            </w:r>
            <w:r w:rsidRPr="00EB561B">
              <w:rPr>
                <w:szCs w:val="22"/>
              </w:rPr>
              <w:t>3 for prevention of stroke and systemic embolism</w:t>
            </w:r>
          </w:p>
          <w:p w14:paraId="772B731E" w14:textId="488F87D1" w:rsidR="002E47F4" w:rsidRPr="00EB561B" w:rsidRDefault="002E47F4" w:rsidP="00C71032">
            <w:pPr>
              <w:rPr>
                <w:szCs w:val="22"/>
              </w:rPr>
            </w:pPr>
            <w:r w:rsidRPr="00EB561B">
              <w:rPr>
                <w:szCs w:val="22"/>
              </w:rPr>
              <w:t xml:space="preserve">INR </w:t>
            </w:r>
            <w:r w:rsidR="00253839" w:rsidRPr="00EB561B">
              <w:rPr>
                <w:szCs w:val="22"/>
              </w:rPr>
              <w:t>≤</w:t>
            </w:r>
            <w:r w:rsidRPr="00EB561B">
              <w:rPr>
                <w:szCs w:val="22"/>
              </w:rPr>
              <w:t>2.5 for DVT, PE and prevention of recurrence</w:t>
            </w:r>
          </w:p>
        </w:tc>
        <w:tc>
          <w:tcPr>
            <w:tcW w:w="1000" w:type="pct"/>
            <w:shd w:val="clear" w:color="auto" w:fill="auto"/>
            <w:vAlign w:val="center"/>
          </w:tcPr>
          <w:p w14:paraId="58EC3158" w14:textId="77777777" w:rsidR="002E47F4" w:rsidRPr="00EB561B" w:rsidRDefault="002E47F4" w:rsidP="00C71032">
            <w:pPr>
              <w:rPr>
                <w:szCs w:val="22"/>
              </w:rPr>
            </w:pPr>
            <w:r w:rsidRPr="00EB561B">
              <w:rPr>
                <w:szCs w:val="22"/>
              </w:rPr>
              <w:t>Discontinue warfarin and start apixaban when INR &lt;2</w:t>
            </w:r>
          </w:p>
        </w:tc>
        <w:tc>
          <w:tcPr>
            <w:tcW w:w="1000" w:type="pct"/>
            <w:shd w:val="clear" w:color="auto" w:fill="auto"/>
            <w:vAlign w:val="center"/>
          </w:tcPr>
          <w:p w14:paraId="782DE916" w14:textId="197370B1" w:rsidR="002E47F4" w:rsidRPr="00EB561B" w:rsidRDefault="002E47F4" w:rsidP="00C71032">
            <w:pPr>
              <w:rPr>
                <w:szCs w:val="22"/>
              </w:rPr>
            </w:pPr>
            <w:r w:rsidRPr="00EB561B">
              <w:rPr>
                <w:szCs w:val="22"/>
              </w:rPr>
              <w:t>Discontinue warfarin and start edoxaban when INR is ≤2.5</w:t>
            </w:r>
          </w:p>
        </w:tc>
        <w:tc>
          <w:tcPr>
            <w:tcW w:w="1000" w:type="pct"/>
            <w:vAlign w:val="center"/>
          </w:tcPr>
          <w:p w14:paraId="1453F552" w14:textId="77777777" w:rsidR="002E47F4" w:rsidRPr="00EB561B" w:rsidRDefault="002E47F4" w:rsidP="00C71032">
            <w:pPr>
              <w:rPr>
                <w:szCs w:val="22"/>
              </w:rPr>
            </w:pPr>
            <w:r w:rsidRPr="00EB561B">
              <w:rPr>
                <w:szCs w:val="22"/>
              </w:rPr>
              <w:t>N/A</w:t>
            </w:r>
          </w:p>
        </w:tc>
      </w:tr>
    </w:tbl>
    <w:p w14:paraId="644356DC" w14:textId="77777777" w:rsidR="002E47F4" w:rsidRPr="00EB561B" w:rsidRDefault="002E47F4" w:rsidP="002E47F4">
      <w:pPr>
        <w:rPr>
          <w:rFonts w:asciiTheme="majorHAnsi" w:hAnsiTheme="majorHAnsi" w:cstheme="majorHAnsi"/>
          <w:szCs w:val="22"/>
        </w:rPr>
      </w:pPr>
    </w:p>
    <w:p w14:paraId="7ECBB951" w14:textId="77777777" w:rsidR="002E47F4" w:rsidRDefault="002E47F4" w:rsidP="002E47F4">
      <w:pPr>
        <w:rPr>
          <w:rFonts w:asciiTheme="majorHAnsi" w:hAnsiTheme="majorHAnsi" w:cstheme="majorHAnsi"/>
          <w:szCs w:val="22"/>
        </w:rPr>
      </w:pPr>
    </w:p>
    <w:p w14:paraId="40EBD3FA" w14:textId="77777777" w:rsidR="000C5876" w:rsidRDefault="000C5876" w:rsidP="002E47F4">
      <w:pPr>
        <w:rPr>
          <w:rFonts w:asciiTheme="majorHAnsi" w:hAnsiTheme="majorHAnsi" w:cstheme="majorHAnsi"/>
          <w:szCs w:val="22"/>
        </w:rPr>
      </w:pPr>
    </w:p>
    <w:p w14:paraId="74D564B8" w14:textId="77777777" w:rsidR="000C5876" w:rsidRDefault="000C5876" w:rsidP="002E47F4">
      <w:pPr>
        <w:rPr>
          <w:rFonts w:asciiTheme="majorHAnsi" w:hAnsiTheme="majorHAnsi" w:cstheme="majorHAnsi"/>
          <w:szCs w:val="22"/>
        </w:rPr>
      </w:pPr>
    </w:p>
    <w:p w14:paraId="0B6759B9" w14:textId="77777777" w:rsidR="000C5876" w:rsidRDefault="000C5876" w:rsidP="002E47F4">
      <w:pPr>
        <w:rPr>
          <w:rFonts w:asciiTheme="majorHAnsi" w:hAnsiTheme="majorHAnsi" w:cstheme="majorHAnsi"/>
          <w:szCs w:val="22"/>
        </w:rPr>
      </w:pPr>
    </w:p>
    <w:p w14:paraId="1EC5993D" w14:textId="77777777" w:rsidR="000C5876" w:rsidRDefault="000C5876" w:rsidP="002E47F4">
      <w:pPr>
        <w:rPr>
          <w:rFonts w:asciiTheme="majorHAnsi" w:hAnsiTheme="majorHAnsi" w:cstheme="majorHAnsi"/>
          <w:szCs w:val="22"/>
        </w:rPr>
      </w:pPr>
    </w:p>
    <w:p w14:paraId="1F09B39E" w14:textId="77777777" w:rsidR="000C5876" w:rsidRDefault="000C5876" w:rsidP="002E47F4">
      <w:pPr>
        <w:rPr>
          <w:rFonts w:asciiTheme="majorHAnsi" w:hAnsiTheme="majorHAnsi" w:cstheme="majorHAnsi"/>
          <w:szCs w:val="22"/>
        </w:rPr>
      </w:pPr>
    </w:p>
    <w:p w14:paraId="57387465" w14:textId="77777777" w:rsidR="000C5876" w:rsidRDefault="000C5876" w:rsidP="002E47F4">
      <w:pPr>
        <w:rPr>
          <w:rFonts w:asciiTheme="majorHAnsi" w:hAnsiTheme="majorHAnsi" w:cstheme="majorHAnsi"/>
          <w:szCs w:val="22"/>
        </w:rPr>
      </w:pPr>
    </w:p>
    <w:p w14:paraId="1A608D3F" w14:textId="77777777" w:rsidR="000C5876" w:rsidRDefault="000C5876" w:rsidP="002E47F4">
      <w:pPr>
        <w:rPr>
          <w:rFonts w:asciiTheme="majorHAnsi" w:hAnsiTheme="majorHAnsi" w:cstheme="majorHAnsi"/>
          <w:szCs w:val="22"/>
        </w:rPr>
      </w:pPr>
    </w:p>
    <w:p w14:paraId="1B3C6FF3" w14:textId="77777777" w:rsidR="000C5876" w:rsidRDefault="000C5876" w:rsidP="002E47F4">
      <w:pPr>
        <w:rPr>
          <w:rFonts w:asciiTheme="majorHAnsi" w:hAnsiTheme="majorHAnsi" w:cstheme="majorHAnsi"/>
          <w:szCs w:val="22"/>
        </w:rPr>
      </w:pPr>
    </w:p>
    <w:p w14:paraId="560E284A" w14:textId="77777777" w:rsidR="000C5876" w:rsidRDefault="000C5876" w:rsidP="002E47F4">
      <w:pPr>
        <w:rPr>
          <w:rFonts w:asciiTheme="majorHAnsi" w:hAnsiTheme="majorHAnsi" w:cstheme="majorHAnsi"/>
          <w:szCs w:val="22"/>
        </w:rPr>
      </w:pPr>
    </w:p>
    <w:p w14:paraId="4FB7195A" w14:textId="77777777" w:rsidR="000C5876" w:rsidRDefault="000C5876" w:rsidP="002E47F4">
      <w:pPr>
        <w:rPr>
          <w:rFonts w:asciiTheme="majorHAnsi" w:hAnsiTheme="majorHAnsi" w:cstheme="majorHAnsi"/>
          <w:szCs w:val="22"/>
        </w:rPr>
      </w:pPr>
    </w:p>
    <w:p w14:paraId="6EC63B3F" w14:textId="77777777" w:rsidR="000C5876" w:rsidRDefault="000C5876" w:rsidP="002E47F4">
      <w:pPr>
        <w:rPr>
          <w:rFonts w:asciiTheme="majorHAnsi" w:hAnsiTheme="majorHAnsi" w:cstheme="majorHAnsi"/>
          <w:szCs w:val="22"/>
        </w:rPr>
      </w:pPr>
    </w:p>
    <w:p w14:paraId="3935EF4E" w14:textId="77777777" w:rsidR="000C5876" w:rsidRDefault="000C5876" w:rsidP="002E47F4">
      <w:pPr>
        <w:rPr>
          <w:rFonts w:asciiTheme="majorHAnsi" w:hAnsiTheme="majorHAnsi" w:cstheme="majorHAnsi"/>
          <w:szCs w:val="22"/>
        </w:rPr>
      </w:pPr>
    </w:p>
    <w:p w14:paraId="34A00C22" w14:textId="77777777" w:rsidR="000C5876" w:rsidRDefault="000C5876" w:rsidP="002E47F4">
      <w:pPr>
        <w:rPr>
          <w:rFonts w:asciiTheme="majorHAnsi" w:hAnsiTheme="majorHAnsi" w:cstheme="majorHAnsi"/>
          <w:szCs w:val="22"/>
        </w:rPr>
      </w:pPr>
    </w:p>
    <w:p w14:paraId="5E062594" w14:textId="77777777" w:rsidR="000C5876" w:rsidRDefault="000C5876" w:rsidP="002E47F4">
      <w:pPr>
        <w:rPr>
          <w:rFonts w:asciiTheme="majorHAnsi" w:hAnsiTheme="majorHAnsi" w:cstheme="majorHAnsi"/>
          <w:szCs w:val="22"/>
        </w:rPr>
      </w:pPr>
    </w:p>
    <w:p w14:paraId="4532201A" w14:textId="77777777" w:rsidR="000C5876" w:rsidRDefault="000C5876" w:rsidP="002E47F4">
      <w:pPr>
        <w:rPr>
          <w:rFonts w:asciiTheme="majorHAnsi" w:hAnsiTheme="majorHAnsi" w:cstheme="majorHAnsi"/>
          <w:szCs w:val="22"/>
        </w:rPr>
      </w:pPr>
    </w:p>
    <w:p w14:paraId="3CAEB85C" w14:textId="77777777" w:rsidR="000C5876" w:rsidRDefault="000C5876" w:rsidP="002E47F4">
      <w:pPr>
        <w:rPr>
          <w:rFonts w:asciiTheme="majorHAnsi" w:hAnsiTheme="majorHAnsi" w:cstheme="majorHAnsi"/>
          <w:szCs w:val="22"/>
        </w:rPr>
      </w:pPr>
    </w:p>
    <w:p w14:paraId="31B6942B" w14:textId="77777777" w:rsidR="000C5876" w:rsidRDefault="000C5876" w:rsidP="002E47F4">
      <w:pPr>
        <w:rPr>
          <w:rFonts w:asciiTheme="majorHAnsi" w:hAnsiTheme="majorHAnsi" w:cstheme="majorHAnsi"/>
          <w:szCs w:val="22"/>
        </w:rPr>
      </w:pPr>
    </w:p>
    <w:p w14:paraId="3D2291F9" w14:textId="77777777" w:rsidR="000C5876" w:rsidRDefault="000C5876" w:rsidP="002E47F4">
      <w:pPr>
        <w:rPr>
          <w:rFonts w:asciiTheme="majorHAnsi" w:hAnsiTheme="majorHAnsi" w:cstheme="majorHAnsi"/>
          <w:szCs w:val="22"/>
        </w:rPr>
      </w:pPr>
    </w:p>
    <w:p w14:paraId="20C5EA98" w14:textId="77777777" w:rsidR="000C5876" w:rsidRDefault="000C5876" w:rsidP="002E47F4">
      <w:pPr>
        <w:rPr>
          <w:rFonts w:asciiTheme="majorHAnsi" w:hAnsiTheme="majorHAnsi" w:cstheme="majorHAnsi"/>
          <w:szCs w:val="22"/>
        </w:rPr>
      </w:pPr>
    </w:p>
    <w:p w14:paraId="2D11FA4E" w14:textId="77777777" w:rsidR="000C5876" w:rsidRDefault="000C5876" w:rsidP="002E47F4">
      <w:pPr>
        <w:rPr>
          <w:rFonts w:asciiTheme="majorHAnsi" w:hAnsiTheme="majorHAnsi" w:cstheme="majorHAnsi"/>
          <w:szCs w:val="22"/>
        </w:rPr>
      </w:pPr>
    </w:p>
    <w:p w14:paraId="7D0C5C29" w14:textId="77777777" w:rsidR="000C5876" w:rsidRDefault="000C5876" w:rsidP="002E47F4">
      <w:pPr>
        <w:rPr>
          <w:rFonts w:asciiTheme="majorHAnsi" w:hAnsiTheme="majorHAnsi" w:cstheme="majorHAnsi"/>
          <w:szCs w:val="22"/>
        </w:rPr>
      </w:pPr>
    </w:p>
    <w:p w14:paraId="26CFC3D4" w14:textId="77777777" w:rsidR="000C5876" w:rsidRDefault="000C5876" w:rsidP="002E47F4">
      <w:pPr>
        <w:rPr>
          <w:rFonts w:asciiTheme="majorHAnsi" w:hAnsiTheme="majorHAnsi" w:cstheme="majorHAnsi"/>
          <w:szCs w:val="22"/>
        </w:rPr>
      </w:pPr>
    </w:p>
    <w:tbl>
      <w:tblPr>
        <w:tblStyle w:val="TableGrid"/>
        <w:tblW w:w="5000" w:type="pct"/>
        <w:jc w:val="center"/>
        <w:tblLook w:val="04A0" w:firstRow="1" w:lastRow="0" w:firstColumn="1" w:lastColumn="0" w:noHBand="0" w:noVBand="1"/>
      </w:tblPr>
      <w:tblGrid>
        <w:gridCol w:w="2262"/>
        <w:gridCol w:w="7473"/>
      </w:tblGrid>
      <w:tr w:rsidR="00B62BFD" w:rsidRPr="00EB561B" w14:paraId="59FBD08D" w14:textId="77777777" w:rsidTr="00B62BFD">
        <w:trPr>
          <w:cantSplit/>
          <w:jc w:val="center"/>
        </w:trPr>
        <w:tc>
          <w:tcPr>
            <w:tcW w:w="5000" w:type="pct"/>
            <w:gridSpan w:val="2"/>
            <w:shd w:val="clear" w:color="auto" w:fill="F2F2F2" w:themeFill="background1" w:themeFillShade="F2"/>
            <w:vAlign w:val="center"/>
          </w:tcPr>
          <w:p w14:paraId="2C01BEA7" w14:textId="2620A668" w:rsidR="00B62BFD" w:rsidRPr="00EB561B" w:rsidRDefault="00B62BFD" w:rsidP="00B62BFD">
            <w:pPr>
              <w:pStyle w:val="Heading2"/>
              <w:rPr>
                <w:szCs w:val="22"/>
              </w:rPr>
            </w:pPr>
            <w:bookmarkStart w:id="82" w:name="_Toc96868266"/>
            <w:bookmarkStart w:id="83" w:name="_Toc104910457"/>
            <w:bookmarkStart w:id="84" w:name="_Toc106708904"/>
            <w:bookmarkStart w:id="85" w:name="_Hlk102141028"/>
            <w:r w:rsidRPr="00367CC8">
              <w:t>Conversion from DOAC to warfarin</w:t>
            </w:r>
            <w:bookmarkEnd w:id="82"/>
            <w:bookmarkEnd w:id="83"/>
            <w:bookmarkEnd w:id="84"/>
          </w:p>
        </w:tc>
      </w:tr>
      <w:tr w:rsidR="000828CD" w:rsidRPr="00EB561B" w14:paraId="3FEF7E89" w14:textId="77777777" w:rsidTr="000828CD">
        <w:trPr>
          <w:cantSplit/>
          <w:jc w:val="center"/>
        </w:trPr>
        <w:tc>
          <w:tcPr>
            <w:tcW w:w="1162" w:type="pct"/>
            <w:shd w:val="clear" w:color="auto" w:fill="DBE5F1" w:themeFill="accent1" w:themeFillTint="33"/>
            <w:vAlign w:val="center"/>
          </w:tcPr>
          <w:p w14:paraId="6236F2BA" w14:textId="3E723E76" w:rsidR="000828CD" w:rsidRPr="000828CD" w:rsidRDefault="000828CD" w:rsidP="000828CD">
            <w:pPr>
              <w:rPr>
                <w:b/>
                <w:bCs/>
              </w:rPr>
            </w:pPr>
            <w:r w:rsidRPr="000828CD">
              <w:rPr>
                <w:b/>
                <w:bCs/>
              </w:rPr>
              <w:t>Dabigatran (Pradaxa</w:t>
            </w:r>
            <w:r w:rsidRPr="000828CD">
              <w:rPr>
                <w:b/>
                <w:bCs/>
              </w:rPr>
              <w:sym w:font="Symbol" w:char="F0D2"/>
            </w:r>
            <w:r w:rsidRPr="000828CD">
              <w:rPr>
                <w:b/>
                <w:bCs/>
              </w:rPr>
              <w:t>)</w:t>
            </w:r>
            <w:r w:rsidRPr="000828CD">
              <w:rPr>
                <w:b/>
                <w:bCs/>
                <w:vertAlign w:val="superscript"/>
              </w:rPr>
              <w:t>1</w:t>
            </w:r>
          </w:p>
        </w:tc>
        <w:tc>
          <w:tcPr>
            <w:tcW w:w="3838" w:type="pct"/>
            <w:shd w:val="clear" w:color="auto" w:fill="auto"/>
            <w:vAlign w:val="center"/>
          </w:tcPr>
          <w:p w14:paraId="2AD6CC1D" w14:textId="77777777" w:rsidR="000828CD" w:rsidRPr="00EB561B" w:rsidRDefault="000828CD" w:rsidP="000828CD">
            <w:pPr>
              <w:rPr>
                <w:szCs w:val="22"/>
              </w:rPr>
            </w:pPr>
            <w:r w:rsidRPr="00EB561B">
              <w:rPr>
                <w:szCs w:val="22"/>
              </w:rPr>
              <w:t>Adjust the starting time of the warfarin based on CrCl as follows:</w:t>
            </w:r>
          </w:p>
          <w:p w14:paraId="0D614C94" w14:textId="77777777" w:rsidR="000828CD" w:rsidRPr="00EB561B" w:rsidRDefault="000828CD" w:rsidP="000828CD">
            <w:pPr>
              <w:rPr>
                <w:szCs w:val="22"/>
              </w:rPr>
            </w:pPr>
            <w:r w:rsidRPr="00EB561B">
              <w:rPr>
                <w:szCs w:val="22"/>
              </w:rPr>
              <w:t>CrCl ≥ 50mL/min, start warfarin 3 days before discontinuing dabigatran etexilate</w:t>
            </w:r>
          </w:p>
          <w:p w14:paraId="68C38DA6" w14:textId="77777777" w:rsidR="000828CD" w:rsidRPr="00EB561B" w:rsidRDefault="000828CD" w:rsidP="000828CD">
            <w:pPr>
              <w:rPr>
                <w:szCs w:val="22"/>
              </w:rPr>
            </w:pPr>
            <w:r w:rsidRPr="00EB561B">
              <w:rPr>
                <w:szCs w:val="22"/>
              </w:rPr>
              <w:t>CrCl ≥30 - &lt;50 mL/min, start warfarin 2 days before discontinuing dabigatran etexilate</w:t>
            </w:r>
          </w:p>
          <w:p w14:paraId="710AA1D6" w14:textId="68473E9B" w:rsidR="000828CD" w:rsidRPr="00EB561B" w:rsidRDefault="000828CD" w:rsidP="000828CD">
            <w:pPr>
              <w:rPr>
                <w:szCs w:val="22"/>
              </w:rPr>
            </w:pPr>
            <w:r w:rsidRPr="00EB561B">
              <w:rPr>
                <w:szCs w:val="22"/>
              </w:rPr>
              <w:t>As dabigatran can increase INR, the INR will better reflect warfarin's effect only after dabigatran has been stopped for at least 2 days. Until then, INR values should be interpreted with caution</w:t>
            </w:r>
          </w:p>
        </w:tc>
      </w:tr>
      <w:tr w:rsidR="000828CD" w:rsidRPr="00EB561B" w14:paraId="63B9225D" w14:textId="77777777" w:rsidTr="00A74AF3">
        <w:trPr>
          <w:cantSplit/>
          <w:jc w:val="center"/>
        </w:trPr>
        <w:tc>
          <w:tcPr>
            <w:tcW w:w="1162" w:type="pct"/>
            <w:shd w:val="clear" w:color="auto" w:fill="F2DBDB" w:themeFill="accent2" w:themeFillTint="33"/>
            <w:vAlign w:val="center"/>
          </w:tcPr>
          <w:p w14:paraId="3E6EE1D6" w14:textId="3FD3190C" w:rsidR="000828CD" w:rsidRPr="000828CD" w:rsidRDefault="000828CD" w:rsidP="000828CD">
            <w:pPr>
              <w:rPr>
                <w:b/>
                <w:bCs/>
              </w:rPr>
            </w:pPr>
            <w:r w:rsidRPr="000828CD">
              <w:rPr>
                <w:b/>
                <w:bCs/>
              </w:rPr>
              <w:t>Rivaroxaban (Xarelto</w:t>
            </w:r>
            <w:r w:rsidRPr="000828CD">
              <w:rPr>
                <w:b/>
                <w:bCs/>
              </w:rPr>
              <w:sym w:font="Symbol" w:char="F0D2"/>
            </w:r>
            <w:r w:rsidRPr="000828CD">
              <w:rPr>
                <w:rFonts w:cs="Arial"/>
                <w:b/>
                <w:bCs/>
              </w:rPr>
              <w:t>▼</w:t>
            </w:r>
            <w:r w:rsidRPr="000828CD">
              <w:rPr>
                <w:b/>
                <w:bCs/>
              </w:rPr>
              <w:t>)</w:t>
            </w:r>
            <w:r w:rsidRPr="000828CD">
              <w:rPr>
                <w:b/>
                <w:bCs/>
                <w:vertAlign w:val="superscript"/>
              </w:rPr>
              <w:t>2</w:t>
            </w:r>
          </w:p>
        </w:tc>
        <w:tc>
          <w:tcPr>
            <w:tcW w:w="3838" w:type="pct"/>
            <w:shd w:val="clear" w:color="auto" w:fill="auto"/>
            <w:vAlign w:val="center"/>
          </w:tcPr>
          <w:p w14:paraId="1D6EC2F5" w14:textId="77777777" w:rsidR="000828CD" w:rsidRPr="00EB561B" w:rsidRDefault="000828CD" w:rsidP="000828CD">
            <w:pPr>
              <w:rPr>
                <w:szCs w:val="22"/>
              </w:rPr>
            </w:pPr>
            <w:r w:rsidRPr="00EB561B">
              <w:rPr>
                <w:szCs w:val="22"/>
              </w:rPr>
              <w:t xml:space="preserve">Warfarin should be given concurrently until the INR is ≥ 2.0 </w:t>
            </w:r>
          </w:p>
          <w:p w14:paraId="75A23EF1" w14:textId="77777777" w:rsidR="000828CD" w:rsidRPr="00EB561B" w:rsidRDefault="000828CD" w:rsidP="000828CD">
            <w:pPr>
              <w:rPr>
                <w:szCs w:val="22"/>
              </w:rPr>
            </w:pPr>
            <w:r w:rsidRPr="00EB561B">
              <w:rPr>
                <w:szCs w:val="22"/>
              </w:rPr>
              <w:t xml:space="preserve">For the first two days of the conversion period, standard initial dosing of warfarin should be used followed by warfarin dosing, as guided by INR testing </w:t>
            </w:r>
          </w:p>
          <w:p w14:paraId="2A4D2DE6" w14:textId="77777777" w:rsidR="000828CD" w:rsidRPr="00EB561B" w:rsidRDefault="000828CD" w:rsidP="000828CD">
            <w:pPr>
              <w:rPr>
                <w:szCs w:val="22"/>
              </w:rPr>
            </w:pPr>
            <w:r w:rsidRPr="00EB561B">
              <w:rPr>
                <w:szCs w:val="22"/>
              </w:rPr>
              <w:t xml:space="preserve">While patients are on both rivaroxaban and warfarin the INR should not be tested earlier than 24 hours after the previous dose but prior to the next dose of rivaroxaban </w:t>
            </w:r>
          </w:p>
          <w:p w14:paraId="3EDA9CAB" w14:textId="3FE272E3" w:rsidR="000828CD" w:rsidRPr="00EB561B" w:rsidRDefault="000828CD" w:rsidP="000828CD">
            <w:pPr>
              <w:rPr>
                <w:szCs w:val="22"/>
              </w:rPr>
            </w:pPr>
            <w:r w:rsidRPr="00EB561B">
              <w:rPr>
                <w:szCs w:val="22"/>
              </w:rPr>
              <w:t>Once rivaroxaban is discontinued INR testing may be done reliably at least 24 hours after the last dose</w:t>
            </w:r>
          </w:p>
        </w:tc>
      </w:tr>
      <w:tr w:rsidR="000828CD" w:rsidRPr="00EB561B" w14:paraId="57AC363D" w14:textId="77777777" w:rsidTr="00D36B41">
        <w:trPr>
          <w:cantSplit/>
          <w:jc w:val="center"/>
        </w:trPr>
        <w:tc>
          <w:tcPr>
            <w:tcW w:w="1162" w:type="pct"/>
            <w:shd w:val="clear" w:color="auto" w:fill="E5DFEC" w:themeFill="accent4" w:themeFillTint="33"/>
            <w:vAlign w:val="center"/>
          </w:tcPr>
          <w:p w14:paraId="21E61FAD" w14:textId="2074B595" w:rsidR="000828CD" w:rsidRPr="000828CD" w:rsidRDefault="000828CD" w:rsidP="000828CD">
            <w:pPr>
              <w:rPr>
                <w:b/>
                <w:bCs/>
              </w:rPr>
            </w:pPr>
            <w:r w:rsidRPr="000828CD">
              <w:rPr>
                <w:b/>
                <w:bCs/>
              </w:rPr>
              <w:t>Apixaban (Eliquis</w:t>
            </w:r>
            <w:r w:rsidRPr="000828CD">
              <w:rPr>
                <w:b/>
                <w:bCs/>
              </w:rPr>
              <w:sym w:font="Symbol" w:char="F0D2"/>
            </w:r>
            <w:r w:rsidRPr="000828CD">
              <w:rPr>
                <w:b/>
                <w:bCs/>
              </w:rPr>
              <w:t>)</w:t>
            </w:r>
            <w:r w:rsidRPr="000828CD">
              <w:rPr>
                <w:b/>
                <w:bCs/>
                <w:vertAlign w:val="superscript"/>
              </w:rPr>
              <w:t>3</w:t>
            </w:r>
          </w:p>
        </w:tc>
        <w:tc>
          <w:tcPr>
            <w:tcW w:w="3838" w:type="pct"/>
            <w:shd w:val="clear" w:color="auto" w:fill="auto"/>
            <w:vAlign w:val="center"/>
          </w:tcPr>
          <w:p w14:paraId="69AD7008" w14:textId="6DDD7555" w:rsidR="000828CD" w:rsidRPr="00EB561B" w:rsidRDefault="000828CD" w:rsidP="000828CD">
            <w:pPr>
              <w:rPr>
                <w:szCs w:val="22"/>
              </w:rPr>
            </w:pPr>
            <w:r w:rsidRPr="00EB561B">
              <w:rPr>
                <w:szCs w:val="22"/>
              </w:rPr>
              <w:t xml:space="preserve">Continue administration of apixaban for at least 2 days after beginning warfarin therapy </w:t>
            </w:r>
          </w:p>
          <w:p w14:paraId="1F9A1B7E" w14:textId="63EB2893" w:rsidR="000828CD" w:rsidRPr="000828CD" w:rsidRDefault="000828CD" w:rsidP="000828CD">
            <w:pPr>
              <w:rPr>
                <w:szCs w:val="22"/>
              </w:rPr>
            </w:pPr>
            <w:r w:rsidRPr="00EB561B">
              <w:rPr>
                <w:szCs w:val="22"/>
              </w:rPr>
              <w:t>After 2 days of co-administration of apixaban with warfarin therapy, obtain an INR prior to the next scheduled dose of apixaban</w:t>
            </w:r>
          </w:p>
          <w:p w14:paraId="1459E4D3" w14:textId="6AD1A956" w:rsidR="000828CD" w:rsidRPr="00EB561B" w:rsidRDefault="000828CD" w:rsidP="000828CD">
            <w:pPr>
              <w:rPr>
                <w:szCs w:val="22"/>
              </w:rPr>
            </w:pPr>
            <w:r w:rsidRPr="00EB561B">
              <w:rPr>
                <w:szCs w:val="22"/>
              </w:rPr>
              <w:t>Continue co-administration of apixaban and warfarin therapy until the INR is ≥2.0</w:t>
            </w:r>
          </w:p>
        </w:tc>
      </w:tr>
      <w:tr w:rsidR="000828CD" w:rsidRPr="00EB561B" w14:paraId="0D0E8E50" w14:textId="77777777" w:rsidTr="000828CD">
        <w:trPr>
          <w:cantSplit/>
          <w:trHeight w:val="3380"/>
          <w:jc w:val="center"/>
        </w:trPr>
        <w:tc>
          <w:tcPr>
            <w:tcW w:w="1162" w:type="pct"/>
            <w:shd w:val="clear" w:color="auto" w:fill="FDE9D9" w:themeFill="accent6" w:themeFillTint="33"/>
            <w:vAlign w:val="center"/>
          </w:tcPr>
          <w:p w14:paraId="489E1DD7" w14:textId="3866CEE6" w:rsidR="000828CD" w:rsidRPr="000828CD" w:rsidRDefault="000828CD" w:rsidP="000828CD">
            <w:pPr>
              <w:rPr>
                <w:b/>
                <w:bCs/>
              </w:rPr>
            </w:pPr>
            <w:r w:rsidRPr="000828CD">
              <w:rPr>
                <w:b/>
                <w:bCs/>
              </w:rPr>
              <w:t>Edoxaban (Lixiana</w:t>
            </w:r>
            <w:r w:rsidRPr="000828CD">
              <w:rPr>
                <w:b/>
                <w:bCs/>
              </w:rPr>
              <w:sym w:font="Symbol" w:char="F0D2"/>
            </w:r>
            <w:r w:rsidRPr="000828CD">
              <w:rPr>
                <w:b/>
                <w:bCs/>
              </w:rPr>
              <w:t>)</w:t>
            </w:r>
            <w:r w:rsidRPr="000828CD">
              <w:rPr>
                <w:b/>
                <w:bCs/>
                <w:vertAlign w:val="superscript"/>
              </w:rPr>
              <w:t>4</w:t>
            </w:r>
          </w:p>
        </w:tc>
        <w:tc>
          <w:tcPr>
            <w:tcW w:w="3838" w:type="pct"/>
            <w:shd w:val="clear" w:color="auto" w:fill="auto"/>
            <w:vAlign w:val="center"/>
          </w:tcPr>
          <w:p w14:paraId="3A92B01B" w14:textId="4F80826B" w:rsidR="000828CD" w:rsidRPr="00EB561B" w:rsidRDefault="000828CD" w:rsidP="000828CD">
            <w:pPr>
              <w:rPr>
                <w:szCs w:val="22"/>
              </w:rPr>
            </w:pPr>
            <w:r w:rsidRPr="00EB561B">
              <w:rPr>
                <w:szCs w:val="22"/>
              </w:rPr>
              <w:t>60mg dose: Administer 30mg + warfarin</w:t>
            </w:r>
          </w:p>
          <w:p w14:paraId="0B09F6FD" w14:textId="101815BF" w:rsidR="000828CD" w:rsidRPr="00EB561B" w:rsidRDefault="000828CD" w:rsidP="000828CD">
            <w:pPr>
              <w:rPr>
                <w:szCs w:val="22"/>
              </w:rPr>
            </w:pPr>
            <w:r w:rsidRPr="00EB561B">
              <w:rPr>
                <w:szCs w:val="22"/>
              </w:rPr>
              <w:t>30mg dose: Administer 15mg + warfarin</w:t>
            </w:r>
          </w:p>
          <w:p w14:paraId="1111618F" w14:textId="0706EFD2" w:rsidR="000828CD" w:rsidRPr="00EB561B" w:rsidRDefault="000828CD" w:rsidP="000828CD">
            <w:pPr>
              <w:rPr>
                <w:szCs w:val="22"/>
              </w:rPr>
            </w:pPr>
            <w:r w:rsidRPr="00EB561B">
              <w:rPr>
                <w:szCs w:val="22"/>
              </w:rPr>
              <w:t xml:space="preserve">Do not take loading dose of warfarin in order to promptly achieve INR 2-3 </w:t>
            </w:r>
          </w:p>
          <w:p w14:paraId="246B8D96" w14:textId="302AFDF1" w:rsidR="000828CD" w:rsidRPr="00EB561B" w:rsidRDefault="000828CD" w:rsidP="000828CD">
            <w:pPr>
              <w:rPr>
                <w:szCs w:val="22"/>
              </w:rPr>
            </w:pPr>
            <w:r w:rsidRPr="00EB561B">
              <w:rPr>
                <w:szCs w:val="22"/>
              </w:rPr>
              <w:t>Take account of maintenance dose of warfarin and if patient was previously taking warfarin or use validated INR driven warfarin treatment algorithm</w:t>
            </w:r>
          </w:p>
          <w:p w14:paraId="74EB970C" w14:textId="4D2380AB" w:rsidR="000828CD" w:rsidRPr="00EB561B" w:rsidRDefault="000828CD" w:rsidP="000828CD">
            <w:pPr>
              <w:rPr>
                <w:szCs w:val="22"/>
              </w:rPr>
            </w:pPr>
            <w:r w:rsidRPr="00EB561B">
              <w:rPr>
                <w:szCs w:val="22"/>
              </w:rPr>
              <w:t>When INR ≥2, discontinue edoxaban.</w:t>
            </w:r>
            <w:r>
              <w:rPr>
                <w:szCs w:val="22"/>
              </w:rPr>
              <w:t xml:space="preserve"> </w:t>
            </w:r>
            <w:r w:rsidRPr="00EB561B">
              <w:rPr>
                <w:szCs w:val="22"/>
              </w:rPr>
              <w:t>Most patients should be able to achieve INR ≥2 within 14 days of edoxaban + warfarin.</w:t>
            </w:r>
            <w:r>
              <w:rPr>
                <w:szCs w:val="22"/>
              </w:rPr>
              <w:t xml:space="preserve"> </w:t>
            </w:r>
            <w:r w:rsidRPr="00EB561B">
              <w:rPr>
                <w:szCs w:val="22"/>
              </w:rPr>
              <w:t>After 14 days discontinue edoxaban and titrate warfarin to achieve INR 2-3</w:t>
            </w:r>
          </w:p>
        </w:tc>
      </w:tr>
    </w:tbl>
    <w:p w14:paraId="7DE619EB" w14:textId="77777777" w:rsidR="00B62BFD" w:rsidRDefault="00B62BFD"/>
    <w:bookmarkEnd w:id="85"/>
    <w:p w14:paraId="6C891BB6" w14:textId="77777777" w:rsidR="002E47F4" w:rsidRPr="00EB561B" w:rsidRDefault="002E47F4" w:rsidP="002E47F4">
      <w:pPr>
        <w:rPr>
          <w:rFonts w:asciiTheme="majorHAnsi" w:hAnsiTheme="majorHAnsi" w:cstheme="majorHAnsi"/>
          <w:b/>
          <w:szCs w:val="22"/>
        </w:rPr>
      </w:pPr>
    </w:p>
    <w:p w14:paraId="39DC88FE" w14:textId="77777777" w:rsidR="00C037BC" w:rsidRPr="00EB561B" w:rsidRDefault="00C037BC">
      <w:pPr>
        <w:rPr>
          <w:rFonts w:asciiTheme="majorHAnsi" w:hAnsiTheme="majorHAnsi" w:cstheme="majorHAnsi"/>
          <w:b/>
          <w:szCs w:val="22"/>
        </w:rPr>
      </w:pPr>
      <w:r w:rsidRPr="00EB561B">
        <w:rPr>
          <w:rFonts w:asciiTheme="majorHAnsi" w:hAnsiTheme="majorHAnsi" w:cstheme="majorHAnsi"/>
          <w:b/>
          <w:szCs w:val="22"/>
        </w:rPr>
        <w:br w:type="page"/>
      </w:r>
    </w:p>
    <w:tbl>
      <w:tblPr>
        <w:tblStyle w:val="TableGrid"/>
        <w:tblW w:w="0" w:type="auto"/>
        <w:tblLook w:val="04A0" w:firstRow="1" w:lastRow="0" w:firstColumn="1" w:lastColumn="0" w:noHBand="0" w:noVBand="1"/>
      </w:tblPr>
      <w:tblGrid>
        <w:gridCol w:w="2547"/>
        <w:gridCol w:w="6918"/>
      </w:tblGrid>
      <w:tr w:rsidR="003E034D" w:rsidRPr="00EB561B" w14:paraId="23944BDB" w14:textId="77777777" w:rsidTr="00A14051">
        <w:trPr>
          <w:trHeight w:val="406"/>
        </w:trPr>
        <w:tc>
          <w:tcPr>
            <w:tcW w:w="9465" w:type="dxa"/>
            <w:gridSpan w:val="2"/>
            <w:shd w:val="clear" w:color="auto" w:fill="F2F2F2" w:themeFill="background1" w:themeFillShade="F2"/>
            <w:vAlign w:val="center"/>
          </w:tcPr>
          <w:p w14:paraId="2424671B" w14:textId="48967602" w:rsidR="003E034D" w:rsidRPr="00EB561B" w:rsidRDefault="003E034D" w:rsidP="000828CD">
            <w:pPr>
              <w:pStyle w:val="Heading2"/>
            </w:pPr>
            <w:bookmarkStart w:id="86" w:name="_Toc104910458"/>
            <w:bookmarkStart w:id="87" w:name="_Toc106708905"/>
            <w:r w:rsidRPr="00EB561B">
              <w:lastRenderedPageBreak/>
              <w:t xml:space="preserve">Conversion from DOAC </w:t>
            </w:r>
            <w:r w:rsidRPr="000828CD">
              <w:t>to</w:t>
            </w:r>
            <w:r w:rsidRPr="00EB561B">
              <w:t xml:space="preserve"> edoxaban</w:t>
            </w:r>
            <w:bookmarkEnd w:id="86"/>
            <w:bookmarkEnd w:id="87"/>
          </w:p>
        </w:tc>
      </w:tr>
      <w:tr w:rsidR="000828CD" w:rsidRPr="00EB561B" w14:paraId="164F2238" w14:textId="77777777" w:rsidTr="00246F02">
        <w:trPr>
          <w:trHeight w:val="406"/>
        </w:trPr>
        <w:tc>
          <w:tcPr>
            <w:tcW w:w="2547" w:type="dxa"/>
            <w:shd w:val="clear" w:color="auto" w:fill="DBE5F1" w:themeFill="accent1" w:themeFillTint="33"/>
            <w:vAlign w:val="center"/>
          </w:tcPr>
          <w:p w14:paraId="79CE6094" w14:textId="6C4A7DBF" w:rsidR="000828CD" w:rsidRPr="00EB561B" w:rsidRDefault="000828CD" w:rsidP="000828CD">
            <w:r w:rsidRPr="000828CD">
              <w:rPr>
                <w:b/>
                <w:bCs/>
              </w:rPr>
              <w:t>Dabigatran (Pradaxa</w:t>
            </w:r>
            <w:r w:rsidRPr="000828CD">
              <w:rPr>
                <w:b/>
                <w:bCs/>
              </w:rPr>
              <w:sym w:font="Symbol" w:char="F0D2"/>
            </w:r>
            <w:r w:rsidRPr="000828CD">
              <w:rPr>
                <w:b/>
                <w:bCs/>
              </w:rPr>
              <w:t>)</w:t>
            </w:r>
            <w:r w:rsidRPr="000828CD">
              <w:rPr>
                <w:b/>
                <w:bCs/>
                <w:vertAlign w:val="superscript"/>
              </w:rPr>
              <w:t>1</w:t>
            </w:r>
          </w:p>
        </w:tc>
        <w:tc>
          <w:tcPr>
            <w:tcW w:w="6918" w:type="dxa"/>
            <w:shd w:val="clear" w:color="auto" w:fill="auto"/>
            <w:vAlign w:val="center"/>
          </w:tcPr>
          <w:p w14:paraId="7BF3BFE9" w14:textId="77777777" w:rsidR="000828CD" w:rsidRPr="00EB561B" w:rsidRDefault="000828CD" w:rsidP="000828CD">
            <w:pPr>
              <w:rPr>
                <w:bCs/>
                <w:vertAlign w:val="superscript"/>
              </w:rPr>
            </w:pPr>
            <w:r w:rsidRPr="00EB561B">
              <w:rPr>
                <w:bCs/>
              </w:rPr>
              <w:t>Stop dabigatran and start edoxaban when the next dose of dabigatran would have been due</w:t>
            </w:r>
            <w:r w:rsidRPr="00EB561B">
              <w:rPr>
                <w:bCs/>
                <w:vertAlign w:val="superscript"/>
              </w:rPr>
              <w:t>4,21</w:t>
            </w:r>
          </w:p>
          <w:p w14:paraId="16675C5D" w14:textId="511650D8" w:rsidR="000828CD" w:rsidRPr="00EB561B" w:rsidRDefault="000828CD" w:rsidP="000828CD">
            <w:r w:rsidRPr="00EB561B">
              <w:rPr>
                <w:bCs/>
              </w:rPr>
              <w:t>If higher therapeutic plasma concentrations are expected, e.g. impaired renal function, a longer interval between dabigatran stopping and edoxaban starting is recommended</w:t>
            </w:r>
            <w:r w:rsidRPr="00EB561B">
              <w:rPr>
                <w:bCs/>
                <w:vertAlign w:val="superscript"/>
              </w:rPr>
              <w:t xml:space="preserve">21 </w:t>
            </w:r>
          </w:p>
        </w:tc>
      </w:tr>
      <w:tr w:rsidR="000828CD" w:rsidRPr="00EB561B" w14:paraId="68CA02AC" w14:textId="77777777" w:rsidTr="00246F02">
        <w:trPr>
          <w:trHeight w:val="406"/>
        </w:trPr>
        <w:tc>
          <w:tcPr>
            <w:tcW w:w="2547" w:type="dxa"/>
            <w:shd w:val="clear" w:color="auto" w:fill="F2DBDB" w:themeFill="accent2" w:themeFillTint="33"/>
            <w:vAlign w:val="center"/>
          </w:tcPr>
          <w:p w14:paraId="6C1A3DBF" w14:textId="00C70C31" w:rsidR="000828CD" w:rsidRPr="00EB561B" w:rsidRDefault="000828CD" w:rsidP="000828CD">
            <w:r w:rsidRPr="000828CD">
              <w:rPr>
                <w:b/>
                <w:bCs/>
              </w:rPr>
              <w:t>Rivaroxaban (Xarelto</w:t>
            </w:r>
            <w:r w:rsidRPr="000828CD">
              <w:rPr>
                <w:b/>
                <w:bCs/>
              </w:rPr>
              <w:sym w:font="Symbol" w:char="F0D2"/>
            </w:r>
            <w:r w:rsidRPr="000828CD">
              <w:rPr>
                <w:rFonts w:cs="Arial"/>
                <w:b/>
                <w:bCs/>
              </w:rPr>
              <w:t>▼</w:t>
            </w:r>
            <w:r w:rsidRPr="000828CD">
              <w:rPr>
                <w:b/>
                <w:bCs/>
              </w:rPr>
              <w:t>)</w:t>
            </w:r>
            <w:r w:rsidRPr="000828CD">
              <w:rPr>
                <w:b/>
                <w:bCs/>
                <w:vertAlign w:val="superscript"/>
              </w:rPr>
              <w:t>2</w:t>
            </w:r>
          </w:p>
        </w:tc>
        <w:tc>
          <w:tcPr>
            <w:tcW w:w="6918" w:type="dxa"/>
            <w:shd w:val="clear" w:color="auto" w:fill="auto"/>
            <w:vAlign w:val="center"/>
          </w:tcPr>
          <w:p w14:paraId="6667E88F" w14:textId="77777777" w:rsidR="000828CD" w:rsidRPr="00EB561B" w:rsidRDefault="000828CD" w:rsidP="000828CD">
            <w:pPr>
              <w:rPr>
                <w:bCs/>
                <w:vertAlign w:val="superscript"/>
              </w:rPr>
            </w:pPr>
            <w:r w:rsidRPr="00EB561B">
              <w:rPr>
                <w:bCs/>
              </w:rPr>
              <w:t>Stop rivaroxaban and start edoxaban when the next dose of rivaroxaban would have been due</w:t>
            </w:r>
            <w:r w:rsidRPr="00EB561B">
              <w:rPr>
                <w:bCs/>
                <w:vertAlign w:val="superscript"/>
              </w:rPr>
              <w:t>4,21</w:t>
            </w:r>
          </w:p>
          <w:p w14:paraId="45BFC3DE" w14:textId="475018A7" w:rsidR="000828CD" w:rsidRPr="00EB561B" w:rsidRDefault="000828CD" w:rsidP="000828CD">
            <w:r w:rsidRPr="00EB561B">
              <w:rPr>
                <w:bCs/>
              </w:rPr>
              <w:t>If higher therapeutic plasma concentrations are expected, e.g. impaired renal function, a longer interval between rivaroxaban stopping and edoxaban starting is recommended</w:t>
            </w:r>
            <w:r w:rsidRPr="00EB561B">
              <w:rPr>
                <w:bCs/>
                <w:vertAlign w:val="superscript"/>
              </w:rPr>
              <w:t>21</w:t>
            </w:r>
            <w:r w:rsidRPr="00EB561B">
              <w:rPr>
                <w:bCs/>
              </w:rPr>
              <w:t xml:space="preserve"> </w:t>
            </w:r>
          </w:p>
        </w:tc>
      </w:tr>
      <w:tr w:rsidR="000828CD" w:rsidRPr="00EB561B" w14:paraId="0EE00544" w14:textId="77777777" w:rsidTr="00246F02">
        <w:trPr>
          <w:trHeight w:val="406"/>
        </w:trPr>
        <w:tc>
          <w:tcPr>
            <w:tcW w:w="2547" w:type="dxa"/>
            <w:shd w:val="clear" w:color="auto" w:fill="E5DFEC" w:themeFill="accent4" w:themeFillTint="33"/>
            <w:vAlign w:val="center"/>
          </w:tcPr>
          <w:p w14:paraId="2066D2BB" w14:textId="2CE345E7" w:rsidR="000828CD" w:rsidRPr="007D4F98" w:rsidRDefault="000828CD" w:rsidP="000828CD">
            <w:pPr>
              <w:rPr>
                <w:b/>
                <w:bCs/>
              </w:rPr>
            </w:pPr>
            <w:r w:rsidRPr="000828CD">
              <w:rPr>
                <w:b/>
                <w:bCs/>
              </w:rPr>
              <w:t xml:space="preserve">Apixaban </w:t>
            </w:r>
            <w:r w:rsidR="007D1B0D">
              <w:rPr>
                <w:b/>
                <w:bCs/>
              </w:rPr>
              <w:t xml:space="preserve">   </w:t>
            </w:r>
            <w:r w:rsidRPr="000828CD">
              <w:rPr>
                <w:b/>
                <w:bCs/>
              </w:rPr>
              <w:t>(Eliquis</w:t>
            </w:r>
            <w:r w:rsidRPr="000828CD">
              <w:rPr>
                <w:b/>
                <w:bCs/>
              </w:rPr>
              <w:sym w:font="Symbol" w:char="F0D2"/>
            </w:r>
            <w:r w:rsidRPr="000828CD">
              <w:rPr>
                <w:b/>
                <w:bCs/>
              </w:rPr>
              <w:t>)</w:t>
            </w:r>
            <w:r w:rsidRPr="000828CD">
              <w:rPr>
                <w:b/>
                <w:bCs/>
                <w:vertAlign w:val="superscript"/>
              </w:rPr>
              <w:t>3</w:t>
            </w:r>
          </w:p>
        </w:tc>
        <w:tc>
          <w:tcPr>
            <w:tcW w:w="6918" w:type="dxa"/>
            <w:shd w:val="clear" w:color="auto" w:fill="auto"/>
            <w:vAlign w:val="center"/>
          </w:tcPr>
          <w:p w14:paraId="1006D0BF" w14:textId="77777777" w:rsidR="000828CD" w:rsidRPr="00EB561B" w:rsidRDefault="000828CD" w:rsidP="000828CD">
            <w:pPr>
              <w:rPr>
                <w:bCs/>
              </w:rPr>
            </w:pPr>
            <w:r w:rsidRPr="00EB561B">
              <w:rPr>
                <w:bCs/>
              </w:rPr>
              <w:t>Stop apixaban and start edoxaban when the next dose of apixaban would have been due</w:t>
            </w:r>
            <w:r w:rsidRPr="00EB561B">
              <w:rPr>
                <w:bCs/>
                <w:vertAlign w:val="superscript"/>
              </w:rPr>
              <w:t>4,21</w:t>
            </w:r>
            <w:r w:rsidRPr="00EB561B">
              <w:rPr>
                <w:bCs/>
              </w:rPr>
              <w:t xml:space="preserve"> </w:t>
            </w:r>
          </w:p>
          <w:p w14:paraId="23AF15B2" w14:textId="68BEC486" w:rsidR="000828CD" w:rsidRPr="00EB561B" w:rsidRDefault="000828CD" w:rsidP="000828CD">
            <w:r w:rsidRPr="00EB561B">
              <w:rPr>
                <w:bCs/>
              </w:rPr>
              <w:t>If higher therapeutic plasma concentrations are expected, e.g. impaired renal function, a longer interval between apixaban stopping and edoxaban starting is recommended</w:t>
            </w:r>
            <w:r w:rsidRPr="00EB561B">
              <w:rPr>
                <w:bCs/>
                <w:vertAlign w:val="superscript"/>
              </w:rPr>
              <w:t>21</w:t>
            </w:r>
            <w:r w:rsidRPr="00EB561B">
              <w:rPr>
                <w:bCs/>
              </w:rPr>
              <w:t xml:space="preserve"> </w:t>
            </w:r>
          </w:p>
        </w:tc>
      </w:tr>
    </w:tbl>
    <w:p w14:paraId="31EBD60D" w14:textId="77777777" w:rsidR="000828CD" w:rsidRDefault="000828CD"/>
    <w:tbl>
      <w:tblPr>
        <w:tblStyle w:val="TableGrid"/>
        <w:tblW w:w="0" w:type="auto"/>
        <w:tblLook w:val="04A0" w:firstRow="1" w:lastRow="0" w:firstColumn="1" w:lastColumn="0" w:noHBand="0" w:noVBand="1"/>
      </w:tblPr>
      <w:tblGrid>
        <w:gridCol w:w="2263"/>
        <w:gridCol w:w="7202"/>
      </w:tblGrid>
      <w:tr w:rsidR="000828CD" w:rsidRPr="00EB561B" w14:paraId="52AD0A05" w14:textId="77777777" w:rsidTr="001F0C45">
        <w:trPr>
          <w:trHeight w:val="406"/>
        </w:trPr>
        <w:tc>
          <w:tcPr>
            <w:tcW w:w="9465" w:type="dxa"/>
            <w:gridSpan w:val="2"/>
            <w:shd w:val="clear" w:color="auto" w:fill="F2F2F2" w:themeFill="background1" w:themeFillShade="F2"/>
            <w:vAlign w:val="center"/>
          </w:tcPr>
          <w:p w14:paraId="37264836" w14:textId="7D3969C7" w:rsidR="000828CD" w:rsidRPr="00EB561B" w:rsidRDefault="000828CD" w:rsidP="001F0C45">
            <w:pPr>
              <w:pStyle w:val="Heading2"/>
            </w:pPr>
            <w:bookmarkStart w:id="88" w:name="_Toc106708906"/>
            <w:r w:rsidRPr="000828CD">
              <w:t>Conversion from parenteral anticoagulant to oral anticoagulant</w:t>
            </w:r>
            <w:bookmarkEnd w:id="88"/>
          </w:p>
        </w:tc>
      </w:tr>
      <w:tr w:rsidR="000828CD" w:rsidRPr="00EB561B" w14:paraId="5096DC34" w14:textId="77777777" w:rsidTr="00246F02">
        <w:trPr>
          <w:trHeight w:val="406"/>
        </w:trPr>
        <w:tc>
          <w:tcPr>
            <w:tcW w:w="2263" w:type="dxa"/>
            <w:shd w:val="clear" w:color="auto" w:fill="DBE5F1" w:themeFill="accent1" w:themeFillTint="33"/>
            <w:vAlign w:val="center"/>
          </w:tcPr>
          <w:p w14:paraId="536649D1" w14:textId="77777777" w:rsidR="000828CD" w:rsidRPr="00EB561B" w:rsidRDefault="000828CD" w:rsidP="000828CD">
            <w:r w:rsidRPr="000828CD">
              <w:rPr>
                <w:b/>
                <w:bCs/>
              </w:rPr>
              <w:t>Dabigatran (Pradaxa</w:t>
            </w:r>
            <w:r w:rsidRPr="000828CD">
              <w:rPr>
                <w:b/>
                <w:bCs/>
              </w:rPr>
              <w:sym w:font="Symbol" w:char="F0D2"/>
            </w:r>
            <w:r w:rsidRPr="000828CD">
              <w:rPr>
                <w:b/>
                <w:bCs/>
              </w:rPr>
              <w:t>)</w:t>
            </w:r>
            <w:r w:rsidRPr="000828CD">
              <w:rPr>
                <w:b/>
                <w:bCs/>
                <w:vertAlign w:val="superscript"/>
              </w:rPr>
              <w:t>1</w:t>
            </w:r>
          </w:p>
        </w:tc>
        <w:tc>
          <w:tcPr>
            <w:tcW w:w="7202" w:type="dxa"/>
            <w:shd w:val="clear" w:color="auto" w:fill="auto"/>
            <w:vAlign w:val="center"/>
          </w:tcPr>
          <w:p w14:paraId="5F4DAA3A" w14:textId="712867E5" w:rsidR="000828CD" w:rsidRPr="00EB561B" w:rsidRDefault="000828CD" w:rsidP="00246F02">
            <w:r w:rsidRPr="00EB561B">
              <w:t xml:space="preserve">Discontinue the parenteral anticoagulant </w:t>
            </w:r>
          </w:p>
          <w:p w14:paraId="3932CDC3" w14:textId="1AD7B78D" w:rsidR="004D5112" w:rsidRDefault="000828CD" w:rsidP="00246F02">
            <w:r w:rsidRPr="00EB561B">
              <w:t>Start dabigatran</w:t>
            </w:r>
            <w:r>
              <w:t xml:space="preserve"> </w:t>
            </w:r>
            <w:r w:rsidRPr="00EB561B">
              <w:t>0-2 hours prior to the time that the next dose of the parenteral anticoagulant would be due</w:t>
            </w:r>
            <w:r w:rsidR="004D5112">
              <w:t xml:space="preserve">, </w:t>
            </w:r>
            <w:r w:rsidRPr="007D4F98">
              <w:rPr>
                <w:b/>
                <w:bCs/>
              </w:rPr>
              <w:t>or</w:t>
            </w:r>
            <w:r w:rsidRPr="00EB561B">
              <w:t xml:space="preserve"> </w:t>
            </w:r>
          </w:p>
          <w:p w14:paraId="7F78991D" w14:textId="757F48F9" w:rsidR="000828CD" w:rsidRPr="000828CD" w:rsidRDefault="004D5112" w:rsidP="00246F02">
            <w:r>
              <w:t xml:space="preserve">Start dabigatran </w:t>
            </w:r>
            <w:r w:rsidR="000828CD" w:rsidRPr="00EB561B">
              <w:t>at the time of discontinuation in case of continuous treatment (e.g. intravenous unfractionated heparin)</w:t>
            </w:r>
          </w:p>
        </w:tc>
      </w:tr>
      <w:tr w:rsidR="000828CD" w:rsidRPr="00EB561B" w14:paraId="679AE4DB" w14:textId="77777777" w:rsidTr="00246F02">
        <w:trPr>
          <w:trHeight w:val="406"/>
        </w:trPr>
        <w:tc>
          <w:tcPr>
            <w:tcW w:w="2263" w:type="dxa"/>
            <w:shd w:val="clear" w:color="auto" w:fill="F2DBDB" w:themeFill="accent2" w:themeFillTint="33"/>
            <w:vAlign w:val="center"/>
          </w:tcPr>
          <w:p w14:paraId="468A9BAB" w14:textId="77777777" w:rsidR="000828CD" w:rsidRPr="00EB561B" w:rsidRDefault="000828CD" w:rsidP="000828CD">
            <w:r w:rsidRPr="000828CD">
              <w:rPr>
                <w:b/>
                <w:bCs/>
              </w:rPr>
              <w:t>Rivaroxaban (Xarelto</w:t>
            </w:r>
            <w:r w:rsidRPr="000828CD">
              <w:rPr>
                <w:b/>
                <w:bCs/>
              </w:rPr>
              <w:sym w:font="Symbol" w:char="F0D2"/>
            </w:r>
            <w:r w:rsidRPr="000828CD">
              <w:rPr>
                <w:rFonts w:cs="Arial"/>
                <w:b/>
                <w:bCs/>
              </w:rPr>
              <w:t>▼</w:t>
            </w:r>
            <w:r w:rsidRPr="000828CD">
              <w:rPr>
                <w:b/>
                <w:bCs/>
              </w:rPr>
              <w:t>)</w:t>
            </w:r>
            <w:r w:rsidRPr="000828CD">
              <w:rPr>
                <w:b/>
                <w:bCs/>
                <w:vertAlign w:val="superscript"/>
              </w:rPr>
              <w:t>2</w:t>
            </w:r>
          </w:p>
        </w:tc>
        <w:tc>
          <w:tcPr>
            <w:tcW w:w="7202" w:type="dxa"/>
            <w:shd w:val="clear" w:color="auto" w:fill="auto"/>
            <w:vAlign w:val="center"/>
          </w:tcPr>
          <w:p w14:paraId="5C134C95" w14:textId="057B32DC" w:rsidR="000828CD" w:rsidRPr="00EB561B" w:rsidRDefault="000828CD" w:rsidP="00246F02">
            <w:r w:rsidRPr="00EB561B">
              <w:t xml:space="preserve">Discontinue the parenteral anticoagulant </w:t>
            </w:r>
          </w:p>
          <w:p w14:paraId="55347DE4" w14:textId="0E2BDD92" w:rsidR="004D5112" w:rsidRDefault="000828CD" w:rsidP="00246F02">
            <w:r w:rsidRPr="00EB561B">
              <w:t>Start rivaroxaban 0 to 2 hours before the time that the next scheduled administration of the parenteral medicinal product (e.g. low molecular weight heparin (LMWH)) would be due</w:t>
            </w:r>
            <w:r w:rsidR="004D5112">
              <w:t>,</w:t>
            </w:r>
            <w:r w:rsidRPr="00EB561B">
              <w:t xml:space="preserve"> </w:t>
            </w:r>
            <w:r w:rsidRPr="007D4F98">
              <w:rPr>
                <w:b/>
                <w:bCs/>
              </w:rPr>
              <w:t xml:space="preserve">or </w:t>
            </w:r>
          </w:p>
          <w:p w14:paraId="0C27A2BD" w14:textId="18D6A9F0" w:rsidR="000828CD" w:rsidRPr="00EB561B" w:rsidRDefault="004D5112" w:rsidP="00246F02">
            <w:r>
              <w:t xml:space="preserve">Start rivaroxaban </w:t>
            </w:r>
            <w:r w:rsidR="000828CD" w:rsidRPr="00EB561B">
              <w:t>at the time of discontinuation of a continuously administered parenteral medicinal product (e.g. intravenous unfractionated heparin)</w:t>
            </w:r>
          </w:p>
        </w:tc>
      </w:tr>
      <w:tr w:rsidR="000828CD" w:rsidRPr="00EB561B" w14:paraId="05686086" w14:textId="77777777" w:rsidTr="00246F02">
        <w:trPr>
          <w:trHeight w:val="406"/>
        </w:trPr>
        <w:tc>
          <w:tcPr>
            <w:tcW w:w="2263" w:type="dxa"/>
            <w:shd w:val="clear" w:color="auto" w:fill="E5DFEC" w:themeFill="accent4" w:themeFillTint="33"/>
            <w:vAlign w:val="center"/>
          </w:tcPr>
          <w:p w14:paraId="3C4A883D" w14:textId="77777777" w:rsidR="000828CD" w:rsidRPr="00EB561B" w:rsidRDefault="000828CD" w:rsidP="000828CD">
            <w:r w:rsidRPr="000828CD">
              <w:rPr>
                <w:b/>
                <w:bCs/>
              </w:rPr>
              <w:t>Apixaban (Eliquis</w:t>
            </w:r>
            <w:r w:rsidRPr="000828CD">
              <w:rPr>
                <w:b/>
                <w:bCs/>
              </w:rPr>
              <w:sym w:font="Symbol" w:char="F0D2"/>
            </w:r>
            <w:r w:rsidRPr="000828CD">
              <w:rPr>
                <w:b/>
                <w:bCs/>
              </w:rPr>
              <w:t>)</w:t>
            </w:r>
            <w:r w:rsidRPr="000828CD">
              <w:rPr>
                <w:b/>
                <w:bCs/>
                <w:vertAlign w:val="superscript"/>
              </w:rPr>
              <w:t>3</w:t>
            </w:r>
          </w:p>
        </w:tc>
        <w:tc>
          <w:tcPr>
            <w:tcW w:w="7202" w:type="dxa"/>
            <w:shd w:val="clear" w:color="auto" w:fill="auto"/>
            <w:vAlign w:val="center"/>
          </w:tcPr>
          <w:p w14:paraId="0BEFB110" w14:textId="3F5FB683" w:rsidR="000828CD" w:rsidRPr="00EB561B" w:rsidRDefault="000828CD" w:rsidP="00246F02">
            <w:r w:rsidRPr="00EB561B">
              <w:t>Switching treatment from parenteral anticoagulants to apixaban (and vice versa) can be done at the next scheduled dose</w:t>
            </w:r>
          </w:p>
        </w:tc>
      </w:tr>
      <w:tr w:rsidR="000828CD" w:rsidRPr="00EB561B" w14:paraId="4A2AEB6F" w14:textId="77777777" w:rsidTr="00246F02">
        <w:trPr>
          <w:trHeight w:val="938"/>
        </w:trPr>
        <w:tc>
          <w:tcPr>
            <w:tcW w:w="2263" w:type="dxa"/>
            <w:shd w:val="clear" w:color="auto" w:fill="FDE9D9" w:themeFill="accent6" w:themeFillTint="33"/>
            <w:vAlign w:val="center"/>
          </w:tcPr>
          <w:p w14:paraId="104BA084" w14:textId="77777777" w:rsidR="000828CD" w:rsidRPr="00EB561B" w:rsidRDefault="000828CD" w:rsidP="000828CD">
            <w:r w:rsidRPr="000828CD">
              <w:rPr>
                <w:b/>
                <w:bCs/>
              </w:rPr>
              <w:t>Edoxaban (Lixiana</w:t>
            </w:r>
            <w:r w:rsidRPr="000828CD">
              <w:rPr>
                <w:b/>
                <w:bCs/>
              </w:rPr>
              <w:sym w:font="Symbol" w:char="F0D2"/>
            </w:r>
            <w:r w:rsidRPr="000828CD">
              <w:rPr>
                <w:b/>
                <w:bCs/>
              </w:rPr>
              <w:t>)</w:t>
            </w:r>
            <w:r w:rsidRPr="000828CD">
              <w:rPr>
                <w:b/>
                <w:bCs/>
                <w:vertAlign w:val="superscript"/>
              </w:rPr>
              <w:t>4</w:t>
            </w:r>
          </w:p>
        </w:tc>
        <w:tc>
          <w:tcPr>
            <w:tcW w:w="7202" w:type="dxa"/>
            <w:shd w:val="clear" w:color="auto" w:fill="auto"/>
            <w:vAlign w:val="center"/>
          </w:tcPr>
          <w:p w14:paraId="53709D27" w14:textId="625AE2CF" w:rsidR="000828CD" w:rsidRPr="00EB561B" w:rsidRDefault="000828CD" w:rsidP="00246F02">
            <w:r w:rsidRPr="00EB561B">
              <w:t>Discontinue subcutaneous anticoagulant (e.g. LMWH)</w:t>
            </w:r>
          </w:p>
          <w:p w14:paraId="0352B97C" w14:textId="53BC0494" w:rsidR="000828CD" w:rsidRPr="00EB561B" w:rsidRDefault="000828CD" w:rsidP="00246F02">
            <w:r w:rsidRPr="00EB561B">
              <w:t>Start edoxaban at the time of the next scheduled subcutaneous anticoagulant dose</w:t>
            </w:r>
          </w:p>
          <w:p w14:paraId="5245B1DE" w14:textId="6F087263" w:rsidR="000828CD" w:rsidRPr="00EB561B" w:rsidRDefault="000828CD" w:rsidP="00246F02">
            <w:r w:rsidRPr="00EB561B">
              <w:t>Discontinue intravenous unfractionated heparin infusion</w:t>
            </w:r>
          </w:p>
          <w:p w14:paraId="4059A565" w14:textId="0A8F281A" w:rsidR="000828CD" w:rsidRPr="00EB561B" w:rsidRDefault="000828CD" w:rsidP="00246F02">
            <w:r w:rsidRPr="00EB561B">
              <w:t>Start edoxaban 4 hours later</w:t>
            </w:r>
          </w:p>
        </w:tc>
      </w:tr>
      <w:tr w:rsidR="00246F02" w:rsidRPr="00EB561B" w14:paraId="0438E952" w14:textId="77777777" w:rsidTr="00246F02">
        <w:trPr>
          <w:trHeight w:val="845"/>
        </w:trPr>
        <w:tc>
          <w:tcPr>
            <w:tcW w:w="2263" w:type="dxa"/>
            <w:shd w:val="clear" w:color="auto" w:fill="EAF1DD" w:themeFill="accent3" w:themeFillTint="33"/>
            <w:vAlign w:val="center"/>
          </w:tcPr>
          <w:p w14:paraId="10AF53A6" w14:textId="09992AB3" w:rsidR="00246F02" w:rsidRPr="000828CD" w:rsidRDefault="00246F02" w:rsidP="00246F02">
            <w:pPr>
              <w:rPr>
                <w:b/>
                <w:bCs/>
              </w:rPr>
            </w:pPr>
            <w:r w:rsidRPr="000828CD">
              <w:rPr>
                <w:b/>
                <w:bCs/>
              </w:rPr>
              <w:t>Warfarin</w:t>
            </w:r>
            <w:r w:rsidRPr="000828CD">
              <w:rPr>
                <w:b/>
                <w:bCs/>
                <w:vertAlign w:val="superscript"/>
              </w:rPr>
              <w:t>5</w:t>
            </w:r>
            <w:r>
              <w:rPr>
                <w:b/>
                <w:bCs/>
                <w:vertAlign w:val="superscript"/>
              </w:rPr>
              <w:t>,6</w:t>
            </w:r>
          </w:p>
        </w:tc>
        <w:tc>
          <w:tcPr>
            <w:tcW w:w="7202" w:type="dxa"/>
            <w:shd w:val="clear" w:color="auto" w:fill="auto"/>
            <w:vAlign w:val="center"/>
          </w:tcPr>
          <w:p w14:paraId="3128C5CC" w14:textId="5C92C815" w:rsidR="00246F02" w:rsidRPr="00EB561B" w:rsidRDefault="00246F02" w:rsidP="00246F02">
            <w:r>
              <w:t>Sta</w:t>
            </w:r>
            <w:r w:rsidRPr="00EB561B">
              <w:t xml:space="preserve">rt warfarin and stop LMWH/unfractionated heparin once INR is in therapeutic range for 2 consecutive days </w:t>
            </w:r>
          </w:p>
        </w:tc>
      </w:tr>
    </w:tbl>
    <w:p w14:paraId="67467450" w14:textId="14E90802" w:rsidR="00246F02" w:rsidRDefault="00246F02"/>
    <w:tbl>
      <w:tblPr>
        <w:tblStyle w:val="TableGrid"/>
        <w:tblW w:w="0" w:type="auto"/>
        <w:tblLook w:val="04A0" w:firstRow="1" w:lastRow="0" w:firstColumn="1" w:lastColumn="0" w:noHBand="0" w:noVBand="1"/>
      </w:tblPr>
      <w:tblGrid>
        <w:gridCol w:w="2405"/>
        <w:gridCol w:w="6945"/>
      </w:tblGrid>
      <w:tr w:rsidR="00246F02" w:rsidRPr="00EB561B" w14:paraId="0A0244A6" w14:textId="77777777" w:rsidTr="001F0C45">
        <w:trPr>
          <w:trHeight w:val="406"/>
        </w:trPr>
        <w:tc>
          <w:tcPr>
            <w:tcW w:w="9350" w:type="dxa"/>
            <w:gridSpan w:val="2"/>
            <w:shd w:val="clear" w:color="auto" w:fill="F2F2F2" w:themeFill="background1" w:themeFillShade="F2"/>
            <w:vAlign w:val="center"/>
          </w:tcPr>
          <w:p w14:paraId="2E0B7E8A" w14:textId="232E6C2A" w:rsidR="00246F02" w:rsidRPr="00EB561B" w:rsidRDefault="00246F02" w:rsidP="001F0C45">
            <w:pPr>
              <w:pStyle w:val="Heading2"/>
            </w:pPr>
            <w:r>
              <w:rPr>
                <w:rFonts w:asciiTheme="majorHAnsi" w:hAnsiTheme="majorHAnsi" w:cstheme="majorHAnsi"/>
                <w:szCs w:val="22"/>
              </w:rPr>
              <w:lastRenderedPageBreak/>
              <w:br w:type="page"/>
            </w:r>
            <w:bookmarkStart w:id="89" w:name="_Toc106708907"/>
            <w:r w:rsidRPr="00246F02">
              <w:t>Missed dose (Also refer to half-life below)</w:t>
            </w:r>
            <w:bookmarkEnd w:id="89"/>
          </w:p>
        </w:tc>
      </w:tr>
      <w:tr w:rsidR="00246F02" w:rsidRPr="00EB561B" w14:paraId="13FC6882" w14:textId="77777777" w:rsidTr="0034513B">
        <w:trPr>
          <w:trHeight w:val="2143"/>
        </w:trPr>
        <w:tc>
          <w:tcPr>
            <w:tcW w:w="2405" w:type="dxa"/>
            <w:shd w:val="clear" w:color="auto" w:fill="DBE5F1" w:themeFill="accent1" w:themeFillTint="33"/>
            <w:vAlign w:val="center"/>
          </w:tcPr>
          <w:p w14:paraId="14103B3C" w14:textId="77777777" w:rsidR="00246F02" w:rsidRPr="00EB561B" w:rsidRDefault="00246F02" w:rsidP="00246F02">
            <w:r w:rsidRPr="000828CD">
              <w:rPr>
                <w:b/>
                <w:bCs/>
              </w:rPr>
              <w:t>Dabigatran (Pradaxa</w:t>
            </w:r>
            <w:r w:rsidRPr="000828CD">
              <w:rPr>
                <w:b/>
                <w:bCs/>
              </w:rPr>
              <w:sym w:font="Symbol" w:char="F0D2"/>
            </w:r>
            <w:r w:rsidRPr="000828CD">
              <w:rPr>
                <w:b/>
                <w:bCs/>
              </w:rPr>
              <w:t>)</w:t>
            </w:r>
            <w:r w:rsidRPr="000828CD">
              <w:rPr>
                <w:b/>
                <w:bCs/>
                <w:vertAlign w:val="superscript"/>
              </w:rPr>
              <w:t>1</w:t>
            </w:r>
          </w:p>
        </w:tc>
        <w:tc>
          <w:tcPr>
            <w:tcW w:w="6945" w:type="dxa"/>
            <w:shd w:val="clear" w:color="auto" w:fill="auto"/>
            <w:vAlign w:val="center"/>
          </w:tcPr>
          <w:p w14:paraId="7EDF4ADB" w14:textId="77777777" w:rsidR="00246F02" w:rsidRPr="00EB561B" w:rsidRDefault="00246F02" w:rsidP="00246F02">
            <w:r w:rsidRPr="00EB561B">
              <w:t>May still be taken up to six hours prior to the next scheduled dose</w:t>
            </w:r>
          </w:p>
          <w:p w14:paraId="734402F8" w14:textId="77777777" w:rsidR="00246F02" w:rsidRPr="00EB561B" w:rsidRDefault="00246F02" w:rsidP="00246F02">
            <w:r w:rsidRPr="00EB561B">
              <w:rPr>
                <w:color w:val="000000"/>
                <w:shd w:val="clear" w:color="auto" w:fill="FFFFFF"/>
              </w:rPr>
              <w:t>From 6 hours prior to the next scheduled dose onwards, the missed dose should be omitted</w:t>
            </w:r>
          </w:p>
          <w:p w14:paraId="6AC14837" w14:textId="1F7ECB30" w:rsidR="00246F02" w:rsidRPr="000828CD" w:rsidRDefault="00246F02" w:rsidP="00246F02">
            <w:r w:rsidRPr="00EB561B">
              <w:t>No double dose should be taken to make up for missed individual doses</w:t>
            </w:r>
          </w:p>
        </w:tc>
      </w:tr>
      <w:tr w:rsidR="00246F02" w:rsidRPr="00EB561B" w14:paraId="115AB883" w14:textId="77777777" w:rsidTr="0034513B">
        <w:trPr>
          <w:trHeight w:val="4370"/>
        </w:trPr>
        <w:tc>
          <w:tcPr>
            <w:tcW w:w="2405" w:type="dxa"/>
            <w:shd w:val="clear" w:color="auto" w:fill="F2DBDB" w:themeFill="accent2" w:themeFillTint="33"/>
            <w:vAlign w:val="center"/>
          </w:tcPr>
          <w:p w14:paraId="554206BC" w14:textId="77777777" w:rsidR="00246F02" w:rsidRPr="00EB561B" w:rsidRDefault="00246F02" w:rsidP="00246F02">
            <w:r w:rsidRPr="000828CD">
              <w:rPr>
                <w:b/>
                <w:bCs/>
              </w:rPr>
              <w:t>Rivaroxaban (Xarelto</w:t>
            </w:r>
            <w:r w:rsidRPr="000828CD">
              <w:rPr>
                <w:b/>
                <w:bCs/>
              </w:rPr>
              <w:sym w:font="Symbol" w:char="F0D2"/>
            </w:r>
            <w:r w:rsidRPr="000828CD">
              <w:rPr>
                <w:rFonts w:cs="Arial"/>
                <w:b/>
                <w:bCs/>
              </w:rPr>
              <w:t>▼</w:t>
            </w:r>
            <w:r w:rsidRPr="000828CD">
              <w:rPr>
                <w:b/>
                <w:bCs/>
              </w:rPr>
              <w:t>)</w:t>
            </w:r>
            <w:r w:rsidRPr="000828CD">
              <w:rPr>
                <w:b/>
                <w:bCs/>
                <w:vertAlign w:val="superscript"/>
              </w:rPr>
              <w:t>2</w:t>
            </w:r>
          </w:p>
        </w:tc>
        <w:tc>
          <w:tcPr>
            <w:tcW w:w="6945" w:type="dxa"/>
            <w:shd w:val="clear" w:color="auto" w:fill="auto"/>
            <w:vAlign w:val="center"/>
          </w:tcPr>
          <w:p w14:paraId="2EF87A68" w14:textId="77777777" w:rsidR="00246F02" w:rsidRPr="00EB561B" w:rsidRDefault="00246F02" w:rsidP="00246F02">
            <w:r w:rsidRPr="00EB561B">
              <w:t>Take missed dose immediately and then continue the following day with once daily intake as recommended</w:t>
            </w:r>
          </w:p>
          <w:p w14:paraId="02654D3F" w14:textId="77777777" w:rsidR="00246F02" w:rsidRPr="00EB561B" w:rsidRDefault="00246F02" w:rsidP="00246F02">
            <w:r w:rsidRPr="00EB561B">
              <w:t>Do not double the dose within the same day to make up for a missed dose</w:t>
            </w:r>
          </w:p>
          <w:p w14:paraId="5857C176" w14:textId="0A7B7C80" w:rsidR="00246F02" w:rsidRPr="00EB561B" w:rsidRDefault="00246F02" w:rsidP="00246F02">
            <w:r w:rsidRPr="00EB561B">
              <w:t>However, if taking 15mg twice daily for DVT/PE treatment (days 1-21) and a dose is missed, take 15mg immediately</w:t>
            </w:r>
            <w:r>
              <w:t xml:space="preserve"> </w:t>
            </w:r>
            <w:r w:rsidRPr="00EB561B">
              <w:t>to ensure intake of 30mg daily, this may mean 2 x 15mg tablets are taken at once</w:t>
            </w:r>
            <w:r w:rsidR="00ED78D9">
              <w:t>, t</w:t>
            </w:r>
            <w:r w:rsidRPr="00EB561B">
              <w:t>hen continue with 15mg twice daily the following day</w:t>
            </w:r>
          </w:p>
          <w:p w14:paraId="25C9C049" w14:textId="77777777" w:rsidR="00246F02" w:rsidRPr="00EB561B" w:rsidRDefault="00246F02" w:rsidP="00246F02">
            <w:r w:rsidRPr="00EB561B">
              <w:t xml:space="preserve">If a dose is missed during the once daily treatment phase (day 22 onwards), take dose immediately and continue the next day with once daily intake </w:t>
            </w:r>
          </w:p>
          <w:p w14:paraId="3CEAA8CE" w14:textId="56C095AA" w:rsidR="00246F02" w:rsidRPr="00EB561B" w:rsidRDefault="00246F02" w:rsidP="00246F02">
            <w:r w:rsidRPr="00EB561B">
              <w:t>Do not double the dose within the same day to make up for a missed dose</w:t>
            </w:r>
          </w:p>
        </w:tc>
      </w:tr>
      <w:tr w:rsidR="00246F02" w:rsidRPr="00EB561B" w14:paraId="169300E1" w14:textId="77777777" w:rsidTr="0034513B">
        <w:trPr>
          <w:trHeight w:val="1130"/>
        </w:trPr>
        <w:tc>
          <w:tcPr>
            <w:tcW w:w="2405" w:type="dxa"/>
            <w:shd w:val="clear" w:color="auto" w:fill="E5DFEC" w:themeFill="accent4" w:themeFillTint="33"/>
            <w:vAlign w:val="center"/>
          </w:tcPr>
          <w:p w14:paraId="60652C9D" w14:textId="77777777" w:rsidR="00246F02" w:rsidRPr="00EB561B" w:rsidRDefault="00246F02" w:rsidP="00246F02">
            <w:r w:rsidRPr="000828CD">
              <w:rPr>
                <w:b/>
                <w:bCs/>
              </w:rPr>
              <w:t>Apixaban (Eliquis</w:t>
            </w:r>
            <w:r w:rsidRPr="000828CD">
              <w:rPr>
                <w:b/>
                <w:bCs/>
              </w:rPr>
              <w:sym w:font="Symbol" w:char="F0D2"/>
            </w:r>
            <w:r w:rsidRPr="000828CD">
              <w:rPr>
                <w:b/>
                <w:bCs/>
              </w:rPr>
              <w:t>)</w:t>
            </w:r>
            <w:r w:rsidRPr="000828CD">
              <w:rPr>
                <w:b/>
                <w:bCs/>
                <w:vertAlign w:val="superscript"/>
              </w:rPr>
              <w:t>3</w:t>
            </w:r>
          </w:p>
        </w:tc>
        <w:tc>
          <w:tcPr>
            <w:tcW w:w="6945" w:type="dxa"/>
            <w:shd w:val="clear" w:color="auto" w:fill="auto"/>
            <w:vAlign w:val="center"/>
          </w:tcPr>
          <w:p w14:paraId="246D77A0" w14:textId="2EF6BE7B" w:rsidR="00246F02" w:rsidRPr="00EB561B" w:rsidRDefault="00246F02" w:rsidP="00246F02">
            <w:r w:rsidRPr="00EB561B">
              <w:t>Take missed dose immediately and then continue with twice daily intake as before</w:t>
            </w:r>
          </w:p>
        </w:tc>
      </w:tr>
      <w:tr w:rsidR="00246F02" w:rsidRPr="00EB561B" w14:paraId="136E1155" w14:textId="77777777" w:rsidTr="0034513B">
        <w:trPr>
          <w:trHeight w:val="1260"/>
        </w:trPr>
        <w:tc>
          <w:tcPr>
            <w:tcW w:w="2405" w:type="dxa"/>
            <w:shd w:val="clear" w:color="auto" w:fill="FDE9D9" w:themeFill="accent6" w:themeFillTint="33"/>
            <w:vAlign w:val="center"/>
          </w:tcPr>
          <w:p w14:paraId="209583B8" w14:textId="77777777" w:rsidR="00246F02" w:rsidRPr="00EB561B" w:rsidRDefault="00246F02" w:rsidP="00246F02">
            <w:r w:rsidRPr="000828CD">
              <w:rPr>
                <w:b/>
                <w:bCs/>
              </w:rPr>
              <w:t>Edoxaban (Lixiana</w:t>
            </w:r>
            <w:r w:rsidRPr="000828CD">
              <w:rPr>
                <w:b/>
                <w:bCs/>
              </w:rPr>
              <w:sym w:font="Symbol" w:char="F0D2"/>
            </w:r>
            <w:r w:rsidRPr="000828CD">
              <w:rPr>
                <w:b/>
                <w:bCs/>
              </w:rPr>
              <w:t>)</w:t>
            </w:r>
            <w:r w:rsidRPr="000828CD">
              <w:rPr>
                <w:b/>
                <w:bCs/>
                <w:vertAlign w:val="superscript"/>
              </w:rPr>
              <w:t>4</w:t>
            </w:r>
          </w:p>
        </w:tc>
        <w:tc>
          <w:tcPr>
            <w:tcW w:w="6945" w:type="dxa"/>
            <w:shd w:val="clear" w:color="auto" w:fill="auto"/>
            <w:vAlign w:val="center"/>
          </w:tcPr>
          <w:p w14:paraId="7EBBEA1B" w14:textId="77777777" w:rsidR="00246F02" w:rsidRPr="00EB561B" w:rsidRDefault="00246F02" w:rsidP="00246F02">
            <w:r w:rsidRPr="00EB561B">
              <w:t xml:space="preserve">Take missed dose immediately then continue with once daily dose </w:t>
            </w:r>
          </w:p>
          <w:p w14:paraId="7A471142" w14:textId="4906156C" w:rsidR="00246F02" w:rsidRPr="00EB561B" w:rsidRDefault="00246F02" w:rsidP="00246F02">
            <w:r w:rsidRPr="00EB561B">
              <w:t>Do not double the prescribed dose on the same day</w:t>
            </w:r>
          </w:p>
        </w:tc>
      </w:tr>
      <w:tr w:rsidR="00246F02" w:rsidRPr="00EB561B" w14:paraId="7A888BCB" w14:textId="77777777" w:rsidTr="0034513B">
        <w:trPr>
          <w:trHeight w:val="2039"/>
        </w:trPr>
        <w:tc>
          <w:tcPr>
            <w:tcW w:w="2405" w:type="dxa"/>
            <w:shd w:val="clear" w:color="auto" w:fill="EAF1DD" w:themeFill="accent3" w:themeFillTint="33"/>
            <w:vAlign w:val="center"/>
          </w:tcPr>
          <w:p w14:paraId="009BA334" w14:textId="77777777" w:rsidR="00246F02" w:rsidRPr="000828CD" w:rsidRDefault="00246F02" w:rsidP="00246F02">
            <w:pPr>
              <w:rPr>
                <w:b/>
                <w:bCs/>
              </w:rPr>
            </w:pPr>
            <w:r w:rsidRPr="000828CD">
              <w:rPr>
                <w:b/>
                <w:bCs/>
              </w:rPr>
              <w:t>Warfarin</w:t>
            </w:r>
            <w:r w:rsidRPr="000828CD">
              <w:rPr>
                <w:b/>
                <w:bCs/>
                <w:vertAlign w:val="superscript"/>
              </w:rPr>
              <w:t>5</w:t>
            </w:r>
            <w:r>
              <w:rPr>
                <w:b/>
                <w:bCs/>
                <w:vertAlign w:val="superscript"/>
              </w:rPr>
              <w:t>,6</w:t>
            </w:r>
          </w:p>
        </w:tc>
        <w:tc>
          <w:tcPr>
            <w:tcW w:w="6945" w:type="dxa"/>
            <w:shd w:val="clear" w:color="auto" w:fill="auto"/>
            <w:vAlign w:val="center"/>
          </w:tcPr>
          <w:p w14:paraId="1B6815CF" w14:textId="77777777" w:rsidR="00246F02" w:rsidRPr="00EB561B" w:rsidRDefault="00246F02" w:rsidP="00246F02">
            <w:r w:rsidRPr="00EB561B">
              <w:t>If a missed dose is remembered before midnight, the dose can still be taken</w:t>
            </w:r>
          </w:p>
          <w:p w14:paraId="00DF5903" w14:textId="77777777" w:rsidR="00246F02" w:rsidRPr="00EB561B" w:rsidRDefault="00246F02" w:rsidP="00246F02">
            <w:r w:rsidRPr="00EB561B">
              <w:t>If the dose is forgotten for a longer time, do not take the dose to catch up, but take the next dose when it is due</w:t>
            </w:r>
          </w:p>
          <w:p w14:paraId="6DD0B3A4" w14:textId="5616833A" w:rsidR="00246F02" w:rsidRPr="00EB561B" w:rsidRDefault="00246F02" w:rsidP="00246F02">
            <w:r w:rsidRPr="00EB561B">
              <w:t>Never take a double dose of warfarin to make up for a missed dose</w:t>
            </w:r>
            <w:r w:rsidR="00697662">
              <w:rPr>
                <w:vertAlign w:val="superscript"/>
              </w:rPr>
              <w:t>32</w:t>
            </w:r>
          </w:p>
        </w:tc>
      </w:tr>
    </w:tbl>
    <w:p w14:paraId="62F90E80" w14:textId="31E14BF0" w:rsidR="002E47F4" w:rsidRPr="00EB561B" w:rsidRDefault="002E47F4" w:rsidP="002E47F4">
      <w:pPr>
        <w:rPr>
          <w:rFonts w:asciiTheme="majorHAnsi" w:hAnsiTheme="majorHAnsi" w:cstheme="majorHAnsi"/>
          <w:b/>
          <w:szCs w:val="22"/>
        </w:rPr>
      </w:pPr>
      <w:r w:rsidRPr="00EB561B">
        <w:rPr>
          <w:rFonts w:asciiTheme="majorHAnsi" w:hAnsiTheme="majorHAnsi" w:cstheme="majorHAnsi"/>
          <w:b/>
          <w:szCs w:val="22"/>
        </w:rPr>
        <w:br w:type="page"/>
      </w:r>
    </w:p>
    <w:tbl>
      <w:tblPr>
        <w:tblStyle w:val="TableGrid"/>
        <w:tblW w:w="9776" w:type="dxa"/>
        <w:tblLook w:val="04A0" w:firstRow="1" w:lastRow="0" w:firstColumn="1" w:lastColumn="0" w:noHBand="0" w:noVBand="1"/>
      </w:tblPr>
      <w:tblGrid>
        <w:gridCol w:w="1691"/>
        <w:gridCol w:w="1476"/>
        <w:gridCol w:w="1081"/>
        <w:gridCol w:w="1417"/>
        <w:gridCol w:w="1584"/>
        <w:gridCol w:w="1263"/>
        <w:gridCol w:w="1264"/>
      </w:tblGrid>
      <w:tr w:rsidR="0034513B" w:rsidRPr="00EB561B" w14:paraId="47D210C7" w14:textId="77777777" w:rsidTr="00AA4E69">
        <w:trPr>
          <w:trHeight w:val="406"/>
        </w:trPr>
        <w:tc>
          <w:tcPr>
            <w:tcW w:w="9776" w:type="dxa"/>
            <w:gridSpan w:val="7"/>
            <w:shd w:val="clear" w:color="auto" w:fill="F2F2F2" w:themeFill="background1" w:themeFillShade="F2"/>
            <w:vAlign w:val="center"/>
          </w:tcPr>
          <w:p w14:paraId="32321EBD" w14:textId="1B1FF6C4" w:rsidR="0034513B" w:rsidRPr="00EB561B" w:rsidRDefault="0034513B" w:rsidP="001F0C45">
            <w:pPr>
              <w:pStyle w:val="Heading2"/>
            </w:pPr>
            <w:bookmarkStart w:id="90" w:name="_Toc106708908"/>
            <w:r w:rsidRPr="0034513B">
              <w:lastRenderedPageBreak/>
              <w:t>Half</w:t>
            </w:r>
            <w:r w:rsidR="007A7B95">
              <w:t>-</w:t>
            </w:r>
            <w:r w:rsidRPr="0034513B">
              <w:t>life (t½)</w:t>
            </w:r>
            <w:bookmarkEnd w:id="90"/>
          </w:p>
        </w:tc>
      </w:tr>
      <w:tr w:rsidR="0034513B" w:rsidRPr="00EB561B" w14:paraId="323D12A8" w14:textId="77777777" w:rsidTr="007D4F98">
        <w:trPr>
          <w:trHeight w:val="976"/>
        </w:trPr>
        <w:tc>
          <w:tcPr>
            <w:tcW w:w="1691" w:type="dxa"/>
            <w:vMerge w:val="restart"/>
            <w:shd w:val="clear" w:color="auto" w:fill="DBE5F1" w:themeFill="accent1" w:themeFillTint="33"/>
            <w:vAlign w:val="center"/>
          </w:tcPr>
          <w:p w14:paraId="60DA6D25" w14:textId="77777777" w:rsidR="0034513B" w:rsidRPr="00EB561B" w:rsidRDefault="0034513B" w:rsidP="001F0C45">
            <w:r w:rsidRPr="000828CD">
              <w:rPr>
                <w:b/>
                <w:bCs/>
              </w:rPr>
              <w:t>Dabigatran (Pradaxa</w:t>
            </w:r>
            <w:r w:rsidRPr="000828CD">
              <w:rPr>
                <w:b/>
                <w:bCs/>
              </w:rPr>
              <w:sym w:font="Symbol" w:char="F0D2"/>
            </w:r>
            <w:r w:rsidRPr="000828CD">
              <w:rPr>
                <w:b/>
                <w:bCs/>
              </w:rPr>
              <w:t>)</w:t>
            </w:r>
            <w:r w:rsidRPr="000828CD">
              <w:rPr>
                <w:b/>
                <w:bCs/>
                <w:vertAlign w:val="superscript"/>
              </w:rPr>
              <w:t>1</w:t>
            </w:r>
          </w:p>
        </w:tc>
        <w:tc>
          <w:tcPr>
            <w:tcW w:w="8085" w:type="dxa"/>
            <w:gridSpan w:val="6"/>
            <w:shd w:val="clear" w:color="auto" w:fill="auto"/>
            <w:vAlign w:val="center"/>
          </w:tcPr>
          <w:p w14:paraId="4EC30031" w14:textId="6C4E505A" w:rsidR="0034513B" w:rsidRPr="00EB561B" w:rsidRDefault="0034513B" w:rsidP="000367F3">
            <w:r w:rsidRPr="00EB561B">
              <w:t>Terminal half</w:t>
            </w:r>
            <w:r w:rsidR="007A7B95">
              <w:t>-</w:t>
            </w:r>
            <w:r w:rsidRPr="00EB561B">
              <w:t>life in healthy elderly subjects – 11 hours</w:t>
            </w:r>
          </w:p>
          <w:p w14:paraId="3FD38FB6" w14:textId="6C924793" w:rsidR="0034513B" w:rsidRPr="000828CD" w:rsidRDefault="0034513B" w:rsidP="000367F3">
            <w:r w:rsidRPr="00EB561B">
              <w:t xml:space="preserve">Terminal </w:t>
            </w:r>
            <w:r w:rsidR="00EA600C" w:rsidRPr="00EB561B">
              <w:t>half-life</w:t>
            </w:r>
            <w:r w:rsidRPr="00EB561B">
              <w:t xml:space="preserve"> after multiple doses - 12-14 hours</w:t>
            </w:r>
          </w:p>
        </w:tc>
      </w:tr>
      <w:tr w:rsidR="0034513B" w:rsidRPr="00EB561B" w14:paraId="7E99FE5D" w14:textId="77777777" w:rsidTr="007D4F98">
        <w:trPr>
          <w:trHeight w:val="1228"/>
        </w:trPr>
        <w:tc>
          <w:tcPr>
            <w:tcW w:w="1691" w:type="dxa"/>
            <w:vMerge/>
            <w:shd w:val="clear" w:color="auto" w:fill="DBE5F1" w:themeFill="accent1" w:themeFillTint="33"/>
            <w:vAlign w:val="center"/>
          </w:tcPr>
          <w:p w14:paraId="2377FCE8" w14:textId="77777777" w:rsidR="0034513B" w:rsidRPr="000828CD" w:rsidRDefault="0034513B" w:rsidP="001F0C45">
            <w:pPr>
              <w:rPr>
                <w:b/>
                <w:bCs/>
              </w:rPr>
            </w:pPr>
          </w:p>
        </w:tc>
        <w:tc>
          <w:tcPr>
            <w:tcW w:w="1476" w:type="dxa"/>
            <w:vMerge w:val="restart"/>
            <w:shd w:val="clear" w:color="auto" w:fill="auto"/>
            <w:vAlign w:val="center"/>
          </w:tcPr>
          <w:p w14:paraId="2DF9A5AC" w14:textId="179EF60F" w:rsidR="0034513B" w:rsidRPr="007D4F98" w:rsidRDefault="0034513B" w:rsidP="001F0C45">
            <w:pPr>
              <w:rPr>
                <w:b/>
                <w:bCs/>
              </w:rPr>
            </w:pPr>
            <w:r w:rsidRPr="007D4F98">
              <w:rPr>
                <w:b/>
                <w:bCs/>
              </w:rPr>
              <w:t>In renal impairment</w:t>
            </w:r>
          </w:p>
        </w:tc>
        <w:tc>
          <w:tcPr>
            <w:tcW w:w="1081" w:type="dxa"/>
            <w:shd w:val="clear" w:color="auto" w:fill="auto"/>
            <w:vAlign w:val="center"/>
          </w:tcPr>
          <w:p w14:paraId="6B5116D5" w14:textId="5B722C93" w:rsidR="0034513B" w:rsidRPr="000828CD" w:rsidRDefault="00EA600C" w:rsidP="000367F3">
            <w:r w:rsidRPr="00EB561B">
              <w:rPr>
                <w:b/>
              </w:rPr>
              <w:t>Half-life</w:t>
            </w:r>
            <w:r w:rsidR="0034513B" w:rsidRPr="00EB561B">
              <w:rPr>
                <w:b/>
              </w:rPr>
              <w:t xml:space="preserve"> (</w:t>
            </w:r>
            <w:r w:rsidR="00504B25">
              <w:rPr>
                <w:b/>
              </w:rPr>
              <w:t xml:space="preserve">hours, </w:t>
            </w:r>
            <w:r w:rsidR="0034513B" w:rsidRPr="00EB561B">
              <w:rPr>
                <w:b/>
              </w:rPr>
              <w:t>range)</w:t>
            </w:r>
          </w:p>
        </w:tc>
        <w:tc>
          <w:tcPr>
            <w:tcW w:w="1417" w:type="dxa"/>
            <w:shd w:val="clear" w:color="auto" w:fill="auto"/>
            <w:vAlign w:val="center"/>
          </w:tcPr>
          <w:p w14:paraId="75344D66" w14:textId="77777777" w:rsidR="00B95AC7" w:rsidRDefault="0034513B" w:rsidP="000367F3">
            <w:pPr>
              <w:jc w:val="center"/>
            </w:pPr>
            <w:r w:rsidRPr="00EB561B">
              <w:t>13.4</w:t>
            </w:r>
          </w:p>
          <w:p w14:paraId="20E5D235" w14:textId="3D2B895A" w:rsidR="0034513B" w:rsidRPr="000828CD" w:rsidRDefault="0034513B" w:rsidP="000367F3">
            <w:pPr>
              <w:jc w:val="center"/>
            </w:pPr>
            <w:r w:rsidRPr="00EB561B">
              <w:t>(11.0 -</w:t>
            </w:r>
            <w:r w:rsidR="00E40322">
              <w:t xml:space="preserve"> </w:t>
            </w:r>
            <w:r w:rsidRPr="00EB561B">
              <w:t>21.6)</w:t>
            </w:r>
          </w:p>
        </w:tc>
        <w:tc>
          <w:tcPr>
            <w:tcW w:w="1584" w:type="dxa"/>
            <w:shd w:val="clear" w:color="auto" w:fill="auto"/>
            <w:vAlign w:val="center"/>
          </w:tcPr>
          <w:p w14:paraId="4945EFBF" w14:textId="77777777" w:rsidR="00B95AC7" w:rsidRDefault="0034513B" w:rsidP="000367F3">
            <w:pPr>
              <w:jc w:val="center"/>
            </w:pPr>
            <w:r w:rsidRPr="00EB561B">
              <w:t>15.3</w:t>
            </w:r>
            <w:r>
              <w:t xml:space="preserve"> </w:t>
            </w:r>
          </w:p>
          <w:p w14:paraId="2BBDF33A" w14:textId="392CDA4F" w:rsidR="0034513B" w:rsidRPr="000828CD" w:rsidRDefault="0034513B" w:rsidP="000367F3">
            <w:pPr>
              <w:jc w:val="center"/>
            </w:pPr>
            <w:r w:rsidRPr="00EB561B">
              <w:t>(11.7 -</w:t>
            </w:r>
            <w:r w:rsidR="00E40322">
              <w:t xml:space="preserve"> </w:t>
            </w:r>
            <w:r w:rsidRPr="00EB561B">
              <w:t>34.1)</w:t>
            </w:r>
          </w:p>
        </w:tc>
        <w:tc>
          <w:tcPr>
            <w:tcW w:w="1263" w:type="dxa"/>
            <w:shd w:val="clear" w:color="auto" w:fill="auto"/>
            <w:vAlign w:val="center"/>
          </w:tcPr>
          <w:p w14:paraId="0411D336" w14:textId="77777777" w:rsidR="00B95AC7" w:rsidRDefault="0034513B" w:rsidP="000367F3">
            <w:pPr>
              <w:jc w:val="center"/>
            </w:pPr>
            <w:r w:rsidRPr="00EB561B">
              <w:t>18.4</w:t>
            </w:r>
          </w:p>
          <w:p w14:paraId="3128C5D9" w14:textId="1A27CDE0" w:rsidR="0034513B" w:rsidRPr="000828CD" w:rsidRDefault="0034513B" w:rsidP="000367F3">
            <w:pPr>
              <w:jc w:val="center"/>
            </w:pPr>
            <w:r w:rsidRPr="00EB561B">
              <w:t>(13.3 - 23)</w:t>
            </w:r>
          </w:p>
        </w:tc>
        <w:tc>
          <w:tcPr>
            <w:tcW w:w="1264" w:type="dxa"/>
            <w:shd w:val="clear" w:color="auto" w:fill="auto"/>
            <w:vAlign w:val="center"/>
          </w:tcPr>
          <w:p w14:paraId="257B8AA6" w14:textId="77777777" w:rsidR="00B95AC7" w:rsidRDefault="0034513B" w:rsidP="000367F3">
            <w:pPr>
              <w:jc w:val="center"/>
            </w:pPr>
            <w:r w:rsidRPr="00EB561B">
              <w:t>27.2</w:t>
            </w:r>
          </w:p>
          <w:p w14:paraId="4D2E26F9" w14:textId="4CF671E0" w:rsidR="0034513B" w:rsidRPr="000828CD" w:rsidRDefault="0034513B" w:rsidP="000367F3">
            <w:pPr>
              <w:jc w:val="center"/>
            </w:pPr>
            <w:r w:rsidRPr="00EB561B">
              <w:t>(21.6 - 35)</w:t>
            </w:r>
          </w:p>
        </w:tc>
      </w:tr>
      <w:tr w:rsidR="0034513B" w:rsidRPr="00EB561B" w14:paraId="59446A4B" w14:textId="77777777" w:rsidTr="007D4F98">
        <w:trPr>
          <w:trHeight w:val="1132"/>
        </w:trPr>
        <w:tc>
          <w:tcPr>
            <w:tcW w:w="1691" w:type="dxa"/>
            <w:vMerge/>
            <w:shd w:val="clear" w:color="auto" w:fill="DBE5F1" w:themeFill="accent1" w:themeFillTint="33"/>
            <w:vAlign w:val="center"/>
          </w:tcPr>
          <w:p w14:paraId="06F52188" w14:textId="77777777" w:rsidR="0034513B" w:rsidRPr="000828CD" w:rsidRDefault="0034513B" w:rsidP="001F0C45">
            <w:pPr>
              <w:rPr>
                <w:b/>
                <w:bCs/>
              </w:rPr>
            </w:pPr>
          </w:p>
        </w:tc>
        <w:tc>
          <w:tcPr>
            <w:tcW w:w="1476" w:type="dxa"/>
            <w:vMerge/>
            <w:shd w:val="clear" w:color="auto" w:fill="auto"/>
            <w:vAlign w:val="center"/>
          </w:tcPr>
          <w:p w14:paraId="05141EEC" w14:textId="77777777" w:rsidR="0034513B" w:rsidRPr="000828CD" w:rsidRDefault="0034513B" w:rsidP="001F0C45"/>
        </w:tc>
        <w:tc>
          <w:tcPr>
            <w:tcW w:w="1081" w:type="dxa"/>
            <w:shd w:val="clear" w:color="auto" w:fill="auto"/>
            <w:vAlign w:val="center"/>
          </w:tcPr>
          <w:p w14:paraId="5856B152" w14:textId="0BB0C5E8" w:rsidR="0034513B" w:rsidRPr="000828CD" w:rsidRDefault="0034513B" w:rsidP="000367F3">
            <w:r w:rsidRPr="00EB561B">
              <w:rPr>
                <w:b/>
              </w:rPr>
              <w:t>CrCl (m</w:t>
            </w:r>
            <w:r w:rsidR="00E356F9">
              <w:rPr>
                <w:b/>
              </w:rPr>
              <w:t>l</w:t>
            </w:r>
            <w:r w:rsidRPr="00EB561B">
              <w:rPr>
                <w:b/>
              </w:rPr>
              <w:t>/min)</w:t>
            </w:r>
          </w:p>
        </w:tc>
        <w:tc>
          <w:tcPr>
            <w:tcW w:w="1417" w:type="dxa"/>
            <w:shd w:val="clear" w:color="auto" w:fill="auto"/>
            <w:vAlign w:val="center"/>
          </w:tcPr>
          <w:p w14:paraId="10DD8D67" w14:textId="6E4B39DE" w:rsidR="0034513B" w:rsidRPr="000828CD" w:rsidRDefault="0034513B" w:rsidP="000367F3">
            <w:pPr>
              <w:jc w:val="center"/>
            </w:pPr>
            <w:r w:rsidRPr="00EB561B">
              <w:t>≥80</w:t>
            </w:r>
          </w:p>
        </w:tc>
        <w:tc>
          <w:tcPr>
            <w:tcW w:w="1584" w:type="dxa"/>
            <w:shd w:val="clear" w:color="auto" w:fill="auto"/>
            <w:vAlign w:val="center"/>
          </w:tcPr>
          <w:p w14:paraId="1E867080" w14:textId="23FE23B0" w:rsidR="0034513B" w:rsidRPr="000828CD" w:rsidRDefault="0034513B" w:rsidP="000367F3">
            <w:pPr>
              <w:jc w:val="center"/>
            </w:pPr>
            <w:r w:rsidRPr="00EB561B">
              <w:t>≥50</w:t>
            </w:r>
            <w:r w:rsidR="00E40322">
              <w:t xml:space="preserve"> </w:t>
            </w:r>
            <w:r w:rsidRPr="00EB561B">
              <w:t>-</w:t>
            </w:r>
            <w:r w:rsidR="00E40322">
              <w:t xml:space="preserve"> </w:t>
            </w:r>
            <w:r w:rsidRPr="00EB561B">
              <w:t>&lt;80</w:t>
            </w:r>
          </w:p>
        </w:tc>
        <w:tc>
          <w:tcPr>
            <w:tcW w:w="1263" w:type="dxa"/>
            <w:shd w:val="clear" w:color="auto" w:fill="auto"/>
            <w:vAlign w:val="center"/>
          </w:tcPr>
          <w:p w14:paraId="2696AE4D" w14:textId="767B8FDA" w:rsidR="0034513B" w:rsidRPr="000828CD" w:rsidRDefault="0034513B" w:rsidP="000367F3">
            <w:pPr>
              <w:jc w:val="center"/>
            </w:pPr>
            <w:r w:rsidRPr="00EB561B">
              <w:t>≥30</w:t>
            </w:r>
            <w:r w:rsidR="00E40322">
              <w:t xml:space="preserve"> </w:t>
            </w:r>
            <w:r w:rsidRPr="00EB561B">
              <w:t>-</w:t>
            </w:r>
            <w:r w:rsidR="00E40322">
              <w:t xml:space="preserve"> </w:t>
            </w:r>
            <w:r w:rsidRPr="00EB561B">
              <w:t>&lt;50</w:t>
            </w:r>
          </w:p>
        </w:tc>
        <w:tc>
          <w:tcPr>
            <w:tcW w:w="1264" w:type="dxa"/>
            <w:shd w:val="clear" w:color="auto" w:fill="auto"/>
            <w:vAlign w:val="center"/>
          </w:tcPr>
          <w:p w14:paraId="6FF30645" w14:textId="62ABCB31" w:rsidR="0034513B" w:rsidRPr="000828CD" w:rsidRDefault="0034513B" w:rsidP="000367F3">
            <w:pPr>
              <w:jc w:val="center"/>
            </w:pPr>
            <w:r w:rsidRPr="00EB561B">
              <w:t>&lt;30</w:t>
            </w:r>
          </w:p>
        </w:tc>
      </w:tr>
      <w:tr w:rsidR="000367F3" w:rsidRPr="00EB561B" w14:paraId="25D87E1D" w14:textId="77777777" w:rsidTr="007D4F98">
        <w:trPr>
          <w:trHeight w:val="1026"/>
        </w:trPr>
        <w:tc>
          <w:tcPr>
            <w:tcW w:w="1691" w:type="dxa"/>
            <w:shd w:val="clear" w:color="auto" w:fill="F2DBDB" w:themeFill="accent2" w:themeFillTint="33"/>
            <w:vAlign w:val="center"/>
          </w:tcPr>
          <w:p w14:paraId="6C019331" w14:textId="77777777" w:rsidR="000367F3" w:rsidRPr="00EB561B" w:rsidRDefault="000367F3" w:rsidP="000367F3">
            <w:r w:rsidRPr="000828CD">
              <w:rPr>
                <w:b/>
                <w:bCs/>
              </w:rPr>
              <w:t>Rivaroxaban (Xarelto</w:t>
            </w:r>
            <w:r w:rsidRPr="000828CD">
              <w:rPr>
                <w:b/>
                <w:bCs/>
              </w:rPr>
              <w:sym w:font="Symbol" w:char="F0D2"/>
            </w:r>
            <w:r w:rsidRPr="000828CD">
              <w:rPr>
                <w:rFonts w:cs="Arial"/>
                <w:b/>
                <w:bCs/>
              </w:rPr>
              <w:t>▼</w:t>
            </w:r>
            <w:r w:rsidRPr="000828CD">
              <w:rPr>
                <w:b/>
                <w:bCs/>
              </w:rPr>
              <w:t>)</w:t>
            </w:r>
            <w:r w:rsidRPr="000828CD">
              <w:rPr>
                <w:b/>
                <w:bCs/>
                <w:vertAlign w:val="superscript"/>
              </w:rPr>
              <w:t>2</w:t>
            </w:r>
          </w:p>
        </w:tc>
        <w:tc>
          <w:tcPr>
            <w:tcW w:w="8085" w:type="dxa"/>
            <w:gridSpan w:val="6"/>
            <w:shd w:val="clear" w:color="auto" w:fill="auto"/>
            <w:vAlign w:val="center"/>
          </w:tcPr>
          <w:p w14:paraId="06AB77D0" w14:textId="12985F0C" w:rsidR="000367F3" w:rsidRPr="00EB561B" w:rsidRDefault="000367F3" w:rsidP="000367F3">
            <w:r w:rsidRPr="00EB561B">
              <w:t xml:space="preserve">Terminal </w:t>
            </w:r>
            <w:r w:rsidR="00EA600C" w:rsidRPr="00EB561B">
              <w:t>half-life</w:t>
            </w:r>
            <w:r w:rsidRPr="00EB561B">
              <w:t xml:space="preserve"> in young individuals - 5-9 hours</w:t>
            </w:r>
          </w:p>
          <w:p w14:paraId="63B15A0D" w14:textId="10C869A1" w:rsidR="000367F3" w:rsidRPr="00EB561B" w:rsidRDefault="000367F3" w:rsidP="000367F3">
            <w:r w:rsidRPr="00EB561B">
              <w:t xml:space="preserve">Terminal </w:t>
            </w:r>
            <w:r w:rsidR="00EA600C" w:rsidRPr="00EB561B">
              <w:t>half-life</w:t>
            </w:r>
            <w:r w:rsidRPr="00EB561B">
              <w:t xml:space="preserve"> in the elderly - 11-13 hours</w:t>
            </w:r>
          </w:p>
        </w:tc>
      </w:tr>
      <w:tr w:rsidR="000367F3" w:rsidRPr="00EB561B" w14:paraId="332E5346" w14:textId="77777777" w:rsidTr="007D4F98">
        <w:trPr>
          <w:trHeight w:val="668"/>
        </w:trPr>
        <w:tc>
          <w:tcPr>
            <w:tcW w:w="1691" w:type="dxa"/>
            <w:shd w:val="clear" w:color="auto" w:fill="E5DFEC" w:themeFill="accent4" w:themeFillTint="33"/>
            <w:vAlign w:val="center"/>
          </w:tcPr>
          <w:p w14:paraId="7D6AECC2" w14:textId="77777777" w:rsidR="000367F3" w:rsidRPr="00EB561B" w:rsidRDefault="000367F3" w:rsidP="000367F3">
            <w:r w:rsidRPr="000828CD">
              <w:rPr>
                <w:b/>
                <w:bCs/>
              </w:rPr>
              <w:t>Apixaban (Eliquis</w:t>
            </w:r>
            <w:r w:rsidRPr="000828CD">
              <w:rPr>
                <w:b/>
                <w:bCs/>
              </w:rPr>
              <w:sym w:font="Symbol" w:char="F0D2"/>
            </w:r>
            <w:r w:rsidRPr="000828CD">
              <w:rPr>
                <w:b/>
                <w:bCs/>
              </w:rPr>
              <w:t>)</w:t>
            </w:r>
            <w:r w:rsidRPr="000828CD">
              <w:rPr>
                <w:b/>
                <w:bCs/>
                <w:vertAlign w:val="superscript"/>
              </w:rPr>
              <w:t>3</w:t>
            </w:r>
          </w:p>
        </w:tc>
        <w:tc>
          <w:tcPr>
            <w:tcW w:w="8085" w:type="dxa"/>
            <w:gridSpan w:val="6"/>
            <w:shd w:val="clear" w:color="auto" w:fill="auto"/>
            <w:vAlign w:val="center"/>
          </w:tcPr>
          <w:p w14:paraId="0A09C099" w14:textId="55EFD949" w:rsidR="000367F3" w:rsidRPr="00EB561B" w:rsidRDefault="000367F3" w:rsidP="000367F3">
            <w:r w:rsidRPr="00EB561B">
              <w:t>Approximately 12 hours</w:t>
            </w:r>
          </w:p>
        </w:tc>
      </w:tr>
      <w:tr w:rsidR="000367F3" w:rsidRPr="00EB561B" w14:paraId="6003C90C" w14:textId="77777777" w:rsidTr="007D4F98">
        <w:trPr>
          <w:trHeight w:val="907"/>
        </w:trPr>
        <w:tc>
          <w:tcPr>
            <w:tcW w:w="1691" w:type="dxa"/>
            <w:shd w:val="clear" w:color="auto" w:fill="FDE9D9" w:themeFill="accent6" w:themeFillTint="33"/>
            <w:vAlign w:val="center"/>
          </w:tcPr>
          <w:p w14:paraId="133D65EC" w14:textId="77777777" w:rsidR="000367F3" w:rsidRPr="00EB561B" w:rsidRDefault="000367F3" w:rsidP="000367F3">
            <w:r w:rsidRPr="000828CD">
              <w:rPr>
                <w:b/>
                <w:bCs/>
              </w:rPr>
              <w:t>Edoxaban (Lixiana</w:t>
            </w:r>
            <w:r w:rsidRPr="000828CD">
              <w:rPr>
                <w:b/>
                <w:bCs/>
              </w:rPr>
              <w:sym w:font="Symbol" w:char="F0D2"/>
            </w:r>
            <w:r w:rsidRPr="000828CD">
              <w:rPr>
                <w:b/>
                <w:bCs/>
              </w:rPr>
              <w:t>)</w:t>
            </w:r>
            <w:r w:rsidRPr="000828CD">
              <w:rPr>
                <w:b/>
                <w:bCs/>
                <w:vertAlign w:val="superscript"/>
              </w:rPr>
              <w:t>4</w:t>
            </w:r>
          </w:p>
        </w:tc>
        <w:tc>
          <w:tcPr>
            <w:tcW w:w="8085" w:type="dxa"/>
            <w:gridSpan w:val="6"/>
            <w:shd w:val="clear" w:color="auto" w:fill="auto"/>
            <w:vAlign w:val="center"/>
          </w:tcPr>
          <w:p w14:paraId="666C3395" w14:textId="00135501" w:rsidR="000367F3" w:rsidRPr="00EB561B" w:rsidRDefault="000367F3" w:rsidP="000367F3">
            <w:r w:rsidRPr="00EB561B">
              <w:t>10 to 14 hours</w:t>
            </w:r>
          </w:p>
        </w:tc>
      </w:tr>
      <w:tr w:rsidR="000367F3" w:rsidRPr="00EB561B" w14:paraId="3D4EA986" w14:textId="77777777" w:rsidTr="007D4F98">
        <w:trPr>
          <w:trHeight w:val="1968"/>
        </w:trPr>
        <w:tc>
          <w:tcPr>
            <w:tcW w:w="1691" w:type="dxa"/>
            <w:shd w:val="clear" w:color="auto" w:fill="EAF1DD" w:themeFill="accent3" w:themeFillTint="33"/>
            <w:vAlign w:val="center"/>
          </w:tcPr>
          <w:p w14:paraId="0C44BD1C" w14:textId="77777777" w:rsidR="000367F3" w:rsidRPr="000828CD" w:rsidRDefault="000367F3" w:rsidP="000367F3">
            <w:pPr>
              <w:rPr>
                <w:b/>
                <w:bCs/>
              </w:rPr>
            </w:pPr>
            <w:r w:rsidRPr="000828CD">
              <w:rPr>
                <w:b/>
                <w:bCs/>
              </w:rPr>
              <w:t>Warfarin</w:t>
            </w:r>
            <w:r w:rsidRPr="000828CD">
              <w:rPr>
                <w:b/>
                <w:bCs/>
                <w:vertAlign w:val="superscript"/>
              </w:rPr>
              <w:t>5</w:t>
            </w:r>
            <w:r>
              <w:rPr>
                <w:b/>
                <w:bCs/>
                <w:vertAlign w:val="superscript"/>
              </w:rPr>
              <w:t>,6</w:t>
            </w:r>
          </w:p>
        </w:tc>
        <w:tc>
          <w:tcPr>
            <w:tcW w:w="8085" w:type="dxa"/>
            <w:gridSpan w:val="6"/>
            <w:shd w:val="clear" w:color="auto" w:fill="auto"/>
            <w:vAlign w:val="center"/>
          </w:tcPr>
          <w:p w14:paraId="5FC28BA1" w14:textId="100E672B" w:rsidR="000367F3" w:rsidRPr="00EB561B" w:rsidRDefault="000367F3" w:rsidP="000367F3">
            <w:pPr>
              <w:rPr>
                <w:color w:val="000000"/>
                <w:shd w:val="clear" w:color="auto" w:fill="FFFFFF"/>
              </w:rPr>
            </w:pPr>
            <w:r>
              <w:rPr>
                <w:color w:val="000000"/>
                <w:shd w:val="clear" w:color="auto" w:fill="FFFFFF"/>
              </w:rPr>
              <w:t>S</w:t>
            </w:r>
            <w:r w:rsidRPr="00EB561B">
              <w:rPr>
                <w:color w:val="000000"/>
                <w:shd w:val="clear" w:color="auto" w:fill="FFFFFF"/>
              </w:rPr>
              <w:t>ingle dose</w:t>
            </w:r>
            <w:r>
              <w:rPr>
                <w:color w:val="000000"/>
                <w:shd w:val="clear" w:color="auto" w:fill="FFFFFF"/>
              </w:rPr>
              <w:t xml:space="preserve"> </w:t>
            </w:r>
            <w:r w:rsidRPr="00EB561B">
              <w:rPr>
                <w:color w:val="000000"/>
                <w:shd w:val="clear" w:color="auto" w:fill="FFFFFF"/>
              </w:rPr>
              <w:t xml:space="preserve">- approximately one week </w:t>
            </w:r>
          </w:p>
          <w:p w14:paraId="7CC85D3E" w14:textId="31896890" w:rsidR="000367F3" w:rsidRPr="000367F3" w:rsidRDefault="000367F3" w:rsidP="000367F3">
            <w:pPr>
              <w:pStyle w:val="ListParagraph"/>
              <w:numPr>
                <w:ilvl w:val="0"/>
                <w:numId w:val="24"/>
              </w:numPr>
              <w:rPr>
                <w:color w:val="000000"/>
                <w:shd w:val="clear" w:color="auto" w:fill="FFFFFF"/>
              </w:rPr>
            </w:pPr>
            <w:r w:rsidRPr="000367F3">
              <w:rPr>
                <w:color w:val="000000"/>
                <w:shd w:val="clear" w:color="auto" w:fill="FFFFFF"/>
              </w:rPr>
              <w:t>Effective half-life ranges from 20 to 60 hours, with a mean of about 40 hours</w:t>
            </w:r>
          </w:p>
          <w:p w14:paraId="4C8C4C0F" w14:textId="56C2BCDB" w:rsidR="000367F3" w:rsidRPr="00EB561B" w:rsidRDefault="000367F3" w:rsidP="000367F3">
            <w:pPr>
              <w:pStyle w:val="ListParagraph"/>
              <w:numPr>
                <w:ilvl w:val="0"/>
                <w:numId w:val="24"/>
              </w:numPr>
            </w:pPr>
            <w:r w:rsidRPr="000367F3">
              <w:rPr>
                <w:color w:val="000000"/>
                <w:shd w:val="clear" w:color="auto" w:fill="FFFFFF"/>
              </w:rPr>
              <w:t>Studies with radiolabelled drug have demonstrated that up to 92% of the orally administered dose is recovered in urine</w:t>
            </w:r>
            <w:r w:rsidR="00E40322">
              <w:rPr>
                <w:color w:val="000000"/>
                <w:shd w:val="clear" w:color="auto" w:fill="FFFFFF"/>
              </w:rPr>
              <w:t>, v</w:t>
            </w:r>
            <w:r w:rsidRPr="000367F3">
              <w:rPr>
                <w:color w:val="000000"/>
                <w:shd w:val="clear" w:color="auto" w:fill="FFFFFF"/>
              </w:rPr>
              <w:t>ery little warfarin is excreted unchanged in urine</w:t>
            </w:r>
            <w:r w:rsidR="00E40322">
              <w:rPr>
                <w:color w:val="000000"/>
                <w:shd w:val="clear" w:color="auto" w:fill="FFFFFF"/>
              </w:rPr>
              <w:t>, and u</w:t>
            </w:r>
            <w:r w:rsidRPr="000367F3">
              <w:rPr>
                <w:color w:val="000000"/>
                <w:shd w:val="clear" w:color="auto" w:fill="FFFFFF"/>
              </w:rPr>
              <w:t>rinary excretion is in the form of metabolites</w:t>
            </w:r>
          </w:p>
        </w:tc>
      </w:tr>
    </w:tbl>
    <w:p w14:paraId="33525901" w14:textId="5C805D27" w:rsidR="00215B05" w:rsidRPr="00EB561B" w:rsidRDefault="00215B05">
      <w:pPr>
        <w:rPr>
          <w:rFonts w:asciiTheme="majorHAnsi" w:hAnsiTheme="majorHAnsi" w:cstheme="majorHAnsi"/>
          <w:szCs w:val="22"/>
        </w:rPr>
      </w:pPr>
    </w:p>
    <w:tbl>
      <w:tblPr>
        <w:tblStyle w:val="TableGrid"/>
        <w:tblW w:w="0" w:type="auto"/>
        <w:tblLook w:val="04A0" w:firstRow="1" w:lastRow="0" w:firstColumn="1" w:lastColumn="0" w:noHBand="0" w:noVBand="1"/>
      </w:tblPr>
      <w:tblGrid>
        <w:gridCol w:w="2007"/>
        <w:gridCol w:w="2759"/>
        <w:gridCol w:w="1801"/>
        <w:gridCol w:w="1865"/>
        <w:gridCol w:w="1303"/>
      </w:tblGrid>
      <w:tr w:rsidR="00B73768" w:rsidRPr="00EB561B" w14:paraId="2A2C3F80" w14:textId="77777777" w:rsidTr="00DC288E">
        <w:trPr>
          <w:cantSplit/>
        </w:trPr>
        <w:tc>
          <w:tcPr>
            <w:tcW w:w="0" w:type="auto"/>
            <w:gridSpan w:val="5"/>
            <w:shd w:val="clear" w:color="auto" w:fill="F2F2F2" w:themeFill="background1" w:themeFillShade="F2"/>
            <w:vAlign w:val="center"/>
          </w:tcPr>
          <w:p w14:paraId="4D680247" w14:textId="2F8C99B0" w:rsidR="00B73768" w:rsidRPr="00367CC8" w:rsidRDefault="00B73768" w:rsidP="000367F3">
            <w:pPr>
              <w:pStyle w:val="Heading2"/>
            </w:pPr>
            <w:bookmarkStart w:id="91" w:name="_Toc104910462"/>
            <w:bookmarkStart w:id="92" w:name="_Toc106708909"/>
            <w:r w:rsidRPr="00367CC8">
              <w:t>Bioavailability</w:t>
            </w:r>
            <w:bookmarkEnd w:id="91"/>
            <w:bookmarkEnd w:id="92"/>
          </w:p>
        </w:tc>
      </w:tr>
      <w:tr w:rsidR="00FA77A0" w:rsidRPr="00EB561B" w14:paraId="1370B5BF" w14:textId="77777777" w:rsidTr="00D71796">
        <w:trPr>
          <w:cantSplit/>
        </w:trPr>
        <w:tc>
          <w:tcPr>
            <w:tcW w:w="0" w:type="auto"/>
            <w:shd w:val="clear" w:color="auto" w:fill="DBE5F1" w:themeFill="accent1" w:themeFillTint="33"/>
            <w:vAlign w:val="center"/>
          </w:tcPr>
          <w:p w14:paraId="7E8CE5F1" w14:textId="77777777" w:rsidR="00B73768" w:rsidRPr="000367F3" w:rsidRDefault="00B73768" w:rsidP="00D71796">
            <w:pPr>
              <w:jc w:val="center"/>
              <w:rPr>
                <w:b/>
                <w:bCs/>
              </w:rPr>
            </w:pPr>
            <w:r w:rsidRPr="000367F3">
              <w:rPr>
                <w:b/>
                <w:bCs/>
              </w:rPr>
              <w:t>Dabigatran (Pradaxa</w:t>
            </w:r>
            <w:r w:rsidRPr="000367F3">
              <w:rPr>
                <w:b/>
                <w:bCs/>
              </w:rPr>
              <w:sym w:font="Symbol" w:char="F0D2"/>
            </w:r>
            <w:r w:rsidRPr="000367F3">
              <w:rPr>
                <w:b/>
                <w:bCs/>
              </w:rPr>
              <w:t>)</w:t>
            </w:r>
            <w:r w:rsidRPr="000367F3">
              <w:rPr>
                <w:b/>
                <w:bCs/>
                <w:vertAlign w:val="superscript"/>
              </w:rPr>
              <w:t>1</w:t>
            </w:r>
          </w:p>
        </w:tc>
        <w:tc>
          <w:tcPr>
            <w:tcW w:w="0" w:type="auto"/>
            <w:shd w:val="clear" w:color="auto" w:fill="F2DBDB" w:themeFill="accent2" w:themeFillTint="33"/>
            <w:vAlign w:val="center"/>
          </w:tcPr>
          <w:p w14:paraId="7E5E4396" w14:textId="77777777" w:rsidR="00B73768" w:rsidRPr="000367F3" w:rsidRDefault="00B73768" w:rsidP="00D71796">
            <w:pPr>
              <w:jc w:val="center"/>
              <w:rPr>
                <w:b/>
                <w:bCs/>
              </w:rPr>
            </w:pPr>
            <w:r w:rsidRPr="000367F3">
              <w:rPr>
                <w:b/>
                <w:bCs/>
              </w:rPr>
              <w:t>Rivaroxaban (Xarelto</w:t>
            </w:r>
            <w:r w:rsidRPr="000367F3">
              <w:rPr>
                <w:b/>
                <w:bCs/>
              </w:rPr>
              <w:sym w:font="Symbol" w:char="F0D2"/>
            </w:r>
            <w:r w:rsidRPr="000367F3">
              <w:rPr>
                <w:rFonts w:cs="Arial"/>
                <w:b/>
                <w:bCs/>
              </w:rPr>
              <w:t>▼</w:t>
            </w:r>
            <w:r w:rsidRPr="000367F3">
              <w:rPr>
                <w:b/>
                <w:bCs/>
              </w:rPr>
              <w:t>)</w:t>
            </w:r>
            <w:r w:rsidRPr="000367F3">
              <w:rPr>
                <w:b/>
                <w:bCs/>
                <w:vertAlign w:val="superscript"/>
              </w:rPr>
              <w:t>2</w:t>
            </w:r>
          </w:p>
        </w:tc>
        <w:tc>
          <w:tcPr>
            <w:tcW w:w="0" w:type="auto"/>
            <w:shd w:val="clear" w:color="auto" w:fill="E5DFEC" w:themeFill="accent4" w:themeFillTint="33"/>
            <w:vAlign w:val="center"/>
          </w:tcPr>
          <w:p w14:paraId="0153C735" w14:textId="77777777" w:rsidR="00B73768" w:rsidRPr="000367F3" w:rsidRDefault="00B73768" w:rsidP="00D71796">
            <w:pPr>
              <w:jc w:val="center"/>
              <w:rPr>
                <w:b/>
                <w:bCs/>
              </w:rPr>
            </w:pPr>
            <w:r w:rsidRPr="000367F3">
              <w:rPr>
                <w:b/>
                <w:bCs/>
              </w:rPr>
              <w:t>Apixaban (Eliquis</w:t>
            </w:r>
            <w:r w:rsidRPr="000367F3">
              <w:rPr>
                <w:b/>
                <w:bCs/>
              </w:rPr>
              <w:sym w:font="Symbol" w:char="F0D2"/>
            </w:r>
            <w:r w:rsidRPr="000367F3">
              <w:rPr>
                <w:b/>
                <w:bCs/>
              </w:rPr>
              <w:t>)</w:t>
            </w:r>
            <w:r w:rsidRPr="000367F3">
              <w:rPr>
                <w:b/>
                <w:bCs/>
                <w:vertAlign w:val="superscript"/>
              </w:rPr>
              <w:t>3</w:t>
            </w:r>
          </w:p>
        </w:tc>
        <w:tc>
          <w:tcPr>
            <w:tcW w:w="0" w:type="auto"/>
            <w:shd w:val="clear" w:color="auto" w:fill="FDE9D9" w:themeFill="accent6" w:themeFillTint="33"/>
            <w:vAlign w:val="center"/>
          </w:tcPr>
          <w:p w14:paraId="060DFD85" w14:textId="3024EA1B" w:rsidR="00B73768" w:rsidRPr="000367F3" w:rsidRDefault="00B73768" w:rsidP="00D71796">
            <w:pPr>
              <w:jc w:val="center"/>
              <w:rPr>
                <w:b/>
                <w:bCs/>
              </w:rPr>
            </w:pPr>
            <w:r w:rsidRPr="000367F3">
              <w:rPr>
                <w:b/>
                <w:bCs/>
              </w:rPr>
              <w:t>Edoxaban (Lixiana</w:t>
            </w:r>
            <w:r w:rsidRPr="000367F3">
              <w:rPr>
                <w:b/>
                <w:bCs/>
              </w:rPr>
              <w:sym w:font="Symbol" w:char="F0D2"/>
            </w:r>
            <w:r w:rsidRPr="000367F3">
              <w:rPr>
                <w:b/>
                <w:bCs/>
              </w:rPr>
              <w:t>)</w:t>
            </w:r>
            <w:r w:rsidRPr="000367F3">
              <w:rPr>
                <w:b/>
                <w:bCs/>
                <w:vertAlign w:val="superscript"/>
              </w:rPr>
              <w:t>4</w:t>
            </w:r>
          </w:p>
        </w:tc>
        <w:tc>
          <w:tcPr>
            <w:tcW w:w="0" w:type="auto"/>
            <w:shd w:val="clear" w:color="auto" w:fill="EAF1DD" w:themeFill="accent3" w:themeFillTint="33"/>
            <w:vAlign w:val="center"/>
          </w:tcPr>
          <w:p w14:paraId="26E3FD14" w14:textId="735EDC8D" w:rsidR="00B73768" w:rsidRPr="000367F3" w:rsidRDefault="00B73768" w:rsidP="00D71796">
            <w:pPr>
              <w:jc w:val="center"/>
              <w:rPr>
                <w:b/>
                <w:bCs/>
                <w:lang w:val="de-DE"/>
              </w:rPr>
            </w:pPr>
            <w:r w:rsidRPr="000367F3">
              <w:rPr>
                <w:b/>
                <w:bCs/>
                <w:lang w:val="de-DE"/>
              </w:rPr>
              <w:t>Warfarin</w:t>
            </w:r>
            <w:r w:rsidR="000F2903" w:rsidRPr="000367F3">
              <w:rPr>
                <w:b/>
                <w:bCs/>
                <w:vertAlign w:val="superscript"/>
                <w:lang w:val="de-DE"/>
              </w:rPr>
              <w:t>5</w:t>
            </w:r>
            <w:r w:rsidR="00FA77A0" w:rsidRPr="000367F3">
              <w:rPr>
                <w:b/>
                <w:bCs/>
                <w:vertAlign w:val="superscript"/>
                <w:lang w:val="de-DE"/>
              </w:rPr>
              <w:t>,6</w:t>
            </w:r>
          </w:p>
        </w:tc>
      </w:tr>
      <w:tr w:rsidR="00FA77A0" w:rsidRPr="00EB561B" w14:paraId="4D1D8D0F" w14:textId="77777777" w:rsidTr="006C12C6">
        <w:trPr>
          <w:cantSplit/>
        </w:trPr>
        <w:tc>
          <w:tcPr>
            <w:tcW w:w="0" w:type="auto"/>
            <w:shd w:val="clear" w:color="auto" w:fill="auto"/>
            <w:vAlign w:val="center"/>
          </w:tcPr>
          <w:p w14:paraId="65F90CD1" w14:textId="631651FA" w:rsidR="00B73768" w:rsidRPr="00EB561B" w:rsidRDefault="006457B8" w:rsidP="006C12C6">
            <w:pPr>
              <w:jc w:val="center"/>
            </w:pPr>
            <w:r w:rsidRPr="00EB561B">
              <w:t>6.5</w:t>
            </w:r>
            <w:r w:rsidR="00B73768" w:rsidRPr="00EB561B">
              <w:t>%</w:t>
            </w:r>
          </w:p>
        </w:tc>
        <w:tc>
          <w:tcPr>
            <w:tcW w:w="0" w:type="auto"/>
            <w:shd w:val="clear" w:color="auto" w:fill="auto"/>
            <w:vAlign w:val="center"/>
          </w:tcPr>
          <w:p w14:paraId="393C4849" w14:textId="6A53D26A" w:rsidR="00AB4651" w:rsidRPr="00EB561B" w:rsidRDefault="00AB4651" w:rsidP="005A64F7">
            <w:pPr>
              <w:spacing w:before="0" w:after="0"/>
            </w:pPr>
            <w:r w:rsidRPr="00EB561B">
              <w:t>2.5mg and 10mg:</w:t>
            </w:r>
          </w:p>
          <w:p w14:paraId="5A83DE1C" w14:textId="784462D3" w:rsidR="001271A3" w:rsidRPr="00EB561B" w:rsidRDefault="00AB4651" w:rsidP="005A64F7">
            <w:pPr>
              <w:pStyle w:val="ListParagraph"/>
              <w:numPr>
                <w:ilvl w:val="0"/>
                <w:numId w:val="28"/>
              </w:numPr>
              <w:spacing w:before="0" w:after="0"/>
            </w:pPr>
            <w:r w:rsidRPr="00EB561B">
              <w:t>80-100% in fasting and fed conditions</w:t>
            </w:r>
          </w:p>
          <w:p w14:paraId="290D31E5" w14:textId="3B6A39F8" w:rsidR="00AB4651" w:rsidRPr="00EB561B" w:rsidRDefault="00B73768" w:rsidP="005A64F7">
            <w:pPr>
              <w:spacing w:before="0" w:after="0"/>
            </w:pPr>
            <w:r w:rsidRPr="00EB561B">
              <w:t>15mg/20mg:</w:t>
            </w:r>
          </w:p>
          <w:p w14:paraId="1F08FA9B" w14:textId="77777777" w:rsidR="000367F3" w:rsidRDefault="00B73768" w:rsidP="005A64F7">
            <w:pPr>
              <w:pStyle w:val="ListParagraph"/>
              <w:numPr>
                <w:ilvl w:val="0"/>
                <w:numId w:val="27"/>
              </w:numPr>
              <w:spacing w:before="0" w:after="0"/>
            </w:pPr>
            <w:r w:rsidRPr="00EB561B">
              <w:t>66% without food</w:t>
            </w:r>
          </w:p>
          <w:p w14:paraId="1E6DA31E" w14:textId="45D1DC9B" w:rsidR="00B73768" w:rsidRPr="00EB561B" w:rsidRDefault="00B73768" w:rsidP="006C12C6">
            <w:pPr>
              <w:pStyle w:val="ListParagraph"/>
              <w:numPr>
                <w:ilvl w:val="0"/>
                <w:numId w:val="27"/>
              </w:numPr>
            </w:pPr>
            <w:r w:rsidRPr="00EB561B">
              <w:t>100% with food</w:t>
            </w:r>
          </w:p>
        </w:tc>
        <w:tc>
          <w:tcPr>
            <w:tcW w:w="0" w:type="auto"/>
            <w:shd w:val="clear" w:color="auto" w:fill="auto"/>
            <w:vAlign w:val="center"/>
          </w:tcPr>
          <w:p w14:paraId="6F176CAB" w14:textId="6E798CAB" w:rsidR="00B73768" w:rsidRPr="00EB561B" w:rsidRDefault="00B73768" w:rsidP="006C12C6">
            <w:pPr>
              <w:jc w:val="center"/>
            </w:pPr>
            <w:r w:rsidRPr="00EB561B">
              <w:t>50%</w:t>
            </w:r>
          </w:p>
        </w:tc>
        <w:tc>
          <w:tcPr>
            <w:tcW w:w="0" w:type="auto"/>
            <w:shd w:val="clear" w:color="auto" w:fill="auto"/>
            <w:vAlign w:val="center"/>
          </w:tcPr>
          <w:p w14:paraId="4ABC5C96" w14:textId="290D3FA4" w:rsidR="00B73768" w:rsidRPr="00EB561B" w:rsidRDefault="00B73768" w:rsidP="006C12C6">
            <w:pPr>
              <w:jc w:val="center"/>
            </w:pPr>
            <w:r w:rsidRPr="00EB561B">
              <w:t>62%</w:t>
            </w:r>
          </w:p>
        </w:tc>
        <w:tc>
          <w:tcPr>
            <w:tcW w:w="0" w:type="auto"/>
            <w:vAlign w:val="center"/>
          </w:tcPr>
          <w:p w14:paraId="1A0BADF7" w14:textId="2158EF20" w:rsidR="001271A3" w:rsidRPr="00EB561B" w:rsidRDefault="001271A3" w:rsidP="006C12C6">
            <w:pPr>
              <w:jc w:val="center"/>
            </w:pPr>
            <w:r w:rsidRPr="00EB561B">
              <w:t>100%</w:t>
            </w:r>
          </w:p>
        </w:tc>
      </w:tr>
    </w:tbl>
    <w:p w14:paraId="049B1504" w14:textId="77777777" w:rsidR="00E31F9D" w:rsidRDefault="00E31F9D"/>
    <w:tbl>
      <w:tblPr>
        <w:tblStyle w:val="TableGrid"/>
        <w:tblW w:w="0" w:type="auto"/>
        <w:tblLook w:val="04A0" w:firstRow="1" w:lastRow="0" w:firstColumn="1" w:lastColumn="0" w:noHBand="0" w:noVBand="1"/>
      </w:tblPr>
      <w:tblGrid>
        <w:gridCol w:w="2181"/>
        <w:gridCol w:w="2389"/>
        <w:gridCol w:w="1953"/>
        <w:gridCol w:w="2025"/>
        <w:gridCol w:w="1187"/>
      </w:tblGrid>
      <w:tr w:rsidR="00B73768" w:rsidRPr="00EB561B" w14:paraId="1267D3FB" w14:textId="77777777" w:rsidTr="00DC288E">
        <w:trPr>
          <w:cantSplit/>
        </w:trPr>
        <w:tc>
          <w:tcPr>
            <w:tcW w:w="0" w:type="auto"/>
            <w:gridSpan w:val="5"/>
            <w:shd w:val="clear" w:color="auto" w:fill="F2F2F2" w:themeFill="background1" w:themeFillShade="F2"/>
            <w:vAlign w:val="center"/>
          </w:tcPr>
          <w:p w14:paraId="57D7F1E5" w14:textId="32FC4EE1" w:rsidR="00B73768" w:rsidRPr="00367CC8" w:rsidRDefault="00B73768" w:rsidP="000367F3">
            <w:pPr>
              <w:pStyle w:val="Heading2"/>
            </w:pPr>
            <w:bookmarkStart w:id="93" w:name="_Toc104910463"/>
            <w:bookmarkStart w:id="94" w:name="_Toc106708910"/>
            <w:r w:rsidRPr="000367F3">
              <w:t>Protein</w:t>
            </w:r>
            <w:r w:rsidRPr="00367CC8">
              <w:t xml:space="preserve"> </w:t>
            </w:r>
            <w:r w:rsidR="000367F3">
              <w:t>b</w:t>
            </w:r>
            <w:r w:rsidRPr="00367CC8">
              <w:t>inding</w:t>
            </w:r>
            <w:bookmarkEnd w:id="93"/>
            <w:bookmarkEnd w:id="94"/>
          </w:p>
        </w:tc>
      </w:tr>
      <w:tr w:rsidR="00FA77A0" w:rsidRPr="00EB561B" w14:paraId="0B600296" w14:textId="77777777" w:rsidTr="00D71796">
        <w:trPr>
          <w:cantSplit/>
        </w:trPr>
        <w:tc>
          <w:tcPr>
            <w:tcW w:w="0" w:type="auto"/>
            <w:shd w:val="clear" w:color="auto" w:fill="DBE5F1" w:themeFill="accent1" w:themeFillTint="33"/>
            <w:vAlign w:val="center"/>
          </w:tcPr>
          <w:p w14:paraId="343C0C57" w14:textId="77777777" w:rsidR="00B73768" w:rsidRPr="000367F3" w:rsidRDefault="00B73768" w:rsidP="00D71796">
            <w:pPr>
              <w:jc w:val="center"/>
              <w:rPr>
                <w:b/>
                <w:bCs/>
              </w:rPr>
            </w:pPr>
            <w:r w:rsidRPr="000367F3">
              <w:rPr>
                <w:b/>
                <w:bCs/>
              </w:rPr>
              <w:t>Dabigatran (Pradaxa</w:t>
            </w:r>
            <w:r w:rsidRPr="000367F3">
              <w:rPr>
                <w:b/>
                <w:bCs/>
              </w:rPr>
              <w:sym w:font="Symbol" w:char="F0D2"/>
            </w:r>
            <w:r w:rsidRPr="000367F3">
              <w:rPr>
                <w:b/>
                <w:bCs/>
              </w:rPr>
              <w:t>)</w:t>
            </w:r>
            <w:r w:rsidRPr="000367F3">
              <w:rPr>
                <w:b/>
                <w:bCs/>
                <w:vertAlign w:val="superscript"/>
              </w:rPr>
              <w:t>1</w:t>
            </w:r>
          </w:p>
        </w:tc>
        <w:tc>
          <w:tcPr>
            <w:tcW w:w="0" w:type="auto"/>
            <w:shd w:val="clear" w:color="auto" w:fill="F2DBDB" w:themeFill="accent2" w:themeFillTint="33"/>
            <w:vAlign w:val="center"/>
          </w:tcPr>
          <w:p w14:paraId="7EB23C5E" w14:textId="77777777" w:rsidR="00B73768" w:rsidRPr="000367F3" w:rsidRDefault="00B73768" w:rsidP="00D71796">
            <w:pPr>
              <w:jc w:val="center"/>
              <w:rPr>
                <w:b/>
                <w:bCs/>
              </w:rPr>
            </w:pPr>
            <w:r w:rsidRPr="000367F3">
              <w:rPr>
                <w:b/>
                <w:bCs/>
              </w:rPr>
              <w:t>Rivaroxaban (Xarelto</w:t>
            </w:r>
            <w:r w:rsidRPr="000367F3">
              <w:rPr>
                <w:b/>
                <w:bCs/>
              </w:rPr>
              <w:sym w:font="Symbol" w:char="F0D2"/>
            </w:r>
            <w:r w:rsidRPr="000367F3">
              <w:rPr>
                <w:rFonts w:cs="Arial"/>
                <w:b/>
                <w:bCs/>
              </w:rPr>
              <w:t>▼</w:t>
            </w:r>
            <w:r w:rsidRPr="000367F3">
              <w:rPr>
                <w:b/>
                <w:bCs/>
              </w:rPr>
              <w:t>)</w:t>
            </w:r>
            <w:r w:rsidRPr="000367F3">
              <w:rPr>
                <w:b/>
                <w:bCs/>
                <w:vertAlign w:val="superscript"/>
              </w:rPr>
              <w:t>2</w:t>
            </w:r>
          </w:p>
        </w:tc>
        <w:tc>
          <w:tcPr>
            <w:tcW w:w="0" w:type="auto"/>
            <w:shd w:val="clear" w:color="auto" w:fill="E5DFEC" w:themeFill="accent4" w:themeFillTint="33"/>
            <w:vAlign w:val="center"/>
          </w:tcPr>
          <w:p w14:paraId="16C2EF64" w14:textId="77777777" w:rsidR="00B73768" w:rsidRPr="000367F3" w:rsidRDefault="00B73768" w:rsidP="00D71796">
            <w:pPr>
              <w:jc w:val="center"/>
              <w:rPr>
                <w:b/>
                <w:bCs/>
              </w:rPr>
            </w:pPr>
            <w:r w:rsidRPr="000367F3">
              <w:rPr>
                <w:b/>
                <w:bCs/>
              </w:rPr>
              <w:t>Apixaban (Eliquis</w:t>
            </w:r>
            <w:r w:rsidRPr="000367F3">
              <w:rPr>
                <w:b/>
                <w:bCs/>
              </w:rPr>
              <w:sym w:font="Symbol" w:char="F0D2"/>
            </w:r>
            <w:r w:rsidRPr="000367F3">
              <w:rPr>
                <w:b/>
                <w:bCs/>
              </w:rPr>
              <w:t>)</w:t>
            </w:r>
            <w:r w:rsidRPr="000367F3">
              <w:rPr>
                <w:b/>
                <w:bCs/>
                <w:vertAlign w:val="superscript"/>
              </w:rPr>
              <w:t>3</w:t>
            </w:r>
          </w:p>
        </w:tc>
        <w:tc>
          <w:tcPr>
            <w:tcW w:w="0" w:type="auto"/>
            <w:shd w:val="clear" w:color="auto" w:fill="FDE9D9" w:themeFill="accent6" w:themeFillTint="33"/>
            <w:vAlign w:val="center"/>
          </w:tcPr>
          <w:p w14:paraId="4F6691F0" w14:textId="1335D48B" w:rsidR="00B73768" w:rsidRPr="000367F3" w:rsidRDefault="00B73768" w:rsidP="00D71796">
            <w:pPr>
              <w:jc w:val="center"/>
              <w:rPr>
                <w:b/>
                <w:bCs/>
              </w:rPr>
            </w:pPr>
            <w:r w:rsidRPr="000367F3">
              <w:rPr>
                <w:b/>
                <w:bCs/>
              </w:rPr>
              <w:t>Edoxaban (Lixiana</w:t>
            </w:r>
            <w:r w:rsidRPr="000367F3">
              <w:rPr>
                <w:b/>
                <w:bCs/>
              </w:rPr>
              <w:sym w:font="Symbol" w:char="F0D2"/>
            </w:r>
            <w:r w:rsidRPr="000367F3">
              <w:rPr>
                <w:b/>
                <w:bCs/>
              </w:rPr>
              <w:t>)</w:t>
            </w:r>
            <w:r w:rsidRPr="000367F3">
              <w:rPr>
                <w:b/>
                <w:bCs/>
                <w:vertAlign w:val="superscript"/>
              </w:rPr>
              <w:t>4</w:t>
            </w:r>
          </w:p>
        </w:tc>
        <w:tc>
          <w:tcPr>
            <w:tcW w:w="0" w:type="auto"/>
            <w:shd w:val="clear" w:color="auto" w:fill="EAF1DD" w:themeFill="accent3" w:themeFillTint="33"/>
            <w:vAlign w:val="center"/>
          </w:tcPr>
          <w:p w14:paraId="7D24E487" w14:textId="2598D22B" w:rsidR="00B73768" w:rsidRPr="000367F3" w:rsidRDefault="002D6351" w:rsidP="00D71796">
            <w:pPr>
              <w:jc w:val="center"/>
              <w:rPr>
                <w:b/>
                <w:bCs/>
              </w:rPr>
            </w:pPr>
            <w:r w:rsidRPr="000367F3">
              <w:rPr>
                <w:b/>
                <w:bCs/>
              </w:rPr>
              <w:t>Warfarin</w:t>
            </w:r>
            <w:r w:rsidRPr="000367F3">
              <w:rPr>
                <w:b/>
                <w:bCs/>
                <w:vertAlign w:val="superscript"/>
              </w:rPr>
              <w:t>5</w:t>
            </w:r>
          </w:p>
        </w:tc>
      </w:tr>
      <w:tr w:rsidR="00FA77A0" w:rsidRPr="00EB561B" w14:paraId="2871863E" w14:textId="77777777" w:rsidTr="005A64F7">
        <w:trPr>
          <w:cantSplit/>
          <w:trHeight w:val="416"/>
        </w:trPr>
        <w:tc>
          <w:tcPr>
            <w:tcW w:w="0" w:type="auto"/>
            <w:shd w:val="clear" w:color="auto" w:fill="auto"/>
            <w:vAlign w:val="center"/>
          </w:tcPr>
          <w:p w14:paraId="7D4FEB90" w14:textId="592E8F15" w:rsidR="00B73768" w:rsidRPr="00EB561B" w:rsidRDefault="00F5476B" w:rsidP="005A64F7">
            <w:pPr>
              <w:jc w:val="center"/>
            </w:pPr>
            <w:r w:rsidRPr="00EB561B">
              <w:t>34-</w:t>
            </w:r>
            <w:r w:rsidR="00B73768" w:rsidRPr="00EB561B">
              <w:t>35%</w:t>
            </w:r>
          </w:p>
        </w:tc>
        <w:tc>
          <w:tcPr>
            <w:tcW w:w="0" w:type="auto"/>
            <w:shd w:val="clear" w:color="auto" w:fill="auto"/>
            <w:vAlign w:val="center"/>
          </w:tcPr>
          <w:p w14:paraId="7E0CE08E" w14:textId="60F0F264" w:rsidR="00B73768" w:rsidRPr="00EB561B" w:rsidRDefault="00F5476B" w:rsidP="005A64F7">
            <w:pPr>
              <w:jc w:val="center"/>
            </w:pPr>
            <w:r w:rsidRPr="00EB561B">
              <w:t>92-</w:t>
            </w:r>
            <w:r w:rsidR="00B73768" w:rsidRPr="00EB561B">
              <w:t>95%</w:t>
            </w:r>
          </w:p>
        </w:tc>
        <w:tc>
          <w:tcPr>
            <w:tcW w:w="0" w:type="auto"/>
            <w:shd w:val="clear" w:color="auto" w:fill="auto"/>
            <w:vAlign w:val="center"/>
          </w:tcPr>
          <w:p w14:paraId="4F0FA17E" w14:textId="184E2447" w:rsidR="00B73768" w:rsidRPr="00EB561B" w:rsidRDefault="00B73768" w:rsidP="005A64F7">
            <w:pPr>
              <w:jc w:val="center"/>
            </w:pPr>
            <w:r w:rsidRPr="00EB561B">
              <w:t>87%</w:t>
            </w:r>
          </w:p>
        </w:tc>
        <w:tc>
          <w:tcPr>
            <w:tcW w:w="0" w:type="auto"/>
            <w:shd w:val="clear" w:color="auto" w:fill="auto"/>
            <w:vAlign w:val="center"/>
          </w:tcPr>
          <w:p w14:paraId="6A9D8D87" w14:textId="177C20B5" w:rsidR="00B73768" w:rsidRPr="00EB561B" w:rsidRDefault="00F5476B" w:rsidP="005A64F7">
            <w:pPr>
              <w:jc w:val="center"/>
            </w:pPr>
            <w:r w:rsidRPr="00EB561B">
              <w:t>5</w:t>
            </w:r>
            <w:r w:rsidR="00B73768" w:rsidRPr="00EB561B">
              <w:t>5%</w:t>
            </w:r>
          </w:p>
        </w:tc>
        <w:tc>
          <w:tcPr>
            <w:tcW w:w="0" w:type="auto"/>
            <w:vAlign w:val="center"/>
          </w:tcPr>
          <w:p w14:paraId="1D6435D2" w14:textId="492B3446" w:rsidR="00B73768" w:rsidRPr="00EB561B" w:rsidRDefault="001271A3" w:rsidP="005A64F7">
            <w:pPr>
              <w:jc w:val="center"/>
            </w:pPr>
            <w:r w:rsidRPr="00EB561B">
              <w:t>99%</w:t>
            </w:r>
          </w:p>
        </w:tc>
      </w:tr>
    </w:tbl>
    <w:p w14:paraId="48678CFB" w14:textId="77777777" w:rsidR="00E03A48" w:rsidRPr="00EB561B" w:rsidRDefault="00E03A48">
      <w:pPr>
        <w:rPr>
          <w:rFonts w:asciiTheme="majorHAnsi" w:hAnsiTheme="majorHAnsi" w:cstheme="majorHAnsi"/>
          <w:szCs w:val="22"/>
        </w:rPr>
      </w:pPr>
    </w:p>
    <w:tbl>
      <w:tblPr>
        <w:tblStyle w:val="TableGrid"/>
        <w:tblpPr w:leftFromText="180" w:rightFromText="180" w:vertAnchor="text" w:tblpY="1"/>
        <w:tblOverlap w:val="never"/>
        <w:tblW w:w="5000" w:type="pct"/>
        <w:tblLook w:val="04A0" w:firstRow="1" w:lastRow="0" w:firstColumn="1" w:lastColumn="0" w:noHBand="0" w:noVBand="1"/>
      </w:tblPr>
      <w:tblGrid>
        <w:gridCol w:w="1578"/>
        <w:gridCol w:w="4086"/>
        <w:gridCol w:w="4071"/>
      </w:tblGrid>
      <w:tr w:rsidR="000A50C7" w:rsidRPr="00EB561B" w14:paraId="77DE0438" w14:textId="115FC37B" w:rsidTr="000367F3">
        <w:trPr>
          <w:cantSplit/>
          <w:trHeight w:val="605"/>
          <w:tblHeader/>
        </w:trPr>
        <w:tc>
          <w:tcPr>
            <w:tcW w:w="5000" w:type="pct"/>
            <w:gridSpan w:val="3"/>
            <w:shd w:val="clear" w:color="auto" w:fill="F2F2F2" w:themeFill="background1" w:themeFillShade="F2"/>
            <w:vAlign w:val="center"/>
          </w:tcPr>
          <w:p w14:paraId="21DAFAE3" w14:textId="3A6D5A19" w:rsidR="000A50C7" w:rsidRPr="00EB561B" w:rsidRDefault="000A50C7" w:rsidP="00E31F9D">
            <w:pPr>
              <w:pStyle w:val="Heading2"/>
            </w:pPr>
            <w:bookmarkStart w:id="95" w:name="_Toc365717737"/>
            <w:bookmarkStart w:id="96" w:name="_Toc96868256"/>
            <w:bookmarkStart w:id="97" w:name="_Toc104910464"/>
            <w:bookmarkStart w:id="98" w:name="_Toc106708911"/>
            <w:r w:rsidRPr="00367CC8">
              <w:t>Hepatic impairment</w:t>
            </w:r>
            <w:bookmarkEnd w:id="95"/>
            <w:bookmarkEnd w:id="96"/>
            <w:bookmarkEnd w:id="97"/>
            <w:bookmarkEnd w:id="98"/>
          </w:p>
        </w:tc>
      </w:tr>
      <w:tr w:rsidR="00E31F9D" w:rsidRPr="00EB561B" w14:paraId="364342F4" w14:textId="77777777" w:rsidTr="00E31F9D">
        <w:trPr>
          <w:cantSplit/>
          <w:trHeight w:val="605"/>
          <w:tblHeader/>
        </w:trPr>
        <w:tc>
          <w:tcPr>
            <w:tcW w:w="5000" w:type="pct"/>
            <w:gridSpan w:val="3"/>
            <w:shd w:val="clear" w:color="auto" w:fill="auto"/>
            <w:vAlign w:val="center"/>
          </w:tcPr>
          <w:p w14:paraId="13B8DEAD" w14:textId="681837C7" w:rsidR="00E31F9D" w:rsidRPr="00367CC8" w:rsidRDefault="00E31F9D" w:rsidP="00E31F9D">
            <w:bookmarkStart w:id="99" w:name="_Toc96868257"/>
            <w:bookmarkStart w:id="100" w:name="_Toc96966701"/>
            <w:bookmarkStart w:id="101" w:name="_Toc96966802"/>
            <w:bookmarkStart w:id="102" w:name="_Toc96967129"/>
            <w:bookmarkStart w:id="103" w:name="_Toc102142812"/>
            <w:bookmarkStart w:id="104" w:name="_Toc102563025"/>
            <w:r w:rsidRPr="00367CC8">
              <w:t>(Hepatic disease-coagulopathy, bleeding risk in</w:t>
            </w:r>
            <w:r w:rsidR="00B17867">
              <w:t>cluding</w:t>
            </w:r>
            <w:r w:rsidRPr="00367CC8">
              <w:t xml:space="preserve"> cirrhotic patients with Child-Pugh Score B and C)</w:t>
            </w:r>
            <w:bookmarkEnd w:id="99"/>
            <w:bookmarkEnd w:id="100"/>
            <w:bookmarkEnd w:id="101"/>
            <w:bookmarkEnd w:id="102"/>
            <w:bookmarkEnd w:id="103"/>
            <w:bookmarkEnd w:id="104"/>
          </w:p>
        </w:tc>
      </w:tr>
      <w:tr w:rsidR="00E31F9D" w:rsidRPr="00EB561B" w14:paraId="7EB01A18" w14:textId="77777777" w:rsidTr="00E3514B">
        <w:trPr>
          <w:cantSplit/>
          <w:trHeight w:val="612"/>
          <w:tblHeader/>
        </w:trPr>
        <w:tc>
          <w:tcPr>
            <w:tcW w:w="810" w:type="pct"/>
            <w:shd w:val="clear" w:color="auto" w:fill="F2F2F2" w:themeFill="background1" w:themeFillShade="F2"/>
            <w:vAlign w:val="center"/>
          </w:tcPr>
          <w:p w14:paraId="0505338A" w14:textId="77777777" w:rsidR="00E31F9D" w:rsidRPr="00367CC8" w:rsidRDefault="00E31F9D" w:rsidP="000367F3">
            <w:pPr>
              <w:pStyle w:val="Heading2"/>
            </w:pPr>
          </w:p>
        </w:tc>
        <w:tc>
          <w:tcPr>
            <w:tcW w:w="2099" w:type="pct"/>
            <w:shd w:val="clear" w:color="auto" w:fill="F2F2F2" w:themeFill="background1" w:themeFillShade="F2"/>
            <w:vAlign w:val="center"/>
          </w:tcPr>
          <w:p w14:paraId="5E6E75C6" w14:textId="2495ADE8" w:rsidR="00E31F9D" w:rsidRPr="00E31F9D" w:rsidRDefault="00E31F9D" w:rsidP="00E31F9D">
            <w:pPr>
              <w:rPr>
                <w:b/>
                <w:bCs/>
              </w:rPr>
            </w:pPr>
            <w:r w:rsidRPr="00E31F9D">
              <w:rPr>
                <w:b/>
                <w:bCs/>
              </w:rPr>
              <w:t>Hepatic impairment</w:t>
            </w:r>
          </w:p>
        </w:tc>
        <w:tc>
          <w:tcPr>
            <w:tcW w:w="2090" w:type="pct"/>
            <w:shd w:val="clear" w:color="auto" w:fill="F2F2F2" w:themeFill="background1" w:themeFillShade="F2"/>
            <w:vAlign w:val="center"/>
          </w:tcPr>
          <w:p w14:paraId="1E6AB50B" w14:textId="7501BE94" w:rsidR="00E31F9D" w:rsidRPr="00E31F9D" w:rsidRDefault="00E31F9D" w:rsidP="00E31F9D">
            <w:pPr>
              <w:rPr>
                <w:b/>
                <w:bCs/>
              </w:rPr>
            </w:pPr>
            <w:r w:rsidRPr="00E31F9D">
              <w:rPr>
                <w:b/>
                <w:bCs/>
              </w:rPr>
              <w:t>Patients with elevated liver enzymes &gt;2 ULN (Upper limit of normal)</w:t>
            </w:r>
          </w:p>
        </w:tc>
      </w:tr>
      <w:tr w:rsidR="00E31F9D" w:rsidRPr="00EB561B" w14:paraId="3EDE35EB" w14:textId="77777777" w:rsidTr="00E3514B">
        <w:trPr>
          <w:cantSplit/>
          <w:trHeight w:val="612"/>
          <w:tblHeader/>
        </w:trPr>
        <w:tc>
          <w:tcPr>
            <w:tcW w:w="810" w:type="pct"/>
            <w:shd w:val="clear" w:color="auto" w:fill="DBE5F1" w:themeFill="accent1" w:themeFillTint="33"/>
            <w:vAlign w:val="center"/>
          </w:tcPr>
          <w:p w14:paraId="325A312D" w14:textId="09D19FD1" w:rsidR="00E31F9D" w:rsidRPr="00E31F9D" w:rsidRDefault="00E31F9D" w:rsidP="00E31F9D">
            <w:pPr>
              <w:rPr>
                <w:b/>
                <w:bCs/>
              </w:rPr>
            </w:pPr>
            <w:r w:rsidRPr="00E31F9D">
              <w:rPr>
                <w:b/>
                <w:bCs/>
              </w:rPr>
              <w:t>Dabigatran (Pradaxa</w:t>
            </w:r>
            <w:r w:rsidRPr="00E31F9D">
              <w:rPr>
                <w:b/>
                <w:bCs/>
              </w:rPr>
              <w:sym w:font="Symbol" w:char="F0D2"/>
            </w:r>
            <w:r w:rsidRPr="00E31F9D">
              <w:rPr>
                <w:b/>
                <w:bCs/>
              </w:rPr>
              <w:t>)</w:t>
            </w:r>
            <w:r w:rsidRPr="00E31F9D">
              <w:rPr>
                <w:b/>
                <w:bCs/>
                <w:vertAlign w:val="superscript"/>
              </w:rPr>
              <w:t>1</w:t>
            </w:r>
          </w:p>
        </w:tc>
        <w:tc>
          <w:tcPr>
            <w:tcW w:w="2099" w:type="pct"/>
            <w:shd w:val="clear" w:color="auto" w:fill="auto"/>
            <w:vAlign w:val="center"/>
          </w:tcPr>
          <w:p w14:paraId="1EF88A4F" w14:textId="4BB1AEFA" w:rsidR="00E31F9D" w:rsidRPr="00367CC8" w:rsidRDefault="00E31F9D" w:rsidP="00E31F9D">
            <w:r w:rsidRPr="00EB561B">
              <w:t xml:space="preserve">Contraindicated in </w:t>
            </w:r>
            <w:r w:rsidRPr="00EB561B">
              <w:rPr>
                <w:color w:val="000000" w:themeColor="text1"/>
              </w:rPr>
              <w:t xml:space="preserve">hepatic impairment or liver disease </w:t>
            </w:r>
            <w:r w:rsidRPr="00EB561B">
              <w:t>where expected to have impact on survival</w:t>
            </w:r>
          </w:p>
        </w:tc>
        <w:tc>
          <w:tcPr>
            <w:tcW w:w="2090" w:type="pct"/>
            <w:shd w:val="clear" w:color="auto" w:fill="auto"/>
            <w:vAlign w:val="center"/>
          </w:tcPr>
          <w:p w14:paraId="0407EB65" w14:textId="1C2B972C" w:rsidR="00E31F9D" w:rsidRPr="00367CC8" w:rsidRDefault="00E31F9D" w:rsidP="00E31F9D">
            <w:r w:rsidRPr="00EB561B">
              <w:rPr>
                <w:szCs w:val="22"/>
              </w:rPr>
              <w:t>Not recommended</w:t>
            </w:r>
          </w:p>
        </w:tc>
      </w:tr>
      <w:tr w:rsidR="00E31F9D" w:rsidRPr="00EB561B" w14:paraId="10622D8C" w14:textId="77777777" w:rsidTr="00E3514B">
        <w:trPr>
          <w:cantSplit/>
          <w:trHeight w:val="612"/>
          <w:tblHeader/>
        </w:trPr>
        <w:tc>
          <w:tcPr>
            <w:tcW w:w="810" w:type="pct"/>
            <w:shd w:val="clear" w:color="auto" w:fill="F2DBDB" w:themeFill="accent2" w:themeFillTint="33"/>
            <w:vAlign w:val="center"/>
          </w:tcPr>
          <w:p w14:paraId="741112D0" w14:textId="5186E290" w:rsidR="00E31F9D" w:rsidRPr="00E31F9D" w:rsidRDefault="00E31F9D" w:rsidP="00E31F9D">
            <w:pPr>
              <w:rPr>
                <w:b/>
                <w:bCs/>
              </w:rPr>
            </w:pPr>
            <w:r w:rsidRPr="00E31F9D">
              <w:rPr>
                <w:b/>
                <w:bCs/>
              </w:rPr>
              <w:t>Rivaroxaban (Xarelto</w:t>
            </w:r>
            <w:r w:rsidRPr="00E31F9D">
              <w:rPr>
                <w:b/>
                <w:bCs/>
              </w:rPr>
              <w:sym w:font="Symbol" w:char="F0D2"/>
            </w:r>
            <w:r w:rsidRPr="00E31F9D">
              <w:rPr>
                <w:rFonts w:cs="Arial"/>
                <w:b/>
                <w:bCs/>
              </w:rPr>
              <w:t>▼</w:t>
            </w:r>
            <w:r w:rsidRPr="00E31F9D">
              <w:rPr>
                <w:b/>
                <w:bCs/>
              </w:rPr>
              <w:t>)</w:t>
            </w:r>
            <w:r w:rsidRPr="00E31F9D">
              <w:rPr>
                <w:b/>
                <w:bCs/>
                <w:vertAlign w:val="superscript"/>
              </w:rPr>
              <w:t>2</w:t>
            </w:r>
          </w:p>
        </w:tc>
        <w:tc>
          <w:tcPr>
            <w:tcW w:w="2099" w:type="pct"/>
            <w:shd w:val="clear" w:color="auto" w:fill="auto"/>
            <w:vAlign w:val="center"/>
          </w:tcPr>
          <w:p w14:paraId="25F9E306" w14:textId="45236484" w:rsidR="00E31F9D" w:rsidRPr="00367CC8" w:rsidRDefault="00E31F9D" w:rsidP="00E31F9D">
            <w:r w:rsidRPr="00EB561B">
              <w:rPr>
                <w:szCs w:val="22"/>
              </w:rPr>
              <w:t xml:space="preserve">Contraindicated in hepatic disease </w:t>
            </w:r>
          </w:p>
        </w:tc>
        <w:tc>
          <w:tcPr>
            <w:tcW w:w="2090" w:type="pct"/>
            <w:shd w:val="clear" w:color="auto" w:fill="auto"/>
            <w:vAlign w:val="center"/>
          </w:tcPr>
          <w:p w14:paraId="6DC742FF" w14:textId="53AAD604" w:rsidR="00E31F9D" w:rsidRPr="00367CC8" w:rsidRDefault="00E31F9D" w:rsidP="00E31F9D">
            <w:r w:rsidRPr="00EB561B">
              <w:rPr>
                <w:szCs w:val="22"/>
              </w:rPr>
              <w:t>Not stated</w:t>
            </w:r>
          </w:p>
        </w:tc>
      </w:tr>
      <w:tr w:rsidR="00E31F9D" w:rsidRPr="00EB561B" w14:paraId="604D4D5D" w14:textId="77777777" w:rsidTr="00E3514B">
        <w:trPr>
          <w:cantSplit/>
          <w:trHeight w:val="612"/>
          <w:tblHeader/>
        </w:trPr>
        <w:tc>
          <w:tcPr>
            <w:tcW w:w="810" w:type="pct"/>
            <w:shd w:val="clear" w:color="auto" w:fill="E5DFEC" w:themeFill="accent4" w:themeFillTint="33"/>
            <w:vAlign w:val="center"/>
          </w:tcPr>
          <w:p w14:paraId="5E2B7244" w14:textId="3EAE7DE3" w:rsidR="00E31F9D" w:rsidRPr="00E31F9D" w:rsidRDefault="00E31F9D" w:rsidP="00E31F9D">
            <w:pPr>
              <w:rPr>
                <w:b/>
                <w:bCs/>
              </w:rPr>
            </w:pPr>
            <w:r w:rsidRPr="00E31F9D">
              <w:rPr>
                <w:b/>
                <w:bCs/>
              </w:rPr>
              <w:t>Apixaban (Eliquis</w:t>
            </w:r>
            <w:r w:rsidRPr="00E31F9D">
              <w:rPr>
                <w:b/>
                <w:bCs/>
              </w:rPr>
              <w:sym w:font="Symbol" w:char="F0D2"/>
            </w:r>
            <w:r w:rsidRPr="00E31F9D">
              <w:rPr>
                <w:b/>
                <w:bCs/>
              </w:rPr>
              <w:t>)</w:t>
            </w:r>
            <w:r w:rsidRPr="00E31F9D">
              <w:rPr>
                <w:b/>
                <w:bCs/>
                <w:vertAlign w:val="superscript"/>
              </w:rPr>
              <w:t>3</w:t>
            </w:r>
          </w:p>
        </w:tc>
        <w:tc>
          <w:tcPr>
            <w:tcW w:w="2099" w:type="pct"/>
            <w:shd w:val="clear" w:color="auto" w:fill="auto"/>
            <w:vAlign w:val="center"/>
          </w:tcPr>
          <w:p w14:paraId="11F81D19" w14:textId="77777777" w:rsidR="00E31F9D" w:rsidRPr="00EB561B" w:rsidRDefault="00E31F9D" w:rsidP="00E31F9D">
            <w:pPr>
              <w:rPr>
                <w:color w:val="000000"/>
                <w:szCs w:val="22"/>
                <w:shd w:val="clear" w:color="auto" w:fill="FFFFFF"/>
              </w:rPr>
            </w:pPr>
            <w:r w:rsidRPr="00EB561B">
              <w:rPr>
                <w:color w:val="000000"/>
                <w:szCs w:val="22"/>
                <w:shd w:val="clear" w:color="auto" w:fill="FFFFFF"/>
              </w:rPr>
              <w:t>Contraindicated in patients with hepatic disease associated with coagulopathy and clinically relevant bleeding risk</w:t>
            </w:r>
          </w:p>
          <w:p w14:paraId="7681049F" w14:textId="77777777" w:rsidR="00E31F9D" w:rsidRPr="00EB561B" w:rsidRDefault="00E31F9D" w:rsidP="00E31F9D">
            <w:pPr>
              <w:rPr>
                <w:szCs w:val="22"/>
              </w:rPr>
            </w:pPr>
            <w:r w:rsidRPr="00EB561B">
              <w:rPr>
                <w:szCs w:val="22"/>
              </w:rPr>
              <w:t>Severe – not recommended</w:t>
            </w:r>
          </w:p>
          <w:p w14:paraId="515143C7" w14:textId="4E9B3EF9" w:rsidR="00E31F9D" w:rsidRPr="00367CC8" w:rsidRDefault="00E31F9D" w:rsidP="00E31F9D">
            <w:r w:rsidRPr="00EB561B">
              <w:rPr>
                <w:szCs w:val="22"/>
              </w:rPr>
              <w:t>Mild to moderate - caution</w:t>
            </w:r>
          </w:p>
        </w:tc>
        <w:tc>
          <w:tcPr>
            <w:tcW w:w="2090" w:type="pct"/>
            <w:shd w:val="clear" w:color="auto" w:fill="auto"/>
            <w:vAlign w:val="center"/>
          </w:tcPr>
          <w:p w14:paraId="7DC9B51D" w14:textId="77777777" w:rsidR="00E31F9D" w:rsidRPr="00EB561B" w:rsidRDefault="00E31F9D" w:rsidP="00E31F9D">
            <w:pPr>
              <w:rPr>
                <w:szCs w:val="22"/>
              </w:rPr>
            </w:pPr>
            <w:r w:rsidRPr="00EB561B">
              <w:rPr>
                <w:szCs w:val="22"/>
              </w:rPr>
              <w:t>Caution - also applies if total bilirubin ≥1.5 x ULN</w:t>
            </w:r>
          </w:p>
          <w:p w14:paraId="2179FF8B" w14:textId="3AAECE9E" w:rsidR="00E31F9D" w:rsidRPr="00367CC8" w:rsidRDefault="00E31F9D" w:rsidP="00E31F9D">
            <w:r w:rsidRPr="00EB561B">
              <w:rPr>
                <w:szCs w:val="22"/>
              </w:rPr>
              <w:t xml:space="preserve">LFTs needed prior to initiating </w:t>
            </w:r>
          </w:p>
        </w:tc>
      </w:tr>
      <w:tr w:rsidR="00E31F9D" w:rsidRPr="00EB561B" w14:paraId="102BFB32" w14:textId="77777777" w:rsidTr="00E3514B">
        <w:trPr>
          <w:cantSplit/>
          <w:trHeight w:val="612"/>
          <w:tblHeader/>
        </w:trPr>
        <w:tc>
          <w:tcPr>
            <w:tcW w:w="810" w:type="pct"/>
            <w:shd w:val="clear" w:color="auto" w:fill="FDE9D9" w:themeFill="accent6" w:themeFillTint="33"/>
            <w:vAlign w:val="center"/>
          </w:tcPr>
          <w:p w14:paraId="1F69C488" w14:textId="4720438F" w:rsidR="00E31F9D" w:rsidRPr="00E31F9D" w:rsidRDefault="00E31F9D" w:rsidP="00E31F9D">
            <w:pPr>
              <w:rPr>
                <w:b/>
                <w:bCs/>
              </w:rPr>
            </w:pPr>
            <w:r w:rsidRPr="00E31F9D">
              <w:rPr>
                <w:b/>
                <w:bCs/>
              </w:rPr>
              <w:t>Edoxaban (Lixiana</w:t>
            </w:r>
            <w:r w:rsidRPr="00E31F9D">
              <w:rPr>
                <w:b/>
                <w:bCs/>
              </w:rPr>
              <w:sym w:font="Symbol" w:char="F0D2"/>
            </w:r>
            <w:r w:rsidRPr="00E31F9D">
              <w:rPr>
                <w:b/>
                <w:bCs/>
              </w:rPr>
              <w:t>)</w:t>
            </w:r>
            <w:r w:rsidRPr="00E31F9D">
              <w:rPr>
                <w:b/>
                <w:bCs/>
                <w:vertAlign w:val="superscript"/>
              </w:rPr>
              <w:t>4</w:t>
            </w:r>
          </w:p>
        </w:tc>
        <w:tc>
          <w:tcPr>
            <w:tcW w:w="2099" w:type="pct"/>
            <w:shd w:val="clear" w:color="auto" w:fill="auto"/>
            <w:vAlign w:val="center"/>
          </w:tcPr>
          <w:p w14:paraId="0F1557E3" w14:textId="14F9153D" w:rsidR="00E31F9D" w:rsidRPr="00EB561B" w:rsidRDefault="00E31F9D" w:rsidP="00E31F9D">
            <w:pPr>
              <w:rPr>
                <w:szCs w:val="22"/>
              </w:rPr>
            </w:pPr>
            <w:r w:rsidRPr="00EB561B">
              <w:rPr>
                <w:szCs w:val="22"/>
              </w:rPr>
              <w:t>Contraindicated in hepatic disease</w:t>
            </w:r>
          </w:p>
          <w:p w14:paraId="40D959FC" w14:textId="77777777" w:rsidR="00E31F9D" w:rsidRPr="00EB561B" w:rsidRDefault="00E31F9D" w:rsidP="00E31F9D">
            <w:pPr>
              <w:rPr>
                <w:szCs w:val="22"/>
              </w:rPr>
            </w:pPr>
            <w:r w:rsidRPr="00EB561B">
              <w:rPr>
                <w:szCs w:val="22"/>
              </w:rPr>
              <w:t>Severe – not recommended</w:t>
            </w:r>
          </w:p>
          <w:p w14:paraId="28BD2600" w14:textId="6D5DED10" w:rsidR="00E31F9D" w:rsidRPr="00367CC8" w:rsidRDefault="00E31F9D" w:rsidP="00E31F9D">
            <w:r w:rsidRPr="00EB561B">
              <w:rPr>
                <w:szCs w:val="22"/>
              </w:rPr>
              <w:t>Mild to moderate - caution</w:t>
            </w:r>
          </w:p>
        </w:tc>
        <w:tc>
          <w:tcPr>
            <w:tcW w:w="2090" w:type="pct"/>
            <w:shd w:val="clear" w:color="auto" w:fill="auto"/>
            <w:vAlign w:val="center"/>
          </w:tcPr>
          <w:p w14:paraId="7C4603A3" w14:textId="77777777" w:rsidR="00E31F9D" w:rsidRPr="00EB561B" w:rsidRDefault="00E31F9D" w:rsidP="00E31F9D">
            <w:pPr>
              <w:rPr>
                <w:szCs w:val="22"/>
              </w:rPr>
            </w:pPr>
            <w:r w:rsidRPr="00EB561B">
              <w:rPr>
                <w:szCs w:val="22"/>
              </w:rPr>
              <w:t>Caution - also applies if total bilirubin ≥1.5 x ULN</w:t>
            </w:r>
          </w:p>
          <w:p w14:paraId="109DC8C6" w14:textId="06F02497" w:rsidR="00E31F9D" w:rsidRPr="00367CC8" w:rsidRDefault="00E31F9D" w:rsidP="00E31F9D">
            <w:r w:rsidRPr="00EB561B">
              <w:rPr>
                <w:szCs w:val="22"/>
              </w:rPr>
              <w:t>LFTs needed prior to initiating</w:t>
            </w:r>
          </w:p>
        </w:tc>
      </w:tr>
      <w:tr w:rsidR="00E31F9D" w:rsidRPr="00EB561B" w14:paraId="65741FCC" w14:textId="77777777" w:rsidTr="00E3514B">
        <w:trPr>
          <w:cantSplit/>
          <w:trHeight w:val="612"/>
          <w:tblHeader/>
        </w:trPr>
        <w:tc>
          <w:tcPr>
            <w:tcW w:w="810" w:type="pct"/>
            <w:shd w:val="clear" w:color="auto" w:fill="EAF1DD" w:themeFill="accent3" w:themeFillTint="33"/>
            <w:vAlign w:val="center"/>
          </w:tcPr>
          <w:p w14:paraId="1FAD885F" w14:textId="3BCC937A" w:rsidR="00E31F9D" w:rsidRPr="00E31F9D" w:rsidRDefault="00E31F9D" w:rsidP="00E31F9D">
            <w:pPr>
              <w:rPr>
                <w:b/>
                <w:bCs/>
              </w:rPr>
            </w:pPr>
            <w:r w:rsidRPr="00E31F9D">
              <w:rPr>
                <w:b/>
                <w:bCs/>
              </w:rPr>
              <w:t>Warfarin</w:t>
            </w:r>
            <w:r w:rsidRPr="00E31F9D">
              <w:rPr>
                <w:b/>
                <w:bCs/>
                <w:vertAlign w:val="superscript"/>
              </w:rPr>
              <w:t>5,6</w:t>
            </w:r>
          </w:p>
        </w:tc>
        <w:tc>
          <w:tcPr>
            <w:tcW w:w="2099" w:type="pct"/>
            <w:shd w:val="clear" w:color="auto" w:fill="auto"/>
            <w:vAlign w:val="center"/>
          </w:tcPr>
          <w:p w14:paraId="63C9D813" w14:textId="77777777" w:rsidR="00E31F9D" w:rsidRPr="00EB561B" w:rsidRDefault="00E31F9D" w:rsidP="00E31F9D">
            <w:pPr>
              <w:rPr>
                <w:rFonts w:eastAsiaTheme="minorEastAsia"/>
                <w:szCs w:val="22"/>
              </w:rPr>
            </w:pPr>
            <w:r w:rsidRPr="00EB561B">
              <w:rPr>
                <w:rFonts w:eastAsiaTheme="minorEastAsia"/>
                <w:szCs w:val="22"/>
              </w:rPr>
              <w:t>Severe impairment - avoid</w:t>
            </w:r>
          </w:p>
          <w:p w14:paraId="5F5571D6" w14:textId="51733515" w:rsidR="00E31F9D" w:rsidRPr="00367CC8" w:rsidRDefault="00E31F9D" w:rsidP="00E31F9D">
            <w:r w:rsidRPr="00EB561B">
              <w:rPr>
                <w:rFonts w:eastAsiaTheme="minorEastAsia"/>
                <w:szCs w:val="22"/>
              </w:rPr>
              <w:t>Mild to moderate -</w:t>
            </w:r>
            <w:r>
              <w:rPr>
                <w:rFonts w:eastAsiaTheme="minorEastAsia"/>
                <w:szCs w:val="22"/>
              </w:rPr>
              <w:t xml:space="preserve"> </w:t>
            </w:r>
            <w:r w:rsidRPr="00EB561B">
              <w:rPr>
                <w:rFonts w:eastAsiaTheme="minorEastAsia"/>
                <w:szCs w:val="22"/>
              </w:rPr>
              <w:t xml:space="preserve">caution </w:t>
            </w:r>
          </w:p>
        </w:tc>
        <w:tc>
          <w:tcPr>
            <w:tcW w:w="2090" w:type="pct"/>
            <w:shd w:val="clear" w:color="auto" w:fill="auto"/>
            <w:vAlign w:val="center"/>
          </w:tcPr>
          <w:p w14:paraId="6BFD09F6" w14:textId="0BF597A3" w:rsidR="00E31F9D" w:rsidRPr="00367CC8" w:rsidRDefault="00E31F9D" w:rsidP="00E31F9D">
            <w:r w:rsidRPr="00EB561B">
              <w:rPr>
                <w:szCs w:val="22"/>
              </w:rPr>
              <w:t>Not stated</w:t>
            </w:r>
          </w:p>
        </w:tc>
      </w:tr>
    </w:tbl>
    <w:p w14:paraId="7A44B542" w14:textId="162A2DF2" w:rsidR="000367F3" w:rsidRDefault="000367F3"/>
    <w:p w14:paraId="6B315B67" w14:textId="77777777" w:rsidR="00E3514B" w:rsidRDefault="00E3514B"/>
    <w:tbl>
      <w:tblPr>
        <w:tblStyle w:val="TableGrid"/>
        <w:tblpPr w:leftFromText="180" w:rightFromText="180" w:vertAnchor="text" w:horzAnchor="margin" w:tblpY="305"/>
        <w:tblW w:w="5000" w:type="pct"/>
        <w:tblLook w:val="04A0" w:firstRow="1" w:lastRow="0" w:firstColumn="1" w:lastColumn="0" w:noHBand="0" w:noVBand="1"/>
      </w:tblPr>
      <w:tblGrid>
        <w:gridCol w:w="9735"/>
      </w:tblGrid>
      <w:tr w:rsidR="000C5876" w:rsidRPr="00EB561B" w14:paraId="664CC836" w14:textId="77777777" w:rsidTr="000C5876">
        <w:trPr>
          <w:cantSplit/>
          <w:trHeight w:val="561"/>
          <w:tblHeader/>
        </w:trPr>
        <w:tc>
          <w:tcPr>
            <w:tcW w:w="5000" w:type="pct"/>
            <w:shd w:val="clear" w:color="auto" w:fill="F2F2F2" w:themeFill="background1" w:themeFillShade="F2"/>
            <w:vAlign w:val="center"/>
          </w:tcPr>
          <w:p w14:paraId="65897B51" w14:textId="6468068E" w:rsidR="000C5876" w:rsidRPr="00E3514B" w:rsidRDefault="000C5876" w:rsidP="00E3514B">
            <w:pPr>
              <w:pStyle w:val="Heading2"/>
            </w:pPr>
            <w:bookmarkStart w:id="105" w:name="_Toc96868258"/>
            <w:bookmarkStart w:id="106" w:name="_Toc104910465"/>
            <w:bookmarkStart w:id="107" w:name="_Toc106708912"/>
            <w:r w:rsidRPr="00367CC8">
              <w:t>Drug interactions</w:t>
            </w:r>
            <w:bookmarkEnd w:id="105"/>
            <w:bookmarkEnd w:id="106"/>
            <w:bookmarkEnd w:id="107"/>
          </w:p>
        </w:tc>
      </w:tr>
      <w:tr w:rsidR="00E3514B" w:rsidRPr="00EB561B" w14:paraId="4C32DB3B" w14:textId="77777777" w:rsidTr="00E3514B">
        <w:trPr>
          <w:cantSplit/>
          <w:trHeight w:val="561"/>
          <w:tblHeader/>
        </w:trPr>
        <w:tc>
          <w:tcPr>
            <w:tcW w:w="5000" w:type="pct"/>
            <w:shd w:val="clear" w:color="auto" w:fill="auto"/>
            <w:vAlign w:val="center"/>
          </w:tcPr>
          <w:p w14:paraId="010A0129" w14:textId="77777777" w:rsidR="00E3514B" w:rsidRDefault="00E3514B" w:rsidP="00E3514B">
            <w:r>
              <w:t>U</w:t>
            </w:r>
            <w:r w:rsidRPr="00EB561B">
              <w:t>se individual medicines</w:t>
            </w:r>
            <w:r w:rsidRPr="00F206EE">
              <w:rPr>
                <w:rFonts w:cs="Arial"/>
              </w:rPr>
              <w:t xml:space="preserve"> </w:t>
            </w:r>
            <w:hyperlink r:id="rId14" w:history="1">
              <w:r w:rsidRPr="007D4F98">
                <w:rPr>
                  <w:rStyle w:val="Hyperlink"/>
                  <w:rFonts w:cs="Arial"/>
                  <w:szCs w:val="22"/>
                </w:rPr>
                <w:t>SPC</w:t>
              </w:r>
            </w:hyperlink>
            <w:r w:rsidRPr="00EB561B">
              <w:t xml:space="preserve"> and the drug interactions table in the BNF</w:t>
            </w:r>
            <w:r>
              <w:t xml:space="preserve"> </w:t>
            </w:r>
            <w:r w:rsidRPr="00EB561B">
              <w:t>for a complete list</w:t>
            </w:r>
            <w:r>
              <w:t xml:space="preserve"> </w:t>
            </w:r>
          </w:p>
          <w:p w14:paraId="28F14D65" w14:textId="66A58D36" w:rsidR="00E3514B" w:rsidRPr="00F206EE" w:rsidRDefault="00777693" w:rsidP="00E3514B">
            <w:pPr>
              <w:rPr>
                <w:rFonts w:cs="Arial"/>
              </w:rPr>
            </w:pPr>
            <w:hyperlink r:id="rId15" w:history="1">
              <w:r w:rsidR="00D5293F" w:rsidRPr="007D4F98">
                <w:rPr>
                  <w:rStyle w:val="Hyperlink"/>
                  <w:rFonts w:cs="Arial"/>
                  <w:szCs w:val="22"/>
                </w:rPr>
                <w:t>https://bnf.nice.org.uk/interaction/</w:t>
              </w:r>
            </w:hyperlink>
            <w:r w:rsidR="00E3514B" w:rsidRPr="00F206EE">
              <w:rPr>
                <w:rFonts w:cs="Arial"/>
              </w:rPr>
              <w:t xml:space="preserve"> </w:t>
            </w:r>
          </w:p>
        </w:tc>
      </w:tr>
    </w:tbl>
    <w:p w14:paraId="71C0E9F1" w14:textId="77777777" w:rsidR="002E47F4" w:rsidRPr="00EB561B" w:rsidRDefault="002E47F4">
      <w:pPr>
        <w:rPr>
          <w:rFonts w:asciiTheme="majorHAnsi" w:hAnsiTheme="majorHAnsi" w:cstheme="majorHAnsi"/>
          <w:szCs w:val="22"/>
        </w:rPr>
      </w:pPr>
    </w:p>
    <w:p w14:paraId="36D6F40A" w14:textId="77777777" w:rsidR="00D5293F" w:rsidRDefault="00D5293F">
      <w:bookmarkStart w:id="108" w:name="_Toc365717740"/>
      <w:bookmarkStart w:id="109" w:name="_Toc96868259"/>
      <w:bookmarkStart w:id="110" w:name="_Toc104910466"/>
      <w:r>
        <w:rPr>
          <w:b/>
        </w:rPr>
        <w:br w:type="page"/>
      </w:r>
    </w:p>
    <w:tbl>
      <w:tblPr>
        <w:tblStyle w:val="TableGrid"/>
        <w:tblW w:w="5000" w:type="pct"/>
        <w:tblLook w:val="04A0" w:firstRow="1" w:lastRow="0" w:firstColumn="1" w:lastColumn="0" w:noHBand="0" w:noVBand="1"/>
      </w:tblPr>
      <w:tblGrid>
        <w:gridCol w:w="2491"/>
        <w:gridCol w:w="1891"/>
        <w:gridCol w:w="1702"/>
        <w:gridCol w:w="1990"/>
        <w:gridCol w:w="1661"/>
      </w:tblGrid>
      <w:tr w:rsidR="005F19A4" w:rsidRPr="00EB561B" w14:paraId="458F7242" w14:textId="3F9892B1" w:rsidTr="00532FDE">
        <w:trPr>
          <w:cantSplit/>
          <w:tblHeader/>
        </w:trPr>
        <w:tc>
          <w:tcPr>
            <w:tcW w:w="5000" w:type="pct"/>
            <w:gridSpan w:val="5"/>
            <w:shd w:val="clear" w:color="auto" w:fill="F2F2F2" w:themeFill="background1" w:themeFillShade="F2"/>
            <w:vAlign w:val="center"/>
          </w:tcPr>
          <w:p w14:paraId="5B40759A" w14:textId="1F5E4975" w:rsidR="005F19A4" w:rsidRPr="00367CC8" w:rsidRDefault="005F19A4" w:rsidP="00D5293F">
            <w:pPr>
              <w:pStyle w:val="Heading2"/>
            </w:pPr>
            <w:bookmarkStart w:id="111" w:name="_Toc106708913"/>
            <w:r w:rsidRPr="00367CC8">
              <w:lastRenderedPageBreak/>
              <w:t>Contraindications</w:t>
            </w:r>
            <w:bookmarkEnd w:id="108"/>
            <w:bookmarkEnd w:id="109"/>
            <w:bookmarkEnd w:id="110"/>
            <w:bookmarkEnd w:id="111"/>
          </w:p>
        </w:tc>
      </w:tr>
      <w:tr w:rsidR="000C7431" w:rsidRPr="00EB561B" w14:paraId="4EFA6A2F" w14:textId="52EC84F6" w:rsidTr="00377FA5">
        <w:trPr>
          <w:cantSplit/>
          <w:tblHeader/>
        </w:trPr>
        <w:tc>
          <w:tcPr>
            <w:tcW w:w="1279" w:type="pct"/>
            <w:shd w:val="clear" w:color="auto" w:fill="DBE5F1" w:themeFill="accent1" w:themeFillTint="33"/>
            <w:vAlign w:val="center"/>
          </w:tcPr>
          <w:p w14:paraId="2B1F37A1" w14:textId="77777777" w:rsidR="000C7431" w:rsidRPr="00EB561B" w:rsidRDefault="000C7431" w:rsidP="00CF74AD">
            <w:pPr>
              <w:jc w:val="center"/>
              <w:rPr>
                <w:szCs w:val="22"/>
              </w:rPr>
            </w:pPr>
            <w:r w:rsidRPr="00EB561B">
              <w:rPr>
                <w:b/>
                <w:szCs w:val="22"/>
              </w:rPr>
              <w:t>Dabigatran (Pradaxa</w:t>
            </w:r>
            <w:r w:rsidRPr="00EB561B">
              <w:rPr>
                <w:b/>
                <w:szCs w:val="22"/>
              </w:rPr>
              <w:sym w:font="Symbol" w:char="F0D2"/>
            </w:r>
            <w:r w:rsidRPr="00EB561B">
              <w:rPr>
                <w:b/>
                <w:szCs w:val="22"/>
              </w:rPr>
              <w:t>)</w:t>
            </w:r>
            <w:r w:rsidRPr="00EB561B">
              <w:rPr>
                <w:b/>
                <w:szCs w:val="22"/>
                <w:vertAlign w:val="superscript"/>
              </w:rPr>
              <w:t>1</w:t>
            </w:r>
          </w:p>
        </w:tc>
        <w:tc>
          <w:tcPr>
            <w:tcW w:w="972" w:type="pct"/>
            <w:shd w:val="clear" w:color="auto" w:fill="F2DBDB" w:themeFill="accent2" w:themeFillTint="33"/>
            <w:vAlign w:val="center"/>
          </w:tcPr>
          <w:p w14:paraId="67A5D34F" w14:textId="661A18D5" w:rsidR="000C7431" w:rsidRPr="00EB561B" w:rsidRDefault="000C7431" w:rsidP="00CF74AD">
            <w:pPr>
              <w:jc w:val="center"/>
              <w:rPr>
                <w:szCs w:val="22"/>
              </w:rPr>
            </w:pPr>
            <w:r w:rsidRPr="00EB561B">
              <w:rPr>
                <w:b/>
                <w:szCs w:val="22"/>
              </w:rPr>
              <w:t>Rivaroxaban (Xarelto</w:t>
            </w:r>
            <w:r w:rsidRPr="00EB561B">
              <w:rPr>
                <w:b/>
                <w:szCs w:val="22"/>
              </w:rPr>
              <w:sym w:font="Symbol" w:char="F0D2"/>
            </w:r>
            <w:r w:rsidRPr="00EB561B">
              <w:rPr>
                <w:rFonts w:cs="Arial"/>
                <w:szCs w:val="22"/>
              </w:rPr>
              <w:t>▼</w:t>
            </w:r>
            <w:r w:rsidRPr="00EB561B">
              <w:rPr>
                <w:b/>
                <w:szCs w:val="22"/>
              </w:rPr>
              <w:t>)</w:t>
            </w:r>
            <w:r w:rsidRPr="00EB561B">
              <w:rPr>
                <w:b/>
                <w:szCs w:val="22"/>
                <w:vertAlign w:val="superscript"/>
              </w:rPr>
              <w:t>2</w:t>
            </w:r>
          </w:p>
        </w:tc>
        <w:tc>
          <w:tcPr>
            <w:tcW w:w="874" w:type="pct"/>
            <w:shd w:val="clear" w:color="auto" w:fill="E5DFEC" w:themeFill="accent4" w:themeFillTint="33"/>
            <w:vAlign w:val="center"/>
          </w:tcPr>
          <w:p w14:paraId="5FA863E6" w14:textId="77777777" w:rsidR="000C7431" w:rsidRPr="00EB561B" w:rsidRDefault="000C7431" w:rsidP="00CF74AD">
            <w:pPr>
              <w:jc w:val="center"/>
              <w:rPr>
                <w:szCs w:val="22"/>
              </w:rPr>
            </w:pPr>
            <w:r w:rsidRPr="00EB561B">
              <w:rPr>
                <w:b/>
                <w:szCs w:val="22"/>
              </w:rPr>
              <w:t>Apixaban (Eliquis</w:t>
            </w:r>
            <w:r w:rsidRPr="00EB561B">
              <w:rPr>
                <w:b/>
                <w:szCs w:val="22"/>
              </w:rPr>
              <w:sym w:font="Symbol" w:char="F0D2"/>
            </w:r>
            <w:r w:rsidRPr="00EB561B">
              <w:rPr>
                <w:b/>
                <w:szCs w:val="22"/>
              </w:rPr>
              <w:t>)</w:t>
            </w:r>
            <w:r w:rsidRPr="00EB561B">
              <w:rPr>
                <w:b/>
                <w:szCs w:val="22"/>
                <w:vertAlign w:val="superscript"/>
              </w:rPr>
              <w:t>3</w:t>
            </w:r>
          </w:p>
        </w:tc>
        <w:tc>
          <w:tcPr>
            <w:tcW w:w="1021" w:type="pct"/>
            <w:shd w:val="clear" w:color="auto" w:fill="FDE9D9" w:themeFill="accent6" w:themeFillTint="33"/>
            <w:vAlign w:val="center"/>
          </w:tcPr>
          <w:p w14:paraId="5A0D6577" w14:textId="0424BB72" w:rsidR="000C7431" w:rsidRPr="00EB561B" w:rsidRDefault="000C7431" w:rsidP="00CF74AD">
            <w:pPr>
              <w:jc w:val="center"/>
              <w:rPr>
                <w:szCs w:val="22"/>
              </w:rPr>
            </w:pPr>
            <w:r w:rsidRPr="00EB561B">
              <w:rPr>
                <w:b/>
                <w:szCs w:val="22"/>
              </w:rPr>
              <w:t>Edoxaban (Lixiana</w:t>
            </w:r>
            <w:r w:rsidRPr="00EB561B">
              <w:rPr>
                <w:b/>
                <w:szCs w:val="22"/>
              </w:rPr>
              <w:sym w:font="Symbol" w:char="F0D2"/>
            </w:r>
            <w:r w:rsidRPr="00EB561B">
              <w:rPr>
                <w:b/>
                <w:szCs w:val="22"/>
              </w:rPr>
              <w:t>)</w:t>
            </w:r>
            <w:r w:rsidRPr="00EB561B">
              <w:rPr>
                <w:b/>
                <w:szCs w:val="22"/>
                <w:vertAlign w:val="superscript"/>
              </w:rPr>
              <w:t>4</w:t>
            </w:r>
          </w:p>
        </w:tc>
        <w:tc>
          <w:tcPr>
            <w:tcW w:w="853" w:type="pct"/>
            <w:shd w:val="clear" w:color="auto" w:fill="EAF1DD" w:themeFill="accent3" w:themeFillTint="33"/>
            <w:vAlign w:val="center"/>
          </w:tcPr>
          <w:p w14:paraId="56B5C069" w14:textId="0F8FE4E0" w:rsidR="000C7431" w:rsidRPr="00EB561B" w:rsidRDefault="000C7431" w:rsidP="00CF74AD">
            <w:pPr>
              <w:jc w:val="center"/>
              <w:rPr>
                <w:b/>
                <w:szCs w:val="22"/>
                <w:vertAlign w:val="superscript"/>
                <w:lang w:val="de-DE"/>
              </w:rPr>
            </w:pPr>
            <w:r w:rsidRPr="00EB561B">
              <w:rPr>
                <w:b/>
                <w:szCs w:val="22"/>
                <w:lang w:val="de-DE"/>
              </w:rPr>
              <w:t>Warfarin</w:t>
            </w:r>
            <w:r w:rsidR="000F2903" w:rsidRPr="00EB561B">
              <w:rPr>
                <w:b/>
                <w:szCs w:val="22"/>
                <w:vertAlign w:val="superscript"/>
                <w:lang w:val="de-DE"/>
              </w:rPr>
              <w:t>5</w:t>
            </w:r>
          </w:p>
        </w:tc>
      </w:tr>
      <w:tr w:rsidR="00264CFC" w:rsidRPr="00264CFC" w14:paraId="51A39FFE" w14:textId="77777777" w:rsidTr="00CF74AD">
        <w:trPr>
          <w:cantSplit/>
        </w:trPr>
        <w:tc>
          <w:tcPr>
            <w:tcW w:w="5000" w:type="pct"/>
            <w:gridSpan w:val="5"/>
            <w:shd w:val="clear" w:color="auto" w:fill="auto"/>
            <w:vAlign w:val="center"/>
          </w:tcPr>
          <w:p w14:paraId="1CADC678" w14:textId="31EBFD38" w:rsidR="00264CFC" w:rsidRPr="00264CFC" w:rsidRDefault="00264CFC" w:rsidP="00CF74AD">
            <w:pPr>
              <w:jc w:val="center"/>
              <w:rPr>
                <w:b/>
                <w:szCs w:val="22"/>
              </w:rPr>
            </w:pPr>
            <w:r w:rsidRPr="00264CFC">
              <w:rPr>
                <w:bCs/>
                <w:szCs w:val="22"/>
              </w:rPr>
              <w:t>Hypersensitivity to the active substance or to any of the excipients</w:t>
            </w:r>
          </w:p>
        </w:tc>
      </w:tr>
      <w:tr w:rsidR="00CB39A6" w:rsidRPr="00264CFC" w14:paraId="06889C57" w14:textId="77777777" w:rsidTr="00CF74AD">
        <w:trPr>
          <w:cantSplit/>
        </w:trPr>
        <w:tc>
          <w:tcPr>
            <w:tcW w:w="5000" w:type="pct"/>
            <w:gridSpan w:val="5"/>
            <w:shd w:val="clear" w:color="auto" w:fill="auto"/>
            <w:vAlign w:val="center"/>
          </w:tcPr>
          <w:p w14:paraId="05AE3089" w14:textId="241AA106" w:rsidR="00CB39A6" w:rsidRPr="00264CFC" w:rsidRDefault="00CB39A6" w:rsidP="00CF74AD">
            <w:pPr>
              <w:jc w:val="center"/>
              <w:rPr>
                <w:b/>
                <w:szCs w:val="22"/>
              </w:rPr>
            </w:pPr>
            <w:r w:rsidRPr="00CB39A6">
              <w:rPr>
                <w:bCs/>
                <w:szCs w:val="22"/>
              </w:rPr>
              <w:t>Clinically significant active bleeding</w:t>
            </w:r>
          </w:p>
        </w:tc>
      </w:tr>
      <w:tr w:rsidR="00D572D3" w:rsidRPr="00264CFC" w14:paraId="3AF9A4C8" w14:textId="77777777" w:rsidTr="00377FA5">
        <w:trPr>
          <w:cantSplit/>
        </w:trPr>
        <w:tc>
          <w:tcPr>
            <w:tcW w:w="4147" w:type="pct"/>
            <w:gridSpan w:val="4"/>
            <w:shd w:val="clear" w:color="auto" w:fill="auto"/>
            <w:vAlign w:val="center"/>
          </w:tcPr>
          <w:p w14:paraId="2E6909FE" w14:textId="4AEBF8F7" w:rsidR="00D572D3" w:rsidRPr="009E7902" w:rsidRDefault="00D572D3" w:rsidP="00CF74AD">
            <w:pPr>
              <w:jc w:val="center"/>
              <w:rPr>
                <w:bCs/>
                <w:szCs w:val="22"/>
              </w:rPr>
            </w:pPr>
            <w:r w:rsidRPr="00D572D3">
              <w:rPr>
                <w:bCs/>
                <w:szCs w:val="22"/>
              </w:rPr>
              <w:t>Lesion or condition, if considered to be a significant risk for major bleeding. This may include current or recent gastrointestinal ulceration, presence of malignant neoplasms at high risk of bleeding, recent brain or spinal injury, recent brain, spinal or ophthalmic surgery, recent intracranial haemorrhage, known or suspected oesophageal varices, arteriovenous malformations, vascular aneurysms or major intraspinal or intracerebral vascular abnormalities</w:t>
            </w:r>
          </w:p>
        </w:tc>
        <w:tc>
          <w:tcPr>
            <w:tcW w:w="853" w:type="pct"/>
            <w:shd w:val="clear" w:color="auto" w:fill="auto"/>
            <w:vAlign w:val="center"/>
          </w:tcPr>
          <w:p w14:paraId="0EB11830" w14:textId="0F84F937" w:rsidR="00D572D3" w:rsidRPr="00DC7D12" w:rsidRDefault="00852FF0" w:rsidP="00DC7D12">
            <w:pPr>
              <w:jc w:val="center"/>
              <w:rPr>
                <w:color w:val="000000"/>
                <w:szCs w:val="22"/>
              </w:rPr>
            </w:pPr>
            <w:r w:rsidRPr="003F4BF0">
              <w:rPr>
                <w:color w:val="000000"/>
                <w:szCs w:val="22"/>
              </w:rPr>
              <w:t>Within 72 hours of major surgery with risk of severe bleeding</w:t>
            </w:r>
            <w:r w:rsidR="00377FA5">
              <w:rPr>
                <w:color w:val="000000"/>
                <w:szCs w:val="22"/>
              </w:rPr>
              <w:t>,</w:t>
            </w:r>
            <w:r w:rsidR="00377FA5" w:rsidRPr="003F4BF0">
              <w:rPr>
                <w:color w:val="000000"/>
                <w:szCs w:val="22"/>
              </w:rPr>
              <w:t xml:space="preserve"> Haemorrhagic stroke</w:t>
            </w:r>
          </w:p>
        </w:tc>
      </w:tr>
      <w:tr w:rsidR="00D572D3" w:rsidRPr="00264CFC" w14:paraId="580F2577" w14:textId="77777777" w:rsidTr="00CF74AD">
        <w:trPr>
          <w:cantSplit/>
        </w:trPr>
        <w:tc>
          <w:tcPr>
            <w:tcW w:w="4147" w:type="pct"/>
            <w:gridSpan w:val="4"/>
            <w:shd w:val="clear" w:color="auto" w:fill="auto"/>
            <w:vAlign w:val="center"/>
          </w:tcPr>
          <w:p w14:paraId="525C6801" w14:textId="0AD381CB" w:rsidR="00D572D3" w:rsidRPr="00D5293F" w:rsidRDefault="005D5ED8" w:rsidP="00CF74AD">
            <w:pPr>
              <w:jc w:val="center"/>
              <w:rPr>
                <w:szCs w:val="22"/>
              </w:rPr>
            </w:pPr>
            <w:r w:rsidRPr="00382637">
              <w:rPr>
                <w:szCs w:val="22"/>
              </w:rPr>
              <w:t>Concomitant treatment with any other anticoagulants e.g. UFH, LMWH (enoxaparin, dalteparin, etc.), heparin derivatives (fondaparinux, etc.), oral anticoagulants (warfarin, dabigatran etexilate, rivaroxaban, apixaban etc.) except under specific circumstances of switching oral anticoagulant therapy or when UFH is given at doses necessary to maintain an open central venous or arterial catheter</w:t>
            </w:r>
          </w:p>
        </w:tc>
        <w:tc>
          <w:tcPr>
            <w:tcW w:w="853" w:type="pct"/>
            <w:shd w:val="clear" w:color="auto" w:fill="F2F2F2" w:themeFill="background1" w:themeFillShade="F2"/>
            <w:vAlign w:val="center"/>
          </w:tcPr>
          <w:p w14:paraId="3E0EC7AE" w14:textId="77777777" w:rsidR="00D572D3" w:rsidRPr="00264CFC" w:rsidRDefault="00D572D3" w:rsidP="00CF74AD">
            <w:pPr>
              <w:jc w:val="center"/>
              <w:rPr>
                <w:b/>
                <w:szCs w:val="22"/>
              </w:rPr>
            </w:pPr>
          </w:p>
        </w:tc>
      </w:tr>
      <w:tr w:rsidR="00D572D3" w:rsidRPr="00264CFC" w14:paraId="13511463" w14:textId="77777777" w:rsidTr="00CF74AD">
        <w:trPr>
          <w:cantSplit/>
        </w:trPr>
        <w:tc>
          <w:tcPr>
            <w:tcW w:w="4147" w:type="pct"/>
            <w:gridSpan w:val="4"/>
            <w:shd w:val="clear" w:color="auto" w:fill="auto"/>
            <w:vAlign w:val="center"/>
          </w:tcPr>
          <w:p w14:paraId="78FB3284" w14:textId="5FA555C5" w:rsidR="00D572D3" w:rsidRPr="00EB561B" w:rsidRDefault="00D572D3" w:rsidP="00CF74AD">
            <w:pPr>
              <w:jc w:val="center"/>
              <w:rPr>
                <w:szCs w:val="22"/>
              </w:rPr>
            </w:pPr>
            <w:r w:rsidRPr="00EB561B">
              <w:rPr>
                <w:szCs w:val="22"/>
              </w:rPr>
              <w:t>Liver disease associated with coagulopathy and clinically relevant bleeding risk</w:t>
            </w:r>
          </w:p>
        </w:tc>
        <w:tc>
          <w:tcPr>
            <w:tcW w:w="853" w:type="pct"/>
            <w:shd w:val="clear" w:color="auto" w:fill="F2F2F2" w:themeFill="background1" w:themeFillShade="F2"/>
            <w:vAlign w:val="center"/>
          </w:tcPr>
          <w:p w14:paraId="57CDF587" w14:textId="77777777" w:rsidR="00D572D3" w:rsidRPr="00264CFC" w:rsidRDefault="00D572D3" w:rsidP="00CF74AD">
            <w:pPr>
              <w:jc w:val="center"/>
              <w:rPr>
                <w:b/>
                <w:szCs w:val="22"/>
              </w:rPr>
            </w:pPr>
          </w:p>
        </w:tc>
      </w:tr>
      <w:tr w:rsidR="006B608D" w:rsidRPr="00264CFC" w14:paraId="3875D968" w14:textId="77777777" w:rsidTr="00E356F9">
        <w:trPr>
          <w:cantSplit/>
        </w:trPr>
        <w:tc>
          <w:tcPr>
            <w:tcW w:w="1279" w:type="pct"/>
            <w:shd w:val="clear" w:color="auto" w:fill="auto"/>
            <w:vAlign w:val="center"/>
          </w:tcPr>
          <w:p w14:paraId="323342E7" w14:textId="2D4EFC29" w:rsidR="006B608D" w:rsidRPr="00EB561B" w:rsidRDefault="00E356F9" w:rsidP="00CF74AD">
            <w:pPr>
              <w:jc w:val="center"/>
              <w:rPr>
                <w:b/>
                <w:szCs w:val="22"/>
              </w:rPr>
            </w:pPr>
            <w:r w:rsidRPr="0063606E">
              <w:rPr>
                <w:bCs/>
                <w:szCs w:val="22"/>
              </w:rPr>
              <w:t>Hepatic impairment or liver disease expected to have any impact on survival</w:t>
            </w:r>
          </w:p>
        </w:tc>
        <w:tc>
          <w:tcPr>
            <w:tcW w:w="2867" w:type="pct"/>
            <w:gridSpan w:val="3"/>
            <w:shd w:val="clear" w:color="auto" w:fill="auto"/>
            <w:vAlign w:val="center"/>
          </w:tcPr>
          <w:p w14:paraId="739A6338" w14:textId="46E53D5E" w:rsidR="006B608D" w:rsidRPr="00EB561B" w:rsidRDefault="006B608D" w:rsidP="00CF74AD">
            <w:pPr>
              <w:jc w:val="center"/>
              <w:rPr>
                <w:b/>
                <w:szCs w:val="22"/>
              </w:rPr>
            </w:pPr>
            <w:r w:rsidRPr="009E7902">
              <w:rPr>
                <w:bCs/>
                <w:szCs w:val="22"/>
              </w:rPr>
              <w:t>Hepatic disease associated with coagulopathy and clinically relevant bleeding risk</w:t>
            </w:r>
          </w:p>
        </w:tc>
        <w:tc>
          <w:tcPr>
            <w:tcW w:w="853" w:type="pct"/>
            <w:shd w:val="clear" w:color="auto" w:fill="F2F2F2" w:themeFill="background1" w:themeFillShade="F2"/>
            <w:vAlign w:val="center"/>
          </w:tcPr>
          <w:p w14:paraId="04DD4A3E" w14:textId="77777777" w:rsidR="006B608D" w:rsidRPr="00264CFC" w:rsidRDefault="006B608D" w:rsidP="00CF74AD">
            <w:pPr>
              <w:jc w:val="center"/>
              <w:rPr>
                <w:b/>
                <w:szCs w:val="22"/>
              </w:rPr>
            </w:pPr>
          </w:p>
        </w:tc>
      </w:tr>
      <w:tr w:rsidR="00F94D75" w:rsidRPr="00264CFC" w14:paraId="329A757B" w14:textId="77777777" w:rsidTr="00377FA5">
        <w:trPr>
          <w:cantSplit/>
        </w:trPr>
        <w:tc>
          <w:tcPr>
            <w:tcW w:w="1279" w:type="pct"/>
            <w:shd w:val="clear" w:color="auto" w:fill="F2F2F2" w:themeFill="background1" w:themeFillShade="F2"/>
            <w:vAlign w:val="center"/>
          </w:tcPr>
          <w:p w14:paraId="48A52A7B" w14:textId="77777777" w:rsidR="00F94D75" w:rsidRPr="00EB561B" w:rsidRDefault="00F94D75" w:rsidP="00CF74AD">
            <w:pPr>
              <w:jc w:val="center"/>
              <w:rPr>
                <w:b/>
                <w:szCs w:val="22"/>
              </w:rPr>
            </w:pPr>
          </w:p>
        </w:tc>
        <w:tc>
          <w:tcPr>
            <w:tcW w:w="972" w:type="pct"/>
            <w:shd w:val="clear" w:color="auto" w:fill="auto"/>
            <w:vAlign w:val="center"/>
          </w:tcPr>
          <w:p w14:paraId="035B9A09" w14:textId="38FD7F9E" w:rsidR="00F94D75" w:rsidRPr="00A52E80" w:rsidRDefault="00A52E80" w:rsidP="00CF74AD">
            <w:pPr>
              <w:jc w:val="center"/>
              <w:rPr>
                <w:bCs/>
                <w:szCs w:val="22"/>
              </w:rPr>
            </w:pPr>
            <w:r w:rsidRPr="00A52E80">
              <w:rPr>
                <w:bCs/>
                <w:szCs w:val="22"/>
              </w:rPr>
              <w:t>Pregnancy and breast-feeding</w:t>
            </w:r>
          </w:p>
        </w:tc>
        <w:tc>
          <w:tcPr>
            <w:tcW w:w="874" w:type="pct"/>
            <w:shd w:val="clear" w:color="auto" w:fill="F2F2F2" w:themeFill="background1" w:themeFillShade="F2"/>
            <w:vAlign w:val="center"/>
          </w:tcPr>
          <w:p w14:paraId="6C310D94" w14:textId="77777777" w:rsidR="00F94D75" w:rsidRPr="00A52E80" w:rsidRDefault="00F94D75" w:rsidP="00CF74AD">
            <w:pPr>
              <w:jc w:val="center"/>
              <w:rPr>
                <w:bCs/>
                <w:szCs w:val="22"/>
              </w:rPr>
            </w:pPr>
          </w:p>
        </w:tc>
        <w:tc>
          <w:tcPr>
            <w:tcW w:w="1021" w:type="pct"/>
            <w:shd w:val="clear" w:color="auto" w:fill="auto"/>
            <w:vAlign w:val="center"/>
          </w:tcPr>
          <w:p w14:paraId="30E2DD74" w14:textId="01AA01C1" w:rsidR="00F94D75" w:rsidRPr="00A52E80" w:rsidRDefault="00A52E80" w:rsidP="00CF74AD">
            <w:pPr>
              <w:jc w:val="center"/>
              <w:rPr>
                <w:bCs/>
                <w:szCs w:val="22"/>
              </w:rPr>
            </w:pPr>
            <w:r w:rsidRPr="00A52E80">
              <w:rPr>
                <w:bCs/>
                <w:szCs w:val="22"/>
              </w:rPr>
              <w:t>Pregnancy and breast-feeding</w:t>
            </w:r>
          </w:p>
        </w:tc>
        <w:tc>
          <w:tcPr>
            <w:tcW w:w="853" w:type="pct"/>
            <w:shd w:val="clear" w:color="auto" w:fill="auto"/>
            <w:vAlign w:val="center"/>
          </w:tcPr>
          <w:p w14:paraId="0A567A32" w14:textId="3749C089" w:rsidR="00F94D75" w:rsidRPr="00A52E80" w:rsidRDefault="00852FF0" w:rsidP="00CF74AD">
            <w:pPr>
              <w:jc w:val="center"/>
              <w:rPr>
                <w:color w:val="000000"/>
                <w:szCs w:val="22"/>
              </w:rPr>
            </w:pPr>
            <w:r w:rsidRPr="003F4BF0">
              <w:rPr>
                <w:color w:val="000000"/>
                <w:szCs w:val="22"/>
              </w:rPr>
              <w:t>Within 48 hours postpartum</w:t>
            </w:r>
            <w:r>
              <w:rPr>
                <w:color w:val="000000"/>
                <w:szCs w:val="22"/>
              </w:rPr>
              <w:t>,</w:t>
            </w:r>
            <w:r w:rsidRPr="003F4BF0">
              <w:rPr>
                <w:color w:val="000000"/>
                <w:szCs w:val="22"/>
              </w:rPr>
              <w:t xml:space="preserve"> </w:t>
            </w:r>
            <w:r w:rsidR="00A52E80" w:rsidRPr="003F4BF0">
              <w:rPr>
                <w:color w:val="000000"/>
                <w:szCs w:val="22"/>
              </w:rPr>
              <w:t>Pregnancy (first and third trimesters</w:t>
            </w:r>
            <w:r w:rsidR="00A52E80">
              <w:rPr>
                <w:color w:val="000000"/>
                <w:szCs w:val="22"/>
              </w:rPr>
              <w:t>)</w:t>
            </w:r>
          </w:p>
        </w:tc>
      </w:tr>
      <w:tr w:rsidR="00F94D75" w:rsidRPr="00264CFC" w14:paraId="6FCE7D16" w14:textId="77777777" w:rsidTr="00377FA5">
        <w:trPr>
          <w:cantSplit/>
        </w:trPr>
        <w:tc>
          <w:tcPr>
            <w:tcW w:w="1279" w:type="pct"/>
            <w:shd w:val="clear" w:color="auto" w:fill="F2F2F2" w:themeFill="background1" w:themeFillShade="F2"/>
            <w:vAlign w:val="center"/>
          </w:tcPr>
          <w:p w14:paraId="5DC14611" w14:textId="77777777" w:rsidR="00F94D75" w:rsidRPr="00EB561B" w:rsidRDefault="00F94D75" w:rsidP="00CF74AD">
            <w:pPr>
              <w:jc w:val="center"/>
              <w:rPr>
                <w:b/>
                <w:szCs w:val="22"/>
              </w:rPr>
            </w:pPr>
          </w:p>
        </w:tc>
        <w:tc>
          <w:tcPr>
            <w:tcW w:w="972" w:type="pct"/>
            <w:shd w:val="clear" w:color="auto" w:fill="F2F2F2" w:themeFill="background1" w:themeFillShade="F2"/>
            <w:vAlign w:val="center"/>
          </w:tcPr>
          <w:p w14:paraId="5AA9EB64" w14:textId="77777777" w:rsidR="00F94D75" w:rsidRPr="00EB561B" w:rsidRDefault="00F94D75" w:rsidP="00CF74AD">
            <w:pPr>
              <w:jc w:val="center"/>
              <w:rPr>
                <w:b/>
                <w:szCs w:val="22"/>
              </w:rPr>
            </w:pPr>
          </w:p>
        </w:tc>
        <w:tc>
          <w:tcPr>
            <w:tcW w:w="874" w:type="pct"/>
            <w:shd w:val="clear" w:color="auto" w:fill="F2F2F2" w:themeFill="background1" w:themeFillShade="F2"/>
            <w:vAlign w:val="center"/>
          </w:tcPr>
          <w:p w14:paraId="43B846C7" w14:textId="77777777" w:rsidR="00F94D75" w:rsidRPr="00EB561B" w:rsidRDefault="00F94D75" w:rsidP="00CF74AD">
            <w:pPr>
              <w:jc w:val="center"/>
              <w:rPr>
                <w:b/>
                <w:szCs w:val="22"/>
              </w:rPr>
            </w:pPr>
          </w:p>
        </w:tc>
        <w:tc>
          <w:tcPr>
            <w:tcW w:w="1021" w:type="pct"/>
            <w:shd w:val="clear" w:color="auto" w:fill="auto"/>
            <w:vAlign w:val="center"/>
          </w:tcPr>
          <w:p w14:paraId="0F8005E8" w14:textId="5046D50D" w:rsidR="00F94D75" w:rsidRPr="00F15063" w:rsidRDefault="00F15063" w:rsidP="00CF74AD">
            <w:pPr>
              <w:jc w:val="center"/>
              <w:rPr>
                <w:bCs/>
                <w:szCs w:val="22"/>
              </w:rPr>
            </w:pPr>
            <w:r w:rsidRPr="00F15063">
              <w:rPr>
                <w:bCs/>
                <w:szCs w:val="22"/>
              </w:rPr>
              <w:t>Uncontrolled severe hypertension</w:t>
            </w:r>
          </w:p>
        </w:tc>
        <w:tc>
          <w:tcPr>
            <w:tcW w:w="853" w:type="pct"/>
            <w:shd w:val="clear" w:color="auto" w:fill="F2F2F2" w:themeFill="background1" w:themeFillShade="F2"/>
            <w:vAlign w:val="center"/>
          </w:tcPr>
          <w:p w14:paraId="3D6F3EF1" w14:textId="77777777" w:rsidR="00F94D75" w:rsidRPr="00264CFC" w:rsidRDefault="00F94D75" w:rsidP="00CF74AD">
            <w:pPr>
              <w:jc w:val="center"/>
              <w:rPr>
                <w:b/>
                <w:szCs w:val="22"/>
              </w:rPr>
            </w:pPr>
          </w:p>
        </w:tc>
      </w:tr>
      <w:tr w:rsidR="00F15063" w:rsidRPr="00264CFC" w14:paraId="1DC20C5A" w14:textId="77777777" w:rsidTr="00377FA5">
        <w:trPr>
          <w:cantSplit/>
        </w:trPr>
        <w:tc>
          <w:tcPr>
            <w:tcW w:w="1279" w:type="pct"/>
            <w:shd w:val="clear" w:color="auto" w:fill="auto"/>
            <w:vAlign w:val="center"/>
          </w:tcPr>
          <w:p w14:paraId="144CF77E" w14:textId="6004A1C1" w:rsidR="00F15063" w:rsidRPr="00EB561B" w:rsidRDefault="005775CA" w:rsidP="00CF74AD">
            <w:pPr>
              <w:jc w:val="center"/>
              <w:rPr>
                <w:b/>
                <w:szCs w:val="22"/>
              </w:rPr>
            </w:pPr>
            <w:r w:rsidRPr="005775CA">
              <w:rPr>
                <w:bCs/>
                <w:szCs w:val="22"/>
              </w:rPr>
              <w:t>Severe renal impairment (CrC</w:t>
            </w:r>
            <w:r w:rsidR="00E356F9">
              <w:rPr>
                <w:bCs/>
                <w:szCs w:val="22"/>
              </w:rPr>
              <w:t>l</w:t>
            </w:r>
            <w:r w:rsidRPr="005775CA">
              <w:rPr>
                <w:bCs/>
                <w:szCs w:val="22"/>
              </w:rPr>
              <w:t xml:space="preserve"> &lt;30 mL/min) in adult patients</w:t>
            </w:r>
          </w:p>
        </w:tc>
        <w:tc>
          <w:tcPr>
            <w:tcW w:w="972" w:type="pct"/>
            <w:shd w:val="clear" w:color="auto" w:fill="F2F2F2" w:themeFill="background1" w:themeFillShade="F2"/>
            <w:vAlign w:val="center"/>
          </w:tcPr>
          <w:p w14:paraId="67BF4695" w14:textId="77777777" w:rsidR="00F15063" w:rsidRPr="00EB561B" w:rsidRDefault="00F15063" w:rsidP="00CF74AD">
            <w:pPr>
              <w:jc w:val="center"/>
              <w:rPr>
                <w:b/>
                <w:szCs w:val="22"/>
              </w:rPr>
            </w:pPr>
          </w:p>
        </w:tc>
        <w:tc>
          <w:tcPr>
            <w:tcW w:w="874" w:type="pct"/>
            <w:shd w:val="clear" w:color="auto" w:fill="F2F2F2" w:themeFill="background1" w:themeFillShade="F2"/>
            <w:vAlign w:val="center"/>
          </w:tcPr>
          <w:p w14:paraId="3003A99B" w14:textId="77777777" w:rsidR="00F15063" w:rsidRPr="00EB561B" w:rsidRDefault="00F15063" w:rsidP="00CF74AD">
            <w:pPr>
              <w:jc w:val="center"/>
              <w:rPr>
                <w:b/>
                <w:szCs w:val="22"/>
              </w:rPr>
            </w:pPr>
          </w:p>
        </w:tc>
        <w:tc>
          <w:tcPr>
            <w:tcW w:w="1021" w:type="pct"/>
            <w:shd w:val="clear" w:color="auto" w:fill="F2F2F2" w:themeFill="background1" w:themeFillShade="F2"/>
            <w:vAlign w:val="center"/>
          </w:tcPr>
          <w:p w14:paraId="178E733B" w14:textId="77777777" w:rsidR="00F15063" w:rsidRPr="00F15063" w:rsidRDefault="00F15063" w:rsidP="00CF74AD">
            <w:pPr>
              <w:jc w:val="center"/>
              <w:rPr>
                <w:bCs/>
                <w:szCs w:val="22"/>
              </w:rPr>
            </w:pPr>
          </w:p>
        </w:tc>
        <w:tc>
          <w:tcPr>
            <w:tcW w:w="853" w:type="pct"/>
            <w:shd w:val="clear" w:color="auto" w:fill="F2F2F2" w:themeFill="background1" w:themeFillShade="F2"/>
            <w:vAlign w:val="center"/>
          </w:tcPr>
          <w:p w14:paraId="4EE762B1" w14:textId="77777777" w:rsidR="00F15063" w:rsidRPr="00264CFC" w:rsidRDefault="00F15063" w:rsidP="00CF74AD">
            <w:pPr>
              <w:jc w:val="center"/>
              <w:rPr>
                <w:b/>
                <w:szCs w:val="22"/>
              </w:rPr>
            </w:pPr>
          </w:p>
        </w:tc>
      </w:tr>
      <w:tr w:rsidR="00F15063" w:rsidRPr="00264CFC" w14:paraId="3C5B19DE" w14:textId="77777777" w:rsidTr="00377FA5">
        <w:trPr>
          <w:cantSplit/>
        </w:trPr>
        <w:tc>
          <w:tcPr>
            <w:tcW w:w="1279" w:type="pct"/>
            <w:shd w:val="clear" w:color="auto" w:fill="auto"/>
            <w:vAlign w:val="center"/>
          </w:tcPr>
          <w:p w14:paraId="286DDB1D" w14:textId="6BA3D724" w:rsidR="00F15063" w:rsidRPr="00EB561B" w:rsidRDefault="00504C42" w:rsidP="00CF74AD">
            <w:pPr>
              <w:jc w:val="center"/>
              <w:rPr>
                <w:b/>
                <w:szCs w:val="22"/>
              </w:rPr>
            </w:pPr>
            <w:r w:rsidRPr="005775CA">
              <w:rPr>
                <w:bCs/>
                <w:szCs w:val="22"/>
              </w:rPr>
              <w:t>eGFR &lt;50 mL/min/1.73m</w:t>
            </w:r>
            <w:r w:rsidRPr="00D5293F">
              <w:rPr>
                <w:bCs/>
                <w:szCs w:val="22"/>
                <w:vertAlign w:val="superscript"/>
              </w:rPr>
              <w:t>2</w:t>
            </w:r>
            <w:r w:rsidRPr="005775CA">
              <w:rPr>
                <w:bCs/>
                <w:szCs w:val="22"/>
              </w:rPr>
              <w:t xml:space="preserve"> in paediatric patients</w:t>
            </w:r>
          </w:p>
        </w:tc>
        <w:tc>
          <w:tcPr>
            <w:tcW w:w="972" w:type="pct"/>
            <w:shd w:val="clear" w:color="auto" w:fill="F2F2F2" w:themeFill="background1" w:themeFillShade="F2"/>
            <w:vAlign w:val="center"/>
          </w:tcPr>
          <w:p w14:paraId="197BA654" w14:textId="77777777" w:rsidR="00F15063" w:rsidRPr="00EB561B" w:rsidRDefault="00F15063" w:rsidP="00CF74AD">
            <w:pPr>
              <w:jc w:val="center"/>
              <w:rPr>
                <w:b/>
                <w:szCs w:val="22"/>
              </w:rPr>
            </w:pPr>
          </w:p>
        </w:tc>
        <w:tc>
          <w:tcPr>
            <w:tcW w:w="874" w:type="pct"/>
            <w:shd w:val="clear" w:color="auto" w:fill="F2F2F2" w:themeFill="background1" w:themeFillShade="F2"/>
            <w:vAlign w:val="center"/>
          </w:tcPr>
          <w:p w14:paraId="37A8A03C" w14:textId="77777777" w:rsidR="00F15063" w:rsidRPr="00EB561B" w:rsidRDefault="00F15063" w:rsidP="00CF74AD">
            <w:pPr>
              <w:jc w:val="center"/>
              <w:rPr>
                <w:b/>
                <w:szCs w:val="22"/>
              </w:rPr>
            </w:pPr>
          </w:p>
        </w:tc>
        <w:tc>
          <w:tcPr>
            <w:tcW w:w="1021" w:type="pct"/>
            <w:shd w:val="clear" w:color="auto" w:fill="F2F2F2" w:themeFill="background1" w:themeFillShade="F2"/>
            <w:vAlign w:val="center"/>
          </w:tcPr>
          <w:p w14:paraId="5B17EEB8" w14:textId="77777777" w:rsidR="00F15063" w:rsidRPr="00F15063" w:rsidRDefault="00F15063" w:rsidP="00CF74AD">
            <w:pPr>
              <w:jc w:val="center"/>
              <w:rPr>
                <w:bCs/>
                <w:szCs w:val="22"/>
              </w:rPr>
            </w:pPr>
          </w:p>
        </w:tc>
        <w:tc>
          <w:tcPr>
            <w:tcW w:w="853" w:type="pct"/>
            <w:shd w:val="clear" w:color="auto" w:fill="F2F2F2" w:themeFill="background1" w:themeFillShade="F2"/>
            <w:vAlign w:val="center"/>
          </w:tcPr>
          <w:p w14:paraId="402DE947" w14:textId="77777777" w:rsidR="00F15063" w:rsidRPr="00264CFC" w:rsidRDefault="00F15063" w:rsidP="00CF74AD">
            <w:pPr>
              <w:jc w:val="center"/>
              <w:rPr>
                <w:b/>
                <w:szCs w:val="22"/>
              </w:rPr>
            </w:pPr>
          </w:p>
        </w:tc>
      </w:tr>
      <w:tr w:rsidR="008A5A25" w:rsidRPr="00264CFC" w14:paraId="6BBB535A" w14:textId="77777777" w:rsidTr="00377FA5">
        <w:trPr>
          <w:cantSplit/>
        </w:trPr>
        <w:tc>
          <w:tcPr>
            <w:tcW w:w="1279" w:type="pct"/>
            <w:shd w:val="clear" w:color="auto" w:fill="auto"/>
            <w:vAlign w:val="center"/>
          </w:tcPr>
          <w:p w14:paraId="75F2CC44" w14:textId="08BBD18B" w:rsidR="008A5A25" w:rsidRPr="00086304" w:rsidRDefault="00F26CA2" w:rsidP="00CF74AD">
            <w:pPr>
              <w:jc w:val="center"/>
              <w:rPr>
                <w:bCs/>
                <w:szCs w:val="22"/>
              </w:rPr>
            </w:pPr>
            <w:r w:rsidRPr="00F26CA2">
              <w:rPr>
                <w:bCs/>
                <w:szCs w:val="22"/>
              </w:rPr>
              <w:t>Prosthetic heart valves requiring anticoagulant treatment</w:t>
            </w:r>
          </w:p>
        </w:tc>
        <w:tc>
          <w:tcPr>
            <w:tcW w:w="972" w:type="pct"/>
            <w:shd w:val="clear" w:color="auto" w:fill="F2F2F2" w:themeFill="background1" w:themeFillShade="F2"/>
            <w:vAlign w:val="center"/>
          </w:tcPr>
          <w:p w14:paraId="7E934F99" w14:textId="77777777" w:rsidR="008A5A25" w:rsidRPr="00EB561B" w:rsidRDefault="008A5A25" w:rsidP="00CF74AD">
            <w:pPr>
              <w:jc w:val="center"/>
              <w:rPr>
                <w:b/>
                <w:szCs w:val="22"/>
              </w:rPr>
            </w:pPr>
          </w:p>
        </w:tc>
        <w:tc>
          <w:tcPr>
            <w:tcW w:w="874" w:type="pct"/>
            <w:shd w:val="clear" w:color="auto" w:fill="F2F2F2" w:themeFill="background1" w:themeFillShade="F2"/>
            <w:vAlign w:val="center"/>
          </w:tcPr>
          <w:p w14:paraId="7461AD5F" w14:textId="77777777" w:rsidR="008A5A25" w:rsidRPr="00EB561B" w:rsidRDefault="008A5A25" w:rsidP="00CF74AD">
            <w:pPr>
              <w:jc w:val="center"/>
              <w:rPr>
                <w:b/>
                <w:szCs w:val="22"/>
              </w:rPr>
            </w:pPr>
          </w:p>
        </w:tc>
        <w:tc>
          <w:tcPr>
            <w:tcW w:w="1021" w:type="pct"/>
            <w:shd w:val="clear" w:color="auto" w:fill="F2F2F2" w:themeFill="background1" w:themeFillShade="F2"/>
            <w:vAlign w:val="center"/>
          </w:tcPr>
          <w:p w14:paraId="6244FB0A" w14:textId="77777777" w:rsidR="008A5A25" w:rsidRPr="00F15063" w:rsidRDefault="008A5A25" w:rsidP="00CF74AD">
            <w:pPr>
              <w:jc w:val="center"/>
              <w:rPr>
                <w:bCs/>
                <w:szCs w:val="22"/>
              </w:rPr>
            </w:pPr>
          </w:p>
        </w:tc>
        <w:tc>
          <w:tcPr>
            <w:tcW w:w="853" w:type="pct"/>
            <w:shd w:val="clear" w:color="auto" w:fill="F2F2F2" w:themeFill="background1" w:themeFillShade="F2"/>
            <w:vAlign w:val="center"/>
          </w:tcPr>
          <w:p w14:paraId="0B5F8D45" w14:textId="77777777" w:rsidR="008A5A25" w:rsidRPr="00264CFC" w:rsidRDefault="008A5A25" w:rsidP="00CF74AD">
            <w:pPr>
              <w:jc w:val="center"/>
              <w:rPr>
                <w:b/>
                <w:szCs w:val="22"/>
              </w:rPr>
            </w:pPr>
          </w:p>
        </w:tc>
      </w:tr>
      <w:tr w:rsidR="008A5A25" w:rsidRPr="00264CFC" w14:paraId="3EFAF81C" w14:textId="77777777" w:rsidTr="00377FA5">
        <w:trPr>
          <w:cantSplit/>
        </w:trPr>
        <w:tc>
          <w:tcPr>
            <w:tcW w:w="1279" w:type="pct"/>
            <w:shd w:val="clear" w:color="auto" w:fill="auto"/>
            <w:vAlign w:val="center"/>
          </w:tcPr>
          <w:p w14:paraId="2BEFC8C8" w14:textId="4CE5C935" w:rsidR="008A5A25" w:rsidRPr="00086304" w:rsidRDefault="00072015" w:rsidP="00CF74AD">
            <w:pPr>
              <w:jc w:val="center"/>
              <w:rPr>
                <w:bCs/>
                <w:szCs w:val="22"/>
              </w:rPr>
            </w:pPr>
            <w:r w:rsidRPr="00072015">
              <w:rPr>
                <w:bCs/>
                <w:szCs w:val="22"/>
              </w:rPr>
              <w:lastRenderedPageBreak/>
              <w:t>Concomitant treatment with the following strong P-gp inhibitors: systemic ketoconazole, cyclosporine, itraconazole, dronedarone and the fixed-dose combination glecaprevir/pibrentasvir</w:t>
            </w:r>
          </w:p>
        </w:tc>
        <w:tc>
          <w:tcPr>
            <w:tcW w:w="972" w:type="pct"/>
            <w:shd w:val="clear" w:color="auto" w:fill="F2F2F2" w:themeFill="background1" w:themeFillShade="F2"/>
            <w:vAlign w:val="center"/>
          </w:tcPr>
          <w:p w14:paraId="28F6667E" w14:textId="77777777" w:rsidR="008A5A25" w:rsidRPr="00EB561B" w:rsidRDefault="008A5A25" w:rsidP="00CF74AD">
            <w:pPr>
              <w:jc w:val="center"/>
              <w:rPr>
                <w:b/>
                <w:szCs w:val="22"/>
              </w:rPr>
            </w:pPr>
          </w:p>
        </w:tc>
        <w:tc>
          <w:tcPr>
            <w:tcW w:w="874" w:type="pct"/>
            <w:shd w:val="clear" w:color="auto" w:fill="F2F2F2" w:themeFill="background1" w:themeFillShade="F2"/>
            <w:vAlign w:val="center"/>
          </w:tcPr>
          <w:p w14:paraId="0FC6C558" w14:textId="77777777" w:rsidR="008A5A25" w:rsidRPr="00EB561B" w:rsidRDefault="008A5A25" w:rsidP="00CF74AD">
            <w:pPr>
              <w:jc w:val="center"/>
              <w:rPr>
                <w:b/>
                <w:szCs w:val="22"/>
              </w:rPr>
            </w:pPr>
          </w:p>
        </w:tc>
        <w:tc>
          <w:tcPr>
            <w:tcW w:w="1021" w:type="pct"/>
            <w:shd w:val="clear" w:color="auto" w:fill="F2F2F2" w:themeFill="background1" w:themeFillShade="F2"/>
            <w:vAlign w:val="center"/>
          </w:tcPr>
          <w:p w14:paraId="578D8514" w14:textId="77777777" w:rsidR="008A5A25" w:rsidRPr="00F15063" w:rsidRDefault="008A5A25" w:rsidP="00CF74AD">
            <w:pPr>
              <w:jc w:val="center"/>
              <w:rPr>
                <w:bCs/>
                <w:szCs w:val="22"/>
              </w:rPr>
            </w:pPr>
          </w:p>
        </w:tc>
        <w:tc>
          <w:tcPr>
            <w:tcW w:w="853" w:type="pct"/>
            <w:shd w:val="clear" w:color="auto" w:fill="auto"/>
            <w:vAlign w:val="center"/>
          </w:tcPr>
          <w:p w14:paraId="6B372E60" w14:textId="37EE4387" w:rsidR="008A5A25" w:rsidRPr="00264CFC" w:rsidRDefault="00377FA5" w:rsidP="00CF74AD">
            <w:pPr>
              <w:jc w:val="center"/>
              <w:rPr>
                <w:b/>
                <w:szCs w:val="22"/>
              </w:rPr>
            </w:pPr>
            <w:r w:rsidRPr="003F4BF0">
              <w:rPr>
                <w:color w:val="000000"/>
                <w:szCs w:val="22"/>
              </w:rPr>
              <w:t>Drugs where interactions may lead to a significantly increased risk of bleeding</w:t>
            </w:r>
          </w:p>
        </w:tc>
      </w:tr>
    </w:tbl>
    <w:p w14:paraId="77363236" w14:textId="77777777" w:rsidR="00E03A48" w:rsidRPr="00EB561B" w:rsidRDefault="00E03A48">
      <w:pPr>
        <w:rPr>
          <w:rFonts w:asciiTheme="majorHAnsi" w:hAnsiTheme="majorHAnsi" w:cstheme="majorHAnsi"/>
          <w:szCs w:val="22"/>
        </w:rPr>
      </w:pPr>
    </w:p>
    <w:tbl>
      <w:tblPr>
        <w:tblStyle w:val="TableGrid"/>
        <w:tblW w:w="0" w:type="auto"/>
        <w:tblLook w:val="04A0" w:firstRow="1" w:lastRow="0" w:firstColumn="1" w:lastColumn="0" w:noHBand="0" w:noVBand="1"/>
      </w:tblPr>
      <w:tblGrid>
        <w:gridCol w:w="1663"/>
        <w:gridCol w:w="1894"/>
        <w:gridCol w:w="1894"/>
        <w:gridCol w:w="1894"/>
        <w:gridCol w:w="2390"/>
      </w:tblGrid>
      <w:tr w:rsidR="00FE5B68" w:rsidRPr="00EB561B" w14:paraId="603BCB04" w14:textId="390C734A" w:rsidTr="0005253C">
        <w:trPr>
          <w:cantSplit/>
        </w:trPr>
        <w:tc>
          <w:tcPr>
            <w:tcW w:w="0" w:type="auto"/>
            <w:gridSpan w:val="5"/>
            <w:shd w:val="clear" w:color="auto" w:fill="F2F2F2" w:themeFill="background1" w:themeFillShade="F2"/>
            <w:vAlign w:val="center"/>
          </w:tcPr>
          <w:p w14:paraId="2DAFB8FF" w14:textId="50527480" w:rsidR="00FE5B68" w:rsidRPr="00367CC8" w:rsidRDefault="001531DC" w:rsidP="00D5293F">
            <w:pPr>
              <w:pStyle w:val="Heading2"/>
            </w:pPr>
            <w:bookmarkStart w:id="112" w:name="_Toc365717739"/>
            <w:bookmarkStart w:id="113" w:name="_Toc96868260"/>
            <w:bookmarkStart w:id="114" w:name="_Toc104910467"/>
            <w:bookmarkStart w:id="115" w:name="_Toc106708914"/>
            <w:r w:rsidRPr="00367CC8">
              <w:t xml:space="preserve">Prosthetic </w:t>
            </w:r>
            <w:r w:rsidR="00FE5B68" w:rsidRPr="00367CC8">
              <w:t>heart valve</w:t>
            </w:r>
            <w:bookmarkEnd w:id="112"/>
            <w:bookmarkEnd w:id="113"/>
            <w:r w:rsidR="005D5C49" w:rsidRPr="00367CC8">
              <w:t>s</w:t>
            </w:r>
            <w:bookmarkEnd w:id="114"/>
            <w:bookmarkEnd w:id="115"/>
          </w:p>
        </w:tc>
      </w:tr>
      <w:tr w:rsidR="002537CD" w:rsidRPr="00EB561B" w14:paraId="34EDA889" w14:textId="4958E3AE" w:rsidTr="00CF74AD">
        <w:trPr>
          <w:cantSplit/>
        </w:trPr>
        <w:tc>
          <w:tcPr>
            <w:tcW w:w="0" w:type="auto"/>
            <w:shd w:val="clear" w:color="auto" w:fill="DBE5F1" w:themeFill="accent1" w:themeFillTint="33"/>
            <w:vAlign w:val="center"/>
          </w:tcPr>
          <w:p w14:paraId="70E843E6" w14:textId="77777777" w:rsidR="000C7431" w:rsidRPr="00EB561B" w:rsidRDefault="000C7431" w:rsidP="00CF74AD">
            <w:pPr>
              <w:jc w:val="center"/>
              <w:rPr>
                <w:szCs w:val="22"/>
              </w:rPr>
            </w:pPr>
            <w:r w:rsidRPr="00EB561B">
              <w:rPr>
                <w:b/>
                <w:szCs w:val="22"/>
              </w:rPr>
              <w:t>Dabigatran (Pradaxa</w:t>
            </w:r>
            <w:r w:rsidRPr="00EB561B">
              <w:rPr>
                <w:b/>
                <w:szCs w:val="22"/>
              </w:rPr>
              <w:sym w:font="Symbol" w:char="F0D2"/>
            </w:r>
            <w:r w:rsidRPr="00EB561B">
              <w:rPr>
                <w:b/>
                <w:szCs w:val="22"/>
              </w:rPr>
              <w:t>)</w:t>
            </w:r>
            <w:r w:rsidRPr="00EB561B">
              <w:rPr>
                <w:b/>
                <w:szCs w:val="22"/>
                <w:vertAlign w:val="superscript"/>
              </w:rPr>
              <w:t>1</w:t>
            </w:r>
          </w:p>
        </w:tc>
        <w:tc>
          <w:tcPr>
            <w:tcW w:w="0" w:type="auto"/>
            <w:shd w:val="clear" w:color="auto" w:fill="F2DBDB" w:themeFill="accent2" w:themeFillTint="33"/>
            <w:vAlign w:val="center"/>
          </w:tcPr>
          <w:p w14:paraId="1981BA87" w14:textId="4B7E38C0" w:rsidR="000C7431" w:rsidRPr="00EB561B" w:rsidRDefault="000C7431" w:rsidP="00CF74AD">
            <w:pPr>
              <w:jc w:val="center"/>
              <w:rPr>
                <w:szCs w:val="22"/>
              </w:rPr>
            </w:pPr>
            <w:r w:rsidRPr="00EB561B">
              <w:rPr>
                <w:b/>
                <w:szCs w:val="22"/>
              </w:rPr>
              <w:t>Rivaroxaban (Xarelto</w:t>
            </w:r>
            <w:r w:rsidRPr="00EB561B">
              <w:rPr>
                <w:b/>
                <w:szCs w:val="22"/>
              </w:rPr>
              <w:sym w:font="Symbol" w:char="F0D2"/>
            </w:r>
            <w:r w:rsidRPr="00EB561B">
              <w:rPr>
                <w:rFonts w:cs="Arial"/>
                <w:szCs w:val="22"/>
              </w:rPr>
              <w:t>▼</w:t>
            </w:r>
            <w:r w:rsidRPr="00EB561B">
              <w:rPr>
                <w:b/>
                <w:szCs w:val="22"/>
              </w:rPr>
              <w:t>)</w:t>
            </w:r>
            <w:r w:rsidRPr="00EB561B">
              <w:rPr>
                <w:b/>
                <w:szCs w:val="22"/>
                <w:vertAlign w:val="superscript"/>
              </w:rPr>
              <w:t>2</w:t>
            </w:r>
          </w:p>
        </w:tc>
        <w:tc>
          <w:tcPr>
            <w:tcW w:w="0" w:type="auto"/>
            <w:shd w:val="clear" w:color="auto" w:fill="E5DFEC" w:themeFill="accent4" w:themeFillTint="33"/>
            <w:vAlign w:val="center"/>
          </w:tcPr>
          <w:p w14:paraId="20DD9D25" w14:textId="77777777" w:rsidR="000C7431" w:rsidRPr="00EB561B" w:rsidRDefault="000C7431" w:rsidP="00CF74AD">
            <w:pPr>
              <w:jc w:val="center"/>
              <w:rPr>
                <w:szCs w:val="22"/>
              </w:rPr>
            </w:pPr>
            <w:r w:rsidRPr="00EB561B">
              <w:rPr>
                <w:b/>
                <w:szCs w:val="22"/>
              </w:rPr>
              <w:t>Apixaban (Eliquis</w:t>
            </w:r>
            <w:r w:rsidRPr="00EB561B">
              <w:rPr>
                <w:b/>
                <w:szCs w:val="22"/>
              </w:rPr>
              <w:sym w:font="Symbol" w:char="F0D2"/>
            </w:r>
            <w:r w:rsidRPr="00EB561B">
              <w:rPr>
                <w:b/>
                <w:szCs w:val="22"/>
              </w:rPr>
              <w:t>)</w:t>
            </w:r>
            <w:r w:rsidRPr="00EB561B">
              <w:rPr>
                <w:b/>
                <w:szCs w:val="22"/>
                <w:vertAlign w:val="superscript"/>
              </w:rPr>
              <w:t>3</w:t>
            </w:r>
          </w:p>
        </w:tc>
        <w:tc>
          <w:tcPr>
            <w:tcW w:w="0" w:type="auto"/>
            <w:shd w:val="clear" w:color="auto" w:fill="FDE9D9" w:themeFill="accent6" w:themeFillTint="33"/>
            <w:vAlign w:val="center"/>
          </w:tcPr>
          <w:p w14:paraId="70E24E95" w14:textId="1037BBA4" w:rsidR="000C7431" w:rsidRPr="00EB561B" w:rsidRDefault="000C7431" w:rsidP="00CF74AD">
            <w:pPr>
              <w:jc w:val="center"/>
              <w:rPr>
                <w:szCs w:val="22"/>
              </w:rPr>
            </w:pPr>
            <w:r w:rsidRPr="00EB561B">
              <w:rPr>
                <w:b/>
                <w:szCs w:val="22"/>
              </w:rPr>
              <w:t>Edoxaban (Lixiana</w:t>
            </w:r>
            <w:r w:rsidRPr="00EB561B">
              <w:rPr>
                <w:b/>
                <w:szCs w:val="22"/>
              </w:rPr>
              <w:sym w:font="Symbol" w:char="F0D2"/>
            </w:r>
            <w:r w:rsidRPr="00EB561B">
              <w:rPr>
                <w:b/>
                <w:szCs w:val="22"/>
              </w:rPr>
              <w:t>)</w:t>
            </w:r>
            <w:r w:rsidRPr="00EB561B">
              <w:rPr>
                <w:b/>
                <w:szCs w:val="22"/>
                <w:vertAlign w:val="superscript"/>
              </w:rPr>
              <w:t>4</w:t>
            </w:r>
          </w:p>
        </w:tc>
        <w:tc>
          <w:tcPr>
            <w:tcW w:w="0" w:type="auto"/>
            <w:shd w:val="clear" w:color="auto" w:fill="EAF1DD" w:themeFill="accent3" w:themeFillTint="33"/>
            <w:vAlign w:val="center"/>
          </w:tcPr>
          <w:p w14:paraId="72236A44" w14:textId="7EF1C8CF" w:rsidR="000C7431" w:rsidRPr="00EB561B" w:rsidRDefault="000C7431" w:rsidP="00CF74AD">
            <w:pPr>
              <w:jc w:val="center"/>
              <w:rPr>
                <w:b/>
                <w:szCs w:val="22"/>
              </w:rPr>
            </w:pPr>
            <w:r w:rsidRPr="00EB561B">
              <w:rPr>
                <w:b/>
                <w:szCs w:val="22"/>
              </w:rPr>
              <w:t>Warfarin</w:t>
            </w:r>
            <w:r w:rsidR="008223A7" w:rsidRPr="00EB561B">
              <w:rPr>
                <w:b/>
                <w:szCs w:val="22"/>
                <w:vertAlign w:val="superscript"/>
              </w:rPr>
              <w:t>5</w:t>
            </w:r>
          </w:p>
        </w:tc>
      </w:tr>
      <w:tr w:rsidR="008223A7" w:rsidRPr="00EB561B" w14:paraId="6A0AF9BE" w14:textId="53B0ADA9" w:rsidTr="00CF74AD">
        <w:trPr>
          <w:cantSplit/>
        </w:trPr>
        <w:tc>
          <w:tcPr>
            <w:tcW w:w="0" w:type="auto"/>
            <w:shd w:val="clear" w:color="auto" w:fill="auto"/>
            <w:vAlign w:val="center"/>
          </w:tcPr>
          <w:p w14:paraId="1C6753BB" w14:textId="77777777" w:rsidR="000C7431" w:rsidRPr="00EB561B" w:rsidRDefault="000C7431" w:rsidP="00CF74AD">
            <w:pPr>
              <w:jc w:val="center"/>
              <w:rPr>
                <w:szCs w:val="22"/>
              </w:rPr>
            </w:pPr>
            <w:r w:rsidRPr="00EB561B">
              <w:rPr>
                <w:szCs w:val="22"/>
              </w:rPr>
              <w:t>Contra-indicated</w:t>
            </w:r>
          </w:p>
        </w:tc>
        <w:tc>
          <w:tcPr>
            <w:tcW w:w="0" w:type="auto"/>
            <w:shd w:val="clear" w:color="auto" w:fill="auto"/>
            <w:vAlign w:val="center"/>
          </w:tcPr>
          <w:p w14:paraId="4303FD1B" w14:textId="77777777" w:rsidR="000C7431" w:rsidRPr="00EB561B" w:rsidRDefault="000C7431" w:rsidP="00CF74AD">
            <w:pPr>
              <w:jc w:val="center"/>
              <w:rPr>
                <w:szCs w:val="22"/>
              </w:rPr>
            </w:pPr>
            <w:r w:rsidRPr="00EB561B">
              <w:rPr>
                <w:szCs w:val="22"/>
              </w:rPr>
              <w:t>Not studied – not recommended</w:t>
            </w:r>
          </w:p>
        </w:tc>
        <w:tc>
          <w:tcPr>
            <w:tcW w:w="0" w:type="auto"/>
            <w:shd w:val="clear" w:color="auto" w:fill="auto"/>
            <w:vAlign w:val="center"/>
          </w:tcPr>
          <w:p w14:paraId="0B11DC4A" w14:textId="0C4C0DE0" w:rsidR="000C7431" w:rsidRPr="00EB561B" w:rsidRDefault="002537CD" w:rsidP="00CF74AD">
            <w:pPr>
              <w:jc w:val="center"/>
              <w:rPr>
                <w:szCs w:val="22"/>
              </w:rPr>
            </w:pPr>
            <w:r w:rsidRPr="00EB561B">
              <w:rPr>
                <w:szCs w:val="22"/>
              </w:rPr>
              <w:t xml:space="preserve">Not </w:t>
            </w:r>
            <w:r w:rsidR="000C7431" w:rsidRPr="00EB561B">
              <w:rPr>
                <w:szCs w:val="22"/>
              </w:rPr>
              <w:t>studied – not recommended</w:t>
            </w:r>
          </w:p>
        </w:tc>
        <w:tc>
          <w:tcPr>
            <w:tcW w:w="0" w:type="auto"/>
            <w:shd w:val="clear" w:color="auto" w:fill="auto"/>
            <w:vAlign w:val="center"/>
          </w:tcPr>
          <w:p w14:paraId="7E49A34F" w14:textId="4B8E1839" w:rsidR="000C7431" w:rsidRPr="00EB561B" w:rsidRDefault="000C7431" w:rsidP="00CF74AD">
            <w:pPr>
              <w:jc w:val="center"/>
              <w:rPr>
                <w:szCs w:val="22"/>
              </w:rPr>
            </w:pPr>
            <w:r w:rsidRPr="00EB561B">
              <w:rPr>
                <w:szCs w:val="22"/>
              </w:rPr>
              <w:t>Not studied – not recommended</w:t>
            </w:r>
          </w:p>
        </w:tc>
        <w:tc>
          <w:tcPr>
            <w:tcW w:w="0" w:type="auto"/>
            <w:vAlign w:val="center"/>
          </w:tcPr>
          <w:p w14:paraId="3C030915" w14:textId="328EA569" w:rsidR="000C7431" w:rsidRPr="00EB561B" w:rsidRDefault="00187A04" w:rsidP="00CF74AD">
            <w:pPr>
              <w:jc w:val="center"/>
              <w:rPr>
                <w:szCs w:val="22"/>
              </w:rPr>
            </w:pPr>
            <w:r w:rsidRPr="00EB561B">
              <w:rPr>
                <w:szCs w:val="22"/>
              </w:rPr>
              <w:t>Target INR 2.5 -</w:t>
            </w:r>
            <w:r w:rsidR="00FE5B68" w:rsidRPr="00EB561B">
              <w:rPr>
                <w:szCs w:val="22"/>
              </w:rPr>
              <w:t>Licensed for prophylaxis after insertion of prosthetic heart valves</w:t>
            </w:r>
          </w:p>
        </w:tc>
      </w:tr>
    </w:tbl>
    <w:p w14:paraId="11B2593A" w14:textId="47A8BE2A" w:rsidR="00EB01EB" w:rsidRPr="00EB561B" w:rsidRDefault="00EB01EB">
      <w:pPr>
        <w:rPr>
          <w:rFonts w:asciiTheme="majorHAnsi" w:hAnsiTheme="majorHAnsi" w:cstheme="majorHAnsi"/>
          <w:szCs w:val="22"/>
        </w:rPr>
      </w:pPr>
    </w:p>
    <w:p w14:paraId="2F941F56" w14:textId="34CAF739" w:rsidR="002E47F4" w:rsidRPr="00EB561B" w:rsidRDefault="002E47F4">
      <w:pPr>
        <w:rPr>
          <w:rFonts w:asciiTheme="majorHAnsi" w:hAnsiTheme="majorHAnsi" w:cstheme="majorHAnsi"/>
          <w:szCs w:val="22"/>
        </w:rPr>
      </w:pPr>
      <w:r w:rsidRPr="00EB561B">
        <w:rPr>
          <w:rFonts w:asciiTheme="majorHAnsi" w:hAnsiTheme="majorHAnsi" w:cstheme="majorHAnsi"/>
          <w:szCs w:val="22"/>
        </w:rPr>
        <w:br w:type="page"/>
      </w:r>
    </w:p>
    <w:tbl>
      <w:tblPr>
        <w:tblStyle w:val="TableGrid"/>
        <w:tblW w:w="5000" w:type="pct"/>
        <w:tblLook w:val="04A0" w:firstRow="1" w:lastRow="0" w:firstColumn="1" w:lastColumn="0" w:noHBand="0" w:noVBand="1"/>
      </w:tblPr>
      <w:tblGrid>
        <w:gridCol w:w="1695"/>
        <w:gridCol w:w="1702"/>
        <w:gridCol w:w="1844"/>
        <w:gridCol w:w="1702"/>
        <w:gridCol w:w="2792"/>
      </w:tblGrid>
      <w:tr w:rsidR="00187A04" w:rsidRPr="00EB561B" w14:paraId="38D52B5F" w14:textId="77777777" w:rsidTr="0005253C">
        <w:trPr>
          <w:cantSplit/>
        </w:trPr>
        <w:tc>
          <w:tcPr>
            <w:tcW w:w="5000" w:type="pct"/>
            <w:gridSpan w:val="5"/>
            <w:shd w:val="clear" w:color="auto" w:fill="F2F2F2" w:themeFill="background1" w:themeFillShade="F2"/>
            <w:vAlign w:val="center"/>
          </w:tcPr>
          <w:p w14:paraId="0B1B7E9E" w14:textId="262CE07E" w:rsidR="0075636C" w:rsidRPr="00D5293F" w:rsidRDefault="00187A04" w:rsidP="00D5293F">
            <w:pPr>
              <w:pStyle w:val="Heading2"/>
              <w:rPr>
                <w:szCs w:val="24"/>
              </w:rPr>
            </w:pPr>
            <w:bookmarkStart w:id="116" w:name="_Toc96868261"/>
            <w:bookmarkStart w:id="117" w:name="_Toc104910468"/>
            <w:bookmarkStart w:id="118" w:name="_Toc106708915"/>
            <w:r w:rsidRPr="00367CC8">
              <w:lastRenderedPageBreak/>
              <w:t>Antiphospholipid syndrome</w:t>
            </w:r>
            <w:bookmarkEnd w:id="116"/>
            <w:bookmarkEnd w:id="117"/>
            <w:bookmarkEnd w:id="118"/>
            <w:r w:rsidRPr="00367CC8">
              <w:t xml:space="preserve"> </w:t>
            </w:r>
          </w:p>
        </w:tc>
      </w:tr>
      <w:tr w:rsidR="00D5293F" w:rsidRPr="00EB561B" w14:paraId="45721089" w14:textId="77777777" w:rsidTr="00D5293F">
        <w:trPr>
          <w:cantSplit/>
        </w:trPr>
        <w:tc>
          <w:tcPr>
            <w:tcW w:w="5000" w:type="pct"/>
            <w:gridSpan w:val="5"/>
            <w:shd w:val="clear" w:color="auto" w:fill="auto"/>
            <w:vAlign w:val="center"/>
          </w:tcPr>
          <w:p w14:paraId="7BFA1E87" w14:textId="151C6B88" w:rsidR="00D5293F" w:rsidRPr="00D5293F" w:rsidRDefault="00D5293F" w:rsidP="00D5293F">
            <w:pPr>
              <w:rPr>
                <w:szCs w:val="22"/>
              </w:rPr>
            </w:pPr>
            <w:r w:rsidRPr="00EB561B">
              <w:rPr>
                <w:szCs w:val="22"/>
              </w:rPr>
              <w:t>The TRAPS trial compared rivaroxaban with warfarin in patients with antiphospholipid syndrome and a history of thrombosis. The study was terminated prematurely as there was an increased risk of recurrent thromboembolic events associated with rivaroxaban. Available data show that other DOACs may be associated with a similarly increased risk. Consequently, DOACs are not recommended in patients with antiphospholipid syndrome, particularly high-risk patients (those who test positive for all three antiphospholipid tests — lupus anticoagulant, anticardiolipin antibodies, and anti-beta 2 glycoprotein I antibodies).</w:t>
            </w:r>
            <w:r w:rsidRPr="00EB561B">
              <w:rPr>
                <w:szCs w:val="22"/>
                <w:vertAlign w:val="superscript"/>
              </w:rPr>
              <w:t>3</w:t>
            </w:r>
            <w:r w:rsidR="00377FA5">
              <w:rPr>
                <w:szCs w:val="22"/>
                <w:vertAlign w:val="superscript"/>
              </w:rPr>
              <w:t>3</w:t>
            </w:r>
          </w:p>
        </w:tc>
      </w:tr>
      <w:tr w:rsidR="00187A04" w:rsidRPr="00EB561B" w14:paraId="3218052B" w14:textId="77777777" w:rsidTr="00CF74AD">
        <w:trPr>
          <w:cantSplit/>
        </w:trPr>
        <w:tc>
          <w:tcPr>
            <w:tcW w:w="871" w:type="pct"/>
            <w:shd w:val="clear" w:color="auto" w:fill="DBE5F1" w:themeFill="accent1" w:themeFillTint="33"/>
            <w:vAlign w:val="center"/>
          </w:tcPr>
          <w:p w14:paraId="64EDA949" w14:textId="77777777" w:rsidR="00187A04" w:rsidRPr="00EB561B" w:rsidRDefault="00187A04" w:rsidP="00CF74AD">
            <w:pPr>
              <w:jc w:val="center"/>
              <w:rPr>
                <w:szCs w:val="22"/>
              </w:rPr>
            </w:pPr>
            <w:r w:rsidRPr="00EB561B">
              <w:rPr>
                <w:b/>
                <w:szCs w:val="22"/>
              </w:rPr>
              <w:t>Dabigatran (Pradaxa</w:t>
            </w:r>
            <w:r w:rsidRPr="00EB561B">
              <w:rPr>
                <w:b/>
                <w:szCs w:val="22"/>
              </w:rPr>
              <w:sym w:font="Symbol" w:char="F0D2"/>
            </w:r>
            <w:r w:rsidRPr="00EB561B">
              <w:rPr>
                <w:b/>
                <w:szCs w:val="22"/>
              </w:rPr>
              <w:t>)</w:t>
            </w:r>
            <w:r w:rsidRPr="00EB561B">
              <w:rPr>
                <w:b/>
                <w:szCs w:val="22"/>
                <w:vertAlign w:val="superscript"/>
              </w:rPr>
              <w:t>1</w:t>
            </w:r>
          </w:p>
        </w:tc>
        <w:tc>
          <w:tcPr>
            <w:tcW w:w="874" w:type="pct"/>
            <w:shd w:val="clear" w:color="auto" w:fill="F2DBDB" w:themeFill="accent2" w:themeFillTint="33"/>
            <w:vAlign w:val="center"/>
          </w:tcPr>
          <w:p w14:paraId="0C844431" w14:textId="77777777" w:rsidR="00187A04" w:rsidRPr="00EB561B" w:rsidRDefault="00187A04" w:rsidP="00CF74AD">
            <w:pPr>
              <w:jc w:val="center"/>
              <w:rPr>
                <w:szCs w:val="22"/>
              </w:rPr>
            </w:pPr>
            <w:r w:rsidRPr="00EB561B">
              <w:rPr>
                <w:b/>
                <w:szCs w:val="22"/>
              </w:rPr>
              <w:t>Rivaroxaban (Xarelto</w:t>
            </w:r>
            <w:r w:rsidRPr="00EB561B">
              <w:rPr>
                <w:b/>
                <w:szCs w:val="22"/>
              </w:rPr>
              <w:sym w:font="Symbol" w:char="F0D2"/>
            </w:r>
            <w:r w:rsidRPr="00EB561B">
              <w:rPr>
                <w:rFonts w:cs="Arial"/>
                <w:szCs w:val="22"/>
              </w:rPr>
              <w:t>▼</w:t>
            </w:r>
            <w:r w:rsidRPr="00EB561B">
              <w:rPr>
                <w:b/>
                <w:szCs w:val="22"/>
              </w:rPr>
              <w:t>)</w:t>
            </w:r>
            <w:r w:rsidRPr="00EB561B">
              <w:rPr>
                <w:b/>
                <w:szCs w:val="22"/>
                <w:vertAlign w:val="superscript"/>
              </w:rPr>
              <w:t>2</w:t>
            </w:r>
          </w:p>
        </w:tc>
        <w:tc>
          <w:tcPr>
            <w:tcW w:w="947" w:type="pct"/>
            <w:shd w:val="clear" w:color="auto" w:fill="E5DFEC" w:themeFill="accent4" w:themeFillTint="33"/>
            <w:vAlign w:val="center"/>
          </w:tcPr>
          <w:p w14:paraId="4938CA24" w14:textId="77777777" w:rsidR="00187A04" w:rsidRPr="00EB561B" w:rsidRDefault="00187A04" w:rsidP="00CF74AD">
            <w:pPr>
              <w:jc w:val="center"/>
              <w:rPr>
                <w:szCs w:val="22"/>
              </w:rPr>
            </w:pPr>
            <w:r w:rsidRPr="00EB561B">
              <w:rPr>
                <w:b/>
                <w:szCs w:val="22"/>
              </w:rPr>
              <w:t>Apixaban (Eliquis</w:t>
            </w:r>
            <w:r w:rsidRPr="00EB561B">
              <w:rPr>
                <w:b/>
                <w:szCs w:val="22"/>
              </w:rPr>
              <w:sym w:font="Symbol" w:char="F0D2"/>
            </w:r>
            <w:r w:rsidRPr="00EB561B">
              <w:rPr>
                <w:b/>
                <w:szCs w:val="22"/>
              </w:rPr>
              <w:t>)</w:t>
            </w:r>
            <w:r w:rsidRPr="00EB561B">
              <w:rPr>
                <w:b/>
                <w:szCs w:val="22"/>
                <w:vertAlign w:val="superscript"/>
              </w:rPr>
              <w:t>3</w:t>
            </w:r>
          </w:p>
        </w:tc>
        <w:tc>
          <w:tcPr>
            <w:tcW w:w="874" w:type="pct"/>
            <w:shd w:val="clear" w:color="auto" w:fill="FDE9D9" w:themeFill="accent6" w:themeFillTint="33"/>
            <w:vAlign w:val="center"/>
          </w:tcPr>
          <w:p w14:paraId="22AFA5B7" w14:textId="45263109" w:rsidR="00187A04" w:rsidRPr="00EB561B" w:rsidRDefault="00187A04" w:rsidP="00CF74AD">
            <w:pPr>
              <w:jc w:val="center"/>
              <w:rPr>
                <w:szCs w:val="22"/>
              </w:rPr>
            </w:pPr>
            <w:r w:rsidRPr="00EB561B">
              <w:rPr>
                <w:b/>
                <w:szCs w:val="22"/>
              </w:rPr>
              <w:t>Edoxaban (Lixiana</w:t>
            </w:r>
            <w:r w:rsidRPr="00EB561B">
              <w:rPr>
                <w:b/>
                <w:szCs w:val="22"/>
              </w:rPr>
              <w:sym w:font="Symbol" w:char="F0D2"/>
            </w:r>
            <w:r w:rsidRPr="00EB561B">
              <w:rPr>
                <w:b/>
                <w:szCs w:val="22"/>
              </w:rPr>
              <w:t>)</w:t>
            </w:r>
            <w:r w:rsidRPr="00EB561B">
              <w:rPr>
                <w:b/>
                <w:szCs w:val="22"/>
                <w:vertAlign w:val="superscript"/>
              </w:rPr>
              <w:t>4</w:t>
            </w:r>
          </w:p>
        </w:tc>
        <w:tc>
          <w:tcPr>
            <w:tcW w:w="1434" w:type="pct"/>
            <w:shd w:val="clear" w:color="auto" w:fill="EAF1DD" w:themeFill="accent3" w:themeFillTint="33"/>
            <w:vAlign w:val="center"/>
          </w:tcPr>
          <w:p w14:paraId="7376DD63" w14:textId="523CF900" w:rsidR="00187A04" w:rsidRPr="00EB561B" w:rsidRDefault="002D6351" w:rsidP="00CF74AD">
            <w:pPr>
              <w:jc w:val="center"/>
              <w:rPr>
                <w:b/>
                <w:szCs w:val="22"/>
              </w:rPr>
            </w:pPr>
            <w:r w:rsidRPr="00EB561B">
              <w:rPr>
                <w:b/>
                <w:szCs w:val="22"/>
              </w:rPr>
              <w:t>Warfarin</w:t>
            </w:r>
            <w:r w:rsidRPr="00EB561B">
              <w:rPr>
                <w:b/>
                <w:szCs w:val="22"/>
                <w:vertAlign w:val="superscript"/>
              </w:rPr>
              <w:t>5</w:t>
            </w:r>
            <w:r w:rsidR="000673E5" w:rsidRPr="00EB561B">
              <w:rPr>
                <w:b/>
                <w:szCs w:val="22"/>
                <w:vertAlign w:val="superscript"/>
              </w:rPr>
              <w:t>,6</w:t>
            </w:r>
          </w:p>
        </w:tc>
      </w:tr>
      <w:tr w:rsidR="00187A04" w:rsidRPr="00EB561B" w14:paraId="4E8FEA5D" w14:textId="77777777" w:rsidTr="00CF74AD">
        <w:trPr>
          <w:cantSplit/>
        </w:trPr>
        <w:tc>
          <w:tcPr>
            <w:tcW w:w="871" w:type="pct"/>
            <w:shd w:val="clear" w:color="auto" w:fill="auto"/>
            <w:vAlign w:val="center"/>
          </w:tcPr>
          <w:p w14:paraId="5E8B132B" w14:textId="5F1BA38D" w:rsidR="00187A04" w:rsidRPr="00EB561B" w:rsidRDefault="00187A04" w:rsidP="00CF74AD">
            <w:pPr>
              <w:jc w:val="center"/>
              <w:rPr>
                <w:szCs w:val="22"/>
              </w:rPr>
            </w:pPr>
            <w:r w:rsidRPr="00EB561B">
              <w:rPr>
                <w:szCs w:val="22"/>
              </w:rPr>
              <w:t>Not recommended</w:t>
            </w:r>
          </w:p>
        </w:tc>
        <w:tc>
          <w:tcPr>
            <w:tcW w:w="874" w:type="pct"/>
            <w:shd w:val="clear" w:color="auto" w:fill="auto"/>
            <w:vAlign w:val="center"/>
          </w:tcPr>
          <w:p w14:paraId="186B3C94" w14:textId="59F713AA" w:rsidR="00187A04" w:rsidRPr="00EB561B" w:rsidRDefault="00187A04" w:rsidP="00CF74AD">
            <w:pPr>
              <w:jc w:val="center"/>
              <w:rPr>
                <w:szCs w:val="22"/>
              </w:rPr>
            </w:pPr>
            <w:r w:rsidRPr="00EB561B">
              <w:rPr>
                <w:szCs w:val="22"/>
              </w:rPr>
              <w:t>Not recommended</w:t>
            </w:r>
          </w:p>
        </w:tc>
        <w:tc>
          <w:tcPr>
            <w:tcW w:w="947" w:type="pct"/>
            <w:shd w:val="clear" w:color="auto" w:fill="auto"/>
            <w:vAlign w:val="center"/>
          </w:tcPr>
          <w:p w14:paraId="64FFB914" w14:textId="76BA49CE" w:rsidR="00187A04" w:rsidRPr="00EB561B" w:rsidRDefault="00187A04" w:rsidP="00CF74AD">
            <w:pPr>
              <w:jc w:val="center"/>
              <w:rPr>
                <w:szCs w:val="22"/>
              </w:rPr>
            </w:pPr>
            <w:r w:rsidRPr="00EB561B">
              <w:rPr>
                <w:szCs w:val="22"/>
              </w:rPr>
              <w:t>Not recommended</w:t>
            </w:r>
          </w:p>
        </w:tc>
        <w:tc>
          <w:tcPr>
            <w:tcW w:w="874" w:type="pct"/>
            <w:shd w:val="clear" w:color="auto" w:fill="auto"/>
            <w:vAlign w:val="center"/>
          </w:tcPr>
          <w:p w14:paraId="6C31B347" w14:textId="63AE6277" w:rsidR="00187A04" w:rsidRPr="00EB561B" w:rsidRDefault="00187A04" w:rsidP="00CF74AD">
            <w:pPr>
              <w:jc w:val="center"/>
              <w:rPr>
                <w:szCs w:val="22"/>
              </w:rPr>
            </w:pPr>
            <w:r w:rsidRPr="00EB561B">
              <w:rPr>
                <w:szCs w:val="22"/>
              </w:rPr>
              <w:t>Not recommended</w:t>
            </w:r>
          </w:p>
        </w:tc>
        <w:tc>
          <w:tcPr>
            <w:tcW w:w="1434" w:type="pct"/>
            <w:vAlign w:val="center"/>
          </w:tcPr>
          <w:p w14:paraId="6E8C0C63" w14:textId="774BF3DF" w:rsidR="00EB01EB" w:rsidRPr="00EB561B" w:rsidRDefault="00EB01EB" w:rsidP="00CF74AD">
            <w:pPr>
              <w:jc w:val="center"/>
              <w:rPr>
                <w:szCs w:val="22"/>
              </w:rPr>
            </w:pPr>
            <w:r w:rsidRPr="00EB561B">
              <w:rPr>
                <w:szCs w:val="22"/>
              </w:rPr>
              <w:t xml:space="preserve">Target </w:t>
            </w:r>
            <w:r w:rsidR="00187A04" w:rsidRPr="00EB561B">
              <w:rPr>
                <w:szCs w:val="22"/>
              </w:rPr>
              <w:t>INR 2.5</w:t>
            </w:r>
          </w:p>
          <w:p w14:paraId="21C99CC5" w14:textId="01774BF6" w:rsidR="00187A04" w:rsidRPr="00EB561B" w:rsidRDefault="00187A04" w:rsidP="00CF74AD">
            <w:pPr>
              <w:jc w:val="center"/>
              <w:rPr>
                <w:szCs w:val="22"/>
              </w:rPr>
            </w:pPr>
            <w:r w:rsidRPr="00EB561B">
              <w:rPr>
                <w:szCs w:val="22"/>
              </w:rPr>
              <w:t xml:space="preserve">Suitable for </w:t>
            </w:r>
            <w:r w:rsidR="00EB01EB" w:rsidRPr="00EB561B">
              <w:rPr>
                <w:szCs w:val="22"/>
              </w:rPr>
              <w:t>t</w:t>
            </w:r>
            <w:r w:rsidRPr="00EB561B">
              <w:rPr>
                <w:szCs w:val="22"/>
              </w:rPr>
              <w:t>reatment of deep-vein thrombosis or pulmonary embolism (including those associated with antiphospholipid syndrome)</w:t>
            </w:r>
          </w:p>
        </w:tc>
      </w:tr>
    </w:tbl>
    <w:p w14:paraId="7717CF0B" w14:textId="77777777" w:rsidR="006214C2" w:rsidRPr="00EB561B" w:rsidRDefault="006214C2">
      <w:pPr>
        <w:rPr>
          <w:rFonts w:asciiTheme="majorHAnsi" w:hAnsiTheme="majorHAnsi" w:cstheme="majorHAnsi"/>
          <w:szCs w:val="22"/>
        </w:rPr>
      </w:pPr>
    </w:p>
    <w:tbl>
      <w:tblPr>
        <w:tblStyle w:val="TableGrid"/>
        <w:tblW w:w="5000" w:type="pct"/>
        <w:tblLook w:val="04A0" w:firstRow="1" w:lastRow="0" w:firstColumn="1" w:lastColumn="0" w:noHBand="0" w:noVBand="1"/>
      </w:tblPr>
      <w:tblGrid>
        <w:gridCol w:w="1695"/>
        <w:gridCol w:w="1844"/>
        <w:gridCol w:w="1842"/>
        <w:gridCol w:w="1702"/>
        <w:gridCol w:w="2652"/>
      </w:tblGrid>
      <w:tr w:rsidR="0005253C" w:rsidRPr="00EB561B" w14:paraId="7BCDA5C9" w14:textId="3F70BE7B" w:rsidTr="0005253C">
        <w:trPr>
          <w:cantSplit/>
        </w:trPr>
        <w:tc>
          <w:tcPr>
            <w:tcW w:w="5000" w:type="pct"/>
            <w:gridSpan w:val="5"/>
            <w:shd w:val="clear" w:color="auto" w:fill="F2F2F2" w:themeFill="background1" w:themeFillShade="F2"/>
            <w:vAlign w:val="center"/>
          </w:tcPr>
          <w:p w14:paraId="63484707" w14:textId="76071733" w:rsidR="0005253C" w:rsidRPr="00367CC8" w:rsidRDefault="0005253C" w:rsidP="00D5293F">
            <w:pPr>
              <w:pStyle w:val="Heading2"/>
            </w:pPr>
            <w:bookmarkStart w:id="119" w:name="_Toc96868268"/>
            <w:bookmarkStart w:id="120" w:name="_Toc104910469"/>
            <w:bookmarkStart w:id="121" w:name="_Toc106708916"/>
            <w:r w:rsidRPr="00367CC8">
              <w:t>Compliance aids</w:t>
            </w:r>
            <w:bookmarkEnd w:id="119"/>
            <w:bookmarkEnd w:id="120"/>
            <w:bookmarkEnd w:id="121"/>
          </w:p>
        </w:tc>
      </w:tr>
      <w:tr w:rsidR="000C7431" w:rsidRPr="00EB561B" w14:paraId="057B1E32" w14:textId="66D9C948" w:rsidTr="00CF74AD">
        <w:trPr>
          <w:cantSplit/>
        </w:trPr>
        <w:tc>
          <w:tcPr>
            <w:tcW w:w="871" w:type="pct"/>
            <w:shd w:val="clear" w:color="auto" w:fill="DBE5F1" w:themeFill="accent1" w:themeFillTint="33"/>
            <w:vAlign w:val="center"/>
          </w:tcPr>
          <w:p w14:paraId="1B5E1984" w14:textId="77777777" w:rsidR="000C7431" w:rsidRPr="00EB561B" w:rsidRDefault="000C7431" w:rsidP="00CF74AD">
            <w:pPr>
              <w:jc w:val="center"/>
              <w:rPr>
                <w:szCs w:val="22"/>
              </w:rPr>
            </w:pPr>
            <w:r w:rsidRPr="00EB561B">
              <w:rPr>
                <w:b/>
                <w:szCs w:val="22"/>
              </w:rPr>
              <w:t>Dabigatran (Pradaxa</w:t>
            </w:r>
            <w:r w:rsidRPr="00EB561B">
              <w:rPr>
                <w:b/>
                <w:szCs w:val="22"/>
              </w:rPr>
              <w:sym w:font="Symbol" w:char="F0D2"/>
            </w:r>
            <w:r w:rsidRPr="00EB561B">
              <w:rPr>
                <w:b/>
                <w:szCs w:val="22"/>
              </w:rPr>
              <w:t>)</w:t>
            </w:r>
            <w:r w:rsidRPr="00EB561B">
              <w:rPr>
                <w:b/>
                <w:szCs w:val="22"/>
                <w:vertAlign w:val="superscript"/>
              </w:rPr>
              <w:t>1</w:t>
            </w:r>
          </w:p>
        </w:tc>
        <w:tc>
          <w:tcPr>
            <w:tcW w:w="947" w:type="pct"/>
            <w:shd w:val="clear" w:color="auto" w:fill="F2DBDB" w:themeFill="accent2" w:themeFillTint="33"/>
            <w:vAlign w:val="center"/>
          </w:tcPr>
          <w:p w14:paraId="04059C6C" w14:textId="78FC425C" w:rsidR="000C7431" w:rsidRPr="00EB561B" w:rsidRDefault="000C7431" w:rsidP="00CF74AD">
            <w:pPr>
              <w:jc w:val="center"/>
              <w:rPr>
                <w:szCs w:val="22"/>
              </w:rPr>
            </w:pPr>
            <w:r w:rsidRPr="00EB561B">
              <w:rPr>
                <w:b/>
                <w:szCs w:val="22"/>
              </w:rPr>
              <w:t>Rivaroxaban (Xarelto</w:t>
            </w:r>
            <w:r w:rsidRPr="00EB561B">
              <w:rPr>
                <w:b/>
                <w:szCs w:val="22"/>
              </w:rPr>
              <w:sym w:font="Symbol" w:char="F0D2"/>
            </w:r>
            <w:r w:rsidRPr="00EB561B">
              <w:rPr>
                <w:rFonts w:cs="Arial"/>
                <w:szCs w:val="22"/>
              </w:rPr>
              <w:t>▼</w:t>
            </w:r>
            <w:r w:rsidRPr="00EB561B">
              <w:rPr>
                <w:b/>
                <w:szCs w:val="22"/>
              </w:rPr>
              <w:t>)</w:t>
            </w:r>
            <w:r w:rsidRPr="00EB561B">
              <w:rPr>
                <w:b/>
                <w:szCs w:val="22"/>
                <w:vertAlign w:val="superscript"/>
              </w:rPr>
              <w:t>2</w:t>
            </w:r>
          </w:p>
        </w:tc>
        <w:tc>
          <w:tcPr>
            <w:tcW w:w="946" w:type="pct"/>
            <w:shd w:val="clear" w:color="auto" w:fill="E5DFEC" w:themeFill="accent4" w:themeFillTint="33"/>
            <w:vAlign w:val="center"/>
          </w:tcPr>
          <w:p w14:paraId="664E88F0" w14:textId="77777777" w:rsidR="000C7431" w:rsidRPr="00EB561B" w:rsidRDefault="000C7431" w:rsidP="00CF74AD">
            <w:pPr>
              <w:jc w:val="center"/>
              <w:rPr>
                <w:szCs w:val="22"/>
              </w:rPr>
            </w:pPr>
            <w:r w:rsidRPr="00EB561B">
              <w:rPr>
                <w:b/>
                <w:szCs w:val="22"/>
              </w:rPr>
              <w:t>Apixaban (Eliquis</w:t>
            </w:r>
            <w:r w:rsidRPr="00EB561B">
              <w:rPr>
                <w:b/>
                <w:szCs w:val="22"/>
              </w:rPr>
              <w:sym w:font="Symbol" w:char="F0D2"/>
            </w:r>
            <w:r w:rsidRPr="00EB561B">
              <w:rPr>
                <w:b/>
                <w:szCs w:val="22"/>
              </w:rPr>
              <w:t>)</w:t>
            </w:r>
            <w:r w:rsidRPr="00EB561B">
              <w:rPr>
                <w:b/>
                <w:szCs w:val="22"/>
                <w:vertAlign w:val="superscript"/>
              </w:rPr>
              <w:t>3</w:t>
            </w:r>
          </w:p>
        </w:tc>
        <w:tc>
          <w:tcPr>
            <w:tcW w:w="874" w:type="pct"/>
            <w:shd w:val="clear" w:color="auto" w:fill="FDE9D9" w:themeFill="accent6" w:themeFillTint="33"/>
            <w:vAlign w:val="center"/>
          </w:tcPr>
          <w:p w14:paraId="6DE857BF" w14:textId="6533F16C" w:rsidR="000C7431" w:rsidRPr="00EB561B" w:rsidRDefault="000C7431" w:rsidP="00CF74AD">
            <w:pPr>
              <w:jc w:val="center"/>
              <w:rPr>
                <w:szCs w:val="22"/>
              </w:rPr>
            </w:pPr>
            <w:r w:rsidRPr="00EB561B">
              <w:rPr>
                <w:b/>
                <w:szCs w:val="22"/>
              </w:rPr>
              <w:t>Edoxaban (Lixiana</w:t>
            </w:r>
            <w:r w:rsidRPr="00EB561B">
              <w:rPr>
                <w:b/>
                <w:szCs w:val="22"/>
              </w:rPr>
              <w:sym w:font="Symbol" w:char="F0D2"/>
            </w:r>
            <w:r w:rsidRPr="00EB561B">
              <w:rPr>
                <w:b/>
                <w:szCs w:val="22"/>
              </w:rPr>
              <w:t>)</w:t>
            </w:r>
            <w:r w:rsidRPr="00EB561B">
              <w:rPr>
                <w:b/>
                <w:szCs w:val="22"/>
                <w:vertAlign w:val="superscript"/>
              </w:rPr>
              <w:t>4</w:t>
            </w:r>
          </w:p>
        </w:tc>
        <w:tc>
          <w:tcPr>
            <w:tcW w:w="1362" w:type="pct"/>
            <w:shd w:val="clear" w:color="auto" w:fill="EAF1DD" w:themeFill="accent3" w:themeFillTint="33"/>
            <w:vAlign w:val="center"/>
          </w:tcPr>
          <w:p w14:paraId="4C0BC505" w14:textId="44A95AF7" w:rsidR="000C7431" w:rsidRPr="00EB561B" w:rsidRDefault="000C7431" w:rsidP="00CF74AD">
            <w:pPr>
              <w:jc w:val="center"/>
              <w:rPr>
                <w:b/>
                <w:szCs w:val="22"/>
                <w:vertAlign w:val="superscript"/>
              </w:rPr>
            </w:pPr>
            <w:r w:rsidRPr="00EB561B">
              <w:rPr>
                <w:b/>
                <w:szCs w:val="22"/>
              </w:rPr>
              <w:t>Warfarin</w:t>
            </w:r>
            <w:r w:rsidR="005E5D45" w:rsidRPr="00EB561B">
              <w:rPr>
                <w:b/>
                <w:szCs w:val="22"/>
                <w:vertAlign w:val="superscript"/>
              </w:rPr>
              <w:t>5,6</w:t>
            </w:r>
          </w:p>
        </w:tc>
      </w:tr>
      <w:tr w:rsidR="000C7431" w:rsidRPr="00EB561B" w14:paraId="69B50941" w14:textId="7A921FF0" w:rsidTr="00CF74AD">
        <w:trPr>
          <w:cantSplit/>
          <w:trHeight w:val="1084"/>
        </w:trPr>
        <w:tc>
          <w:tcPr>
            <w:tcW w:w="871" w:type="pct"/>
            <w:shd w:val="clear" w:color="auto" w:fill="auto"/>
            <w:vAlign w:val="center"/>
          </w:tcPr>
          <w:p w14:paraId="5F42158A" w14:textId="1144D3E9" w:rsidR="000C7431" w:rsidRPr="00EB561B" w:rsidRDefault="006978F0" w:rsidP="00CF74AD">
            <w:pPr>
              <w:jc w:val="center"/>
              <w:rPr>
                <w:szCs w:val="22"/>
              </w:rPr>
            </w:pPr>
            <w:r>
              <w:rPr>
                <w:szCs w:val="22"/>
              </w:rPr>
              <w:t>Store in the original package in order to protect from moisture</w:t>
            </w:r>
          </w:p>
        </w:tc>
        <w:tc>
          <w:tcPr>
            <w:tcW w:w="947" w:type="pct"/>
            <w:shd w:val="clear" w:color="auto" w:fill="auto"/>
            <w:vAlign w:val="center"/>
          </w:tcPr>
          <w:p w14:paraId="054143E0" w14:textId="3F5BF1CB" w:rsidR="000C7431" w:rsidRPr="00EB561B" w:rsidRDefault="000C7431" w:rsidP="00CF74AD">
            <w:pPr>
              <w:jc w:val="center"/>
              <w:rPr>
                <w:szCs w:val="22"/>
              </w:rPr>
            </w:pPr>
            <w:r w:rsidRPr="00EB561B">
              <w:rPr>
                <w:szCs w:val="22"/>
              </w:rPr>
              <w:t>No special precautions for storage</w:t>
            </w:r>
          </w:p>
        </w:tc>
        <w:tc>
          <w:tcPr>
            <w:tcW w:w="946" w:type="pct"/>
            <w:shd w:val="clear" w:color="auto" w:fill="auto"/>
            <w:vAlign w:val="center"/>
          </w:tcPr>
          <w:p w14:paraId="33D59BB4" w14:textId="034EB1E1" w:rsidR="000C7431" w:rsidRPr="00EB561B" w:rsidRDefault="000C7431" w:rsidP="00CF74AD">
            <w:pPr>
              <w:jc w:val="center"/>
              <w:rPr>
                <w:szCs w:val="22"/>
              </w:rPr>
            </w:pPr>
            <w:r w:rsidRPr="00EB561B">
              <w:rPr>
                <w:szCs w:val="22"/>
              </w:rPr>
              <w:t>No special precautions for storage</w:t>
            </w:r>
          </w:p>
        </w:tc>
        <w:tc>
          <w:tcPr>
            <w:tcW w:w="874" w:type="pct"/>
            <w:shd w:val="clear" w:color="auto" w:fill="auto"/>
            <w:vAlign w:val="center"/>
          </w:tcPr>
          <w:p w14:paraId="24C30C21" w14:textId="2032D42D" w:rsidR="000C7431" w:rsidRPr="00EB561B" w:rsidRDefault="000C7431" w:rsidP="00CF74AD">
            <w:pPr>
              <w:jc w:val="center"/>
              <w:rPr>
                <w:szCs w:val="22"/>
              </w:rPr>
            </w:pPr>
            <w:r w:rsidRPr="00EB561B">
              <w:rPr>
                <w:szCs w:val="22"/>
              </w:rPr>
              <w:t>No special precautions for storage</w:t>
            </w:r>
          </w:p>
        </w:tc>
        <w:tc>
          <w:tcPr>
            <w:tcW w:w="1362" w:type="pct"/>
            <w:vAlign w:val="center"/>
          </w:tcPr>
          <w:p w14:paraId="52E03332" w14:textId="7859F36F" w:rsidR="000C7431" w:rsidRPr="00EB561B" w:rsidRDefault="00952AC8" w:rsidP="00CF74AD">
            <w:pPr>
              <w:jc w:val="center"/>
              <w:rPr>
                <w:szCs w:val="22"/>
              </w:rPr>
            </w:pPr>
            <w:r w:rsidRPr="00EB561B">
              <w:rPr>
                <w:szCs w:val="22"/>
              </w:rPr>
              <w:t>Not recommended for compliance aid as dose may vary depending on test results</w:t>
            </w:r>
          </w:p>
        </w:tc>
      </w:tr>
    </w:tbl>
    <w:p w14:paraId="17F7AA76" w14:textId="77777777" w:rsidR="00354719" w:rsidRPr="00EB561B" w:rsidRDefault="00354719">
      <w:pPr>
        <w:rPr>
          <w:rFonts w:asciiTheme="majorHAnsi" w:hAnsiTheme="majorHAnsi" w:cstheme="majorHAnsi"/>
          <w:b/>
          <w:szCs w:val="22"/>
        </w:rPr>
      </w:pPr>
    </w:p>
    <w:tbl>
      <w:tblPr>
        <w:tblStyle w:val="TableGrid"/>
        <w:tblW w:w="5000" w:type="pct"/>
        <w:tblLook w:val="04A0" w:firstRow="1" w:lastRow="0" w:firstColumn="1" w:lastColumn="0" w:noHBand="0" w:noVBand="1"/>
      </w:tblPr>
      <w:tblGrid>
        <w:gridCol w:w="1947"/>
        <w:gridCol w:w="1947"/>
        <w:gridCol w:w="1947"/>
        <w:gridCol w:w="1947"/>
        <w:gridCol w:w="1947"/>
      </w:tblGrid>
      <w:tr w:rsidR="00276DAF" w:rsidRPr="00EB561B" w14:paraId="1861AF10" w14:textId="289FBBA6" w:rsidTr="00276DAF">
        <w:trPr>
          <w:cantSplit/>
        </w:trPr>
        <w:tc>
          <w:tcPr>
            <w:tcW w:w="5000" w:type="pct"/>
            <w:gridSpan w:val="5"/>
            <w:shd w:val="clear" w:color="auto" w:fill="F2F2F2" w:themeFill="background1" w:themeFillShade="F2"/>
            <w:vAlign w:val="center"/>
          </w:tcPr>
          <w:p w14:paraId="12EE9F2E" w14:textId="46960771" w:rsidR="00276DAF" w:rsidRPr="00EB561B" w:rsidRDefault="00276DAF" w:rsidP="00413C8F">
            <w:pPr>
              <w:pStyle w:val="Heading2"/>
            </w:pPr>
            <w:bookmarkStart w:id="122" w:name="_Toc96868269"/>
            <w:bookmarkStart w:id="123" w:name="_Toc106708917"/>
            <w:bookmarkStart w:id="124" w:name="_Toc104910470"/>
            <w:r w:rsidRPr="00367CC8">
              <w:t>Cost per 28 days</w:t>
            </w:r>
            <w:r w:rsidRPr="00EB561B">
              <w:t xml:space="preserve"> </w:t>
            </w:r>
            <w:r w:rsidRPr="00367CC8">
              <w:t>at dose stated</w:t>
            </w:r>
            <w:bookmarkEnd w:id="122"/>
            <w:r w:rsidR="00C224CA" w:rsidRPr="00367CC8">
              <w:rPr>
                <w:vertAlign w:val="superscript"/>
              </w:rPr>
              <w:t>3</w:t>
            </w:r>
            <w:r w:rsidR="00377FA5">
              <w:rPr>
                <w:vertAlign w:val="superscript"/>
              </w:rPr>
              <w:t>4</w:t>
            </w:r>
            <w:bookmarkEnd w:id="123"/>
            <w:r w:rsidR="00830234" w:rsidRPr="00367CC8">
              <w:t xml:space="preserve"> </w:t>
            </w:r>
            <w:bookmarkEnd w:id="124"/>
          </w:p>
        </w:tc>
      </w:tr>
      <w:tr w:rsidR="00413C8F" w:rsidRPr="00EB561B" w14:paraId="308EEF22" w14:textId="77777777" w:rsidTr="00413C8F">
        <w:trPr>
          <w:cantSplit/>
        </w:trPr>
        <w:tc>
          <w:tcPr>
            <w:tcW w:w="5000" w:type="pct"/>
            <w:gridSpan w:val="5"/>
            <w:shd w:val="clear" w:color="auto" w:fill="auto"/>
            <w:vAlign w:val="center"/>
          </w:tcPr>
          <w:p w14:paraId="24BAE279" w14:textId="166A06CC" w:rsidR="00413C8F" w:rsidRPr="00367CC8" w:rsidRDefault="00413C8F" w:rsidP="00413C8F">
            <w:r w:rsidRPr="00EB561B">
              <w:rPr>
                <w:highlight w:val="yellow"/>
              </w:rPr>
              <w:t>(This is the</w:t>
            </w:r>
            <w:r w:rsidRPr="00EB561B">
              <w:t xml:space="preserve"> </w:t>
            </w:r>
            <w:r w:rsidRPr="00EB561B">
              <w:rPr>
                <w:highlight w:val="yellow"/>
              </w:rPr>
              <w:t>NHS List price and not the nationally commissioned discounted or local rebate price. These can be inserted locally below</w:t>
            </w:r>
            <w:r w:rsidRPr="00EB561B">
              <w:t>)</w:t>
            </w:r>
          </w:p>
        </w:tc>
      </w:tr>
      <w:tr w:rsidR="000C7431" w:rsidRPr="00EB561B" w14:paraId="38721C06" w14:textId="675D7350" w:rsidTr="00CF74AD">
        <w:trPr>
          <w:cantSplit/>
        </w:trPr>
        <w:tc>
          <w:tcPr>
            <w:tcW w:w="1000" w:type="pct"/>
            <w:shd w:val="clear" w:color="auto" w:fill="DBE5F1" w:themeFill="accent1" w:themeFillTint="33"/>
            <w:vAlign w:val="center"/>
          </w:tcPr>
          <w:p w14:paraId="3995DFAD" w14:textId="77777777" w:rsidR="000C7431" w:rsidRPr="00EB561B" w:rsidRDefault="000C7431" w:rsidP="00CF74AD">
            <w:pPr>
              <w:jc w:val="center"/>
              <w:rPr>
                <w:b/>
                <w:vertAlign w:val="superscript"/>
              </w:rPr>
            </w:pPr>
            <w:r w:rsidRPr="00EB561B">
              <w:rPr>
                <w:b/>
              </w:rPr>
              <w:t>Dabigatran (Pradaxa</w:t>
            </w:r>
            <w:r w:rsidRPr="00EB561B">
              <w:rPr>
                <w:b/>
              </w:rPr>
              <w:sym w:font="Symbol" w:char="F0D2"/>
            </w:r>
            <w:r w:rsidRPr="00EB561B">
              <w:rPr>
                <w:b/>
              </w:rPr>
              <w:t>)</w:t>
            </w:r>
            <w:r w:rsidRPr="00EB561B">
              <w:rPr>
                <w:b/>
                <w:vertAlign w:val="superscript"/>
              </w:rPr>
              <w:t>1</w:t>
            </w:r>
          </w:p>
          <w:p w14:paraId="7685C370" w14:textId="5EB992A5" w:rsidR="000C7431" w:rsidRPr="00EB561B" w:rsidRDefault="000C7431" w:rsidP="00CF74AD">
            <w:pPr>
              <w:jc w:val="center"/>
            </w:pPr>
            <w:r w:rsidRPr="00EB561B">
              <w:rPr>
                <w:b/>
              </w:rPr>
              <w:t>150mg twice daily</w:t>
            </w:r>
          </w:p>
        </w:tc>
        <w:tc>
          <w:tcPr>
            <w:tcW w:w="1000" w:type="pct"/>
            <w:shd w:val="clear" w:color="auto" w:fill="F2DBDB" w:themeFill="accent2" w:themeFillTint="33"/>
            <w:vAlign w:val="center"/>
          </w:tcPr>
          <w:p w14:paraId="04A79C99" w14:textId="2F17AE3C" w:rsidR="000C7431" w:rsidRPr="00EB561B" w:rsidRDefault="000C7431" w:rsidP="00CF74AD">
            <w:pPr>
              <w:jc w:val="center"/>
            </w:pPr>
            <w:r w:rsidRPr="00EB561B">
              <w:rPr>
                <w:b/>
              </w:rPr>
              <w:t>Rivaroxaban (Xarelto</w:t>
            </w:r>
            <w:r w:rsidRPr="00EB561B">
              <w:rPr>
                <w:b/>
              </w:rPr>
              <w:sym w:font="Symbol" w:char="F0D2"/>
            </w:r>
            <w:r w:rsidRPr="00EB561B">
              <w:rPr>
                <w:rFonts w:cs="Arial"/>
              </w:rPr>
              <w:t>▼</w:t>
            </w:r>
            <w:r w:rsidRPr="00EB561B">
              <w:rPr>
                <w:b/>
              </w:rPr>
              <w:t>)</w:t>
            </w:r>
            <w:r w:rsidRPr="00EB561B">
              <w:rPr>
                <w:b/>
                <w:vertAlign w:val="superscript"/>
              </w:rPr>
              <w:t xml:space="preserve">2 </w:t>
            </w:r>
            <w:r w:rsidRPr="00EB561B">
              <w:rPr>
                <w:b/>
              </w:rPr>
              <w:t>20mg once daily</w:t>
            </w:r>
          </w:p>
        </w:tc>
        <w:tc>
          <w:tcPr>
            <w:tcW w:w="1000" w:type="pct"/>
            <w:shd w:val="clear" w:color="auto" w:fill="E5DFEC" w:themeFill="accent4" w:themeFillTint="33"/>
            <w:vAlign w:val="center"/>
          </w:tcPr>
          <w:p w14:paraId="1E81ED80" w14:textId="7261A723" w:rsidR="000C7431" w:rsidRPr="00EB561B" w:rsidRDefault="000C7431" w:rsidP="00CF74AD">
            <w:pPr>
              <w:jc w:val="center"/>
              <w:rPr>
                <w:b/>
                <w:vertAlign w:val="superscript"/>
              </w:rPr>
            </w:pPr>
            <w:r w:rsidRPr="00EB561B">
              <w:rPr>
                <w:b/>
              </w:rPr>
              <w:t>Apixaban (Eliquis</w:t>
            </w:r>
            <w:r w:rsidRPr="00EB561B">
              <w:rPr>
                <w:b/>
              </w:rPr>
              <w:sym w:font="Symbol" w:char="F0D2"/>
            </w:r>
            <w:r w:rsidRPr="00EB561B">
              <w:rPr>
                <w:b/>
              </w:rPr>
              <w:t>)</w:t>
            </w:r>
            <w:r w:rsidRPr="00EB561B">
              <w:rPr>
                <w:b/>
                <w:vertAlign w:val="superscript"/>
              </w:rPr>
              <w:t>3</w:t>
            </w:r>
          </w:p>
          <w:p w14:paraId="2D2F4544" w14:textId="0E4F97DF" w:rsidR="000C7431" w:rsidRPr="00EB561B" w:rsidRDefault="000C7431" w:rsidP="00CF74AD">
            <w:pPr>
              <w:jc w:val="center"/>
            </w:pPr>
            <w:r w:rsidRPr="00EB561B">
              <w:rPr>
                <w:b/>
              </w:rPr>
              <w:t>5mg twice daily</w:t>
            </w:r>
          </w:p>
        </w:tc>
        <w:tc>
          <w:tcPr>
            <w:tcW w:w="1000" w:type="pct"/>
            <w:shd w:val="clear" w:color="auto" w:fill="FDE9D9" w:themeFill="accent6" w:themeFillTint="33"/>
            <w:vAlign w:val="center"/>
          </w:tcPr>
          <w:p w14:paraId="68538A83" w14:textId="14C19D32" w:rsidR="000C7431" w:rsidRPr="00EB561B" w:rsidRDefault="000C7431" w:rsidP="00CF74AD">
            <w:pPr>
              <w:jc w:val="center"/>
              <w:rPr>
                <w:b/>
                <w:vertAlign w:val="superscript"/>
              </w:rPr>
            </w:pPr>
            <w:r w:rsidRPr="00EB561B">
              <w:rPr>
                <w:b/>
              </w:rPr>
              <w:t>Edoxaban (Lixiana</w:t>
            </w:r>
            <w:r w:rsidRPr="00EB561B">
              <w:rPr>
                <w:b/>
              </w:rPr>
              <w:sym w:font="Symbol" w:char="F0D2"/>
            </w:r>
            <w:r w:rsidRPr="00EB561B">
              <w:rPr>
                <w:b/>
              </w:rPr>
              <w:t>)</w:t>
            </w:r>
            <w:r w:rsidRPr="00EB561B">
              <w:rPr>
                <w:b/>
                <w:vertAlign w:val="superscript"/>
              </w:rPr>
              <w:t>4</w:t>
            </w:r>
          </w:p>
          <w:p w14:paraId="09811793" w14:textId="2C3E65D0" w:rsidR="000C7431" w:rsidRPr="00EB561B" w:rsidRDefault="000C7431" w:rsidP="00CF74AD">
            <w:pPr>
              <w:jc w:val="center"/>
            </w:pPr>
            <w:r w:rsidRPr="00EB561B">
              <w:rPr>
                <w:b/>
              </w:rPr>
              <w:t>60mg once daily</w:t>
            </w:r>
          </w:p>
        </w:tc>
        <w:tc>
          <w:tcPr>
            <w:tcW w:w="1000" w:type="pct"/>
            <w:shd w:val="clear" w:color="auto" w:fill="DAEEF3" w:themeFill="accent5" w:themeFillTint="33"/>
            <w:vAlign w:val="center"/>
          </w:tcPr>
          <w:p w14:paraId="796FDB5C" w14:textId="35D3FC09" w:rsidR="000C7431" w:rsidRPr="00EB561B" w:rsidRDefault="002D6351" w:rsidP="00CF74AD">
            <w:pPr>
              <w:jc w:val="center"/>
              <w:rPr>
                <w:b/>
                <w:vertAlign w:val="superscript"/>
              </w:rPr>
            </w:pPr>
            <w:r w:rsidRPr="00EB561B">
              <w:rPr>
                <w:b/>
              </w:rPr>
              <w:t>Warfarin</w:t>
            </w:r>
            <w:r w:rsidRPr="00EB561B">
              <w:rPr>
                <w:b/>
                <w:vertAlign w:val="superscript"/>
              </w:rPr>
              <w:t>5</w:t>
            </w:r>
            <w:r w:rsidR="008D6C7C" w:rsidRPr="00EB561B">
              <w:rPr>
                <w:b/>
                <w:vertAlign w:val="superscript"/>
              </w:rPr>
              <w:t>,6</w:t>
            </w:r>
          </w:p>
          <w:p w14:paraId="071DA878" w14:textId="4995C732" w:rsidR="006877A8" w:rsidRPr="00EB561B" w:rsidRDefault="006877A8" w:rsidP="00CF74AD">
            <w:pPr>
              <w:jc w:val="center"/>
              <w:rPr>
                <w:b/>
              </w:rPr>
            </w:pPr>
            <w:r w:rsidRPr="00EB561B">
              <w:rPr>
                <w:b/>
              </w:rPr>
              <w:t>3mg daily</w:t>
            </w:r>
          </w:p>
        </w:tc>
      </w:tr>
      <w:tr w:rsidR="000C7431" w:rsidRPr="00EB561B" w14:paraId="17C0A061" w14:textId="17D4C65C" w:rsidTr="00CF74AD">
        <w:trPr>
          <w:cantSplit/>
          <w:trHeight w:val="850"/>
        </w:trPr>
        <w:tc>
          <w:tcPr>
            <w:tcW w:w="1000" w:type="pct"/>
            <w:shd w:val="clear" w:color="auto" w:fill="auto"/>
            <w:vAlign w:val="center"/>
          </w:tcPr>
          <w:p w14:paraId="0CA9DFCF" w14:textId="24C09989" w:rsidR="000C7431" w:rsidRPr="00EB561B" w:rsidRDefault="000C7431" w:rsidP="00CF74AD">
            <w:pPr>
              <w:jc w:val="center"/>
            </w:pPr>
            <w:r w:rsidRPr="00EB561B">
              <w:t>£47.60</w:t>
            </w:r>
          </w:p>
        </w:tc>
        <w:tc>
          <w:tcPr>
            <w:tcW w:w="1000" w:type="pct"/>
            <w:shd w:val="clear" w:color="auto" w:fill="auto"/>
            <w:vAlign w:val="center"/>
          </w:tcPr>
          <w:p w14:paraId="6BFBC291" w14:textId="109F3013" w:rsidR="000C7431" w:rsidRPr="00EB561B" w:rsidRDefault="000C7431" w:rsidP="00CF74AD">
            <w:pPr>
              <w:jc w:val="center"/>
            </w:pPr>
            <w:r w:rsidRPr="00EB561B">
              <w:t>£50.40</w:t>
            </w:r>
          </w:p>
        </w:tc>
        <w:tc>
          <w:tcPr>
            <w:tcW w:w="1000" w:type="pct"/>
            <w:shd w:val="clear" w:color="auto" w:fill="auto"/>
            <w:vAlign w:val="center"/>
          </w:tcPr>
          <w:p w14:paraId="3464219F" w14:textId="20D393F9" w:rsidR="000C7431" w:rsidRPr="00EB561B" w:rsidRDefault="000C7431" w:rsidP="00CF74AD">
            <w:pPr>
              <w:jc w:val="center"/>
            </w:pPr>
            <w:r w:rsidRPr="00EB561B">
              <w:t>£53.20</w:t>
            </w:r>
          </w:p>
        </w:tc>
        <w:tc>
          <w:tcPr>
            <w:tcW w:w="1000" w:type="pct"/>
            <w:shd w:val="clear" w:color="auto" w:fill="auto"/>
            <w:vAlign w:val="center"/>
          </w:tcPr>
          <w:p w14:paraId="006AAECD" w14:textId="6B1D012A" w:rsidR="000C7431" w:rsidRPr="00EB561B" w:rsidRDefault="000C7431" w:rsidP="00CF74AD">
            <w:pPr>
              <w:jc w:val="center"/>
            </w:pPr>
            <w:r w:rsidRPr="00EB561B">
              <w:t>£49.00</w:t>
            </w:r>
          </w:p>
        </w:tc>
        <w:tc>
          <w:tcPr>
            <w:tcW w:w="1000" w:type="pct"/>
            <w:vAlign w:val="center"/>
          </w:tcPr>
          <w:p w14:paraId="58CA64D4" w14:textId="3A82C0DB" w:rsidR="00CB181F" w:rsidRPr="00EB561B" w:rsidRDefault="0080272F" w:rsidP="00CF74AD">
            <w:pPr>
              <w:jc w:val="center"/>
            </w:pPr>
            <w:r w:rsidRPr="00EB561B">
              <w:t>£0.7</w:t>
            </w:r>
            <w:r w:rsidR="006877A8" w:rsidRPr="00EB561B">
              <w:t>3</w:t>
            </w:r>
            <w:r w:rsidR="00E253CD" w:rsidRPr="00EB561B">
              <w:t xml:space="preserve"> + monitoring</w:t>
            </w:r>
          </w:p>
        </w:tc>
      </w:tr>
      <w:tr w:rsidR="00D85B3C" w:rsidRPr="00EB561B" w14:paraId="727FC989" w14:textId="77777777" w:rsidTr="00CF74AD">
        <w:trPr>
          <w:cantSplit/>
          <w:trHeight w:val="850"/>
        </w:trPr>
        <w:tc>
          <w:tcPr>
            <w:tcW w:w="1000" w:type="pct"/>
            <w:shd w:val="clear" w:color="auto" w:fill="auto"/>
            <w:vAlign w:val="center"/>
          </w:tcPr>
          <w:p w14:paraId="0F925A62" w14:textId="3D8DC2A1" w:rsidR="00D85B3C" w:rsidRPr="00EB561B" w:rsidRDefault="00D85B3C" w:rsidP="00CF74AD">
            <w:pPr>
              <w:jc w:val="center"/>
            </w:pPr>
            <w:r w:rsidRPr="00EB561B">
              <w:t>£47.60</w:t>
            </w:r>
          </w:p>
        </w:tc>
        <w:tc>
          <w:tcPr>
            <w:tcW w:w="1000" w:type="pct"/>
            <w:shd w:val="clear" w:color="auto" w:fill="auto"/>
            <w:vAlign w:val="center"/>
          </w:tcPr>
          <w:p w14:paraId="7CA21094" w14:textId="7F3ADA91" w:rsidR="00D85B3C" w:rsidRPr="00EB561B" w:rsidRDefault="00D85B3C" w:rsidP="00CF74AD">
            <w:pPr>
              <w:jc w:val="center"/>
              <w:rPr>
                <w:highlight w:val="yellow"/>
              </w:rPr>
            </w:pPr>
            <w:r w:rsidRPr="00EB561B">
              <w:rPr>
                <w:highlight w:val="yellow"/>
              </w:rPr>
              <w:t>£Nationally commissioned cost</w:t>
            </w:r>
          </w:p>
        </w:tc>
        <w:tc>
          <w:tcPr>
            <w:tcW w:w="1000" w:type="pct"/>
            <w:shd w:val="clear" w:color="auto" w:fill="auto"/>
            <w:vAlign w:val="center"/>
          </w:tcPr>
          <w:p w14:paraId="7062F9B2" w14:textId="0FDFF580" w:rsidR="00D85B3C" w:rsidRPr="00EB561B" w:rsidRDefault="00D85B3C" w:rsidP="00CF74AD">
            <w:pPr>
              <w:jc w:val="center"/>
              <w:rPr>
                <w:highlight w:val="yellow"/>
              </w:rPr>
            </w:pPr>
            <w:r w:rsidRPr="00EB561B">
              <w:rPr>
                <w:highlight w:val="yellow"/>
              </w:rPr>
              <w:t>£Nationally commissioned cost</w:t>
            </w:r>
          </w:p>
        </w:tc>
        <w:tc>
          <w:tcPr>
            <w:tcW w:w="1000" w:type="pct"/>
            <w:shd w:val="clear" w:color="auto" w:fill="auto"/>
            <w:vAlign w:val="center"/>
          </w:tcPr>
          <w:p w14:paraId="20120C4A" w14:textId="1DD9D6B1" w:rsidR="00D85B3C" w:rsidRPr="00EB561B" w:rsidRDefault="00D85B3C" w:rsidP="00CF74AD">
            <w:pPr>
              <w:jc w:val="center"/>
              <w:rPr>
                <w:highlight w:val="yellow"/>
              </w:rPr>
            </w:pPr>
            <w:r w:rsidRPr="00EB561B">
              <w:rPr>
                <w:highlight w:val="yellow"/>
              </w:rPr>
              <w:t>£Nationally commissioned cost</w:t>
            </w:r>
          </w:p>
        </w:tc>
        <w:tc>
          <w:tcPr>
            <w:tcW w:w="1000" w:type="pct"/>
            <w:vAlign w:val="center"/>
          </w:tcPr>
          <w:p w14:paraId="6F6E38A3" w14:textId="1DC7D8CC" w:rsidR="00D85B3C" w:rsidRPr="00EB561B" w:rsidRDefault="00D85B3C" w:rsidP="00CF74AD">
            <w:pPr>
              <w:jc w:val="center"/>
              <w:rPr>
                <w:highlight w:val="yellow"/>
              </w:rPr>
            </w:pPr>
            <w:r w:rsidRPr="00EB561B">
              <w:t>£0.73 + monitoring</w:t>
            </w:r>
          </w:p>
        </w:tc>
      </w:tr>
    </w:tbl>
    <w:p w14:paraId="0EB2F7E2" w14:textId="77777777" w:rsidR="00527C91" w:rsidRPr="00EB561B" w:rsidRDefault="00527C91" w:rsidP="00527C91">
      <w:pPr>
        <w:rPr>
          <w:rFonts w:asciiTheme="majorHAnsi" w:hAnsiTheme="majorHAnsi" w:cstheme="majorHAnsi"/>
          <w:bCs/>
          <w:szCs w:val="22"/>
        </w:rPr>
      </w:pPr>
    </w:p>
    <w:p w14:paraId="75722243" w14:textId="18148923" w:rsidR="00B56A72" w:rsidRDefault="00B56A72" w:rsidP="00413C8F">
      <w:pPr>
        <w:pStyle w:val="Heading2"/>
      </w:pPr>
      <w:bookmarkStart w:id="125" w:name="_Toc104910471"/>
      <w:bookmarkStart w:id="126" w:name="_Toc106708918"/>
      <w:bookmarkStart w:id="127" w:name="_Hlk106705924"/>
      <w:r w:rsidRPr="00367CC8">
        <w:t>References</w:t>
      </w:r>
      <w:bookmarkEnd w:id="125"/>
      <w:bookmarkEnd w:id="126"/>
    </w:p>
    <w:p w14:paraId="09BB60BC" w14:textId="77777777" w:rsidR="00377FA5" w:rsidRPr="00413C8F" w:rsidRDefault="00377FA5" w:rsidP="00377FA5">
      <w:pPr>
        <w:pStyle w:val="ListParagraph"/>
        <w:numPr>
          <w:ilvl w:val="0"/>
          <w:numId w:val="29"/>
        </w:numPr>
        <w:contextualSpacing w:val="0"/>
        <w:rPr>
          <w:u w:val="single"/>
        </w:rPr>
      </w:pPr>
      <w:r w:rsidRPr="00B56A72">
        <w:t xml:space="preserve">Summary of Product Characteristics - Pradaxa 150mg hard capsules, Boehringer Ingelheim Limited. Date of revision of the text 01/01/2021. </w:t>
      </w:r>
      <w:hyperlink r:id="rId16" w:history="1">
        <w:r w:rsidRPr="007D4F98">
          <w:rPr>
            <w:rStyle w:val="Hyperlink"/>
            <w:rFonts w:cs="Arial"/>
            <w:szCs w:val="22"/>
          </w:rPr>
          <w:t>https://www.medicines.org.uk/emc/product/4703</w:t>
        </w:r>
      </w:hyperlink>
      <w:r>
        <w:t xml:space="preserve"> </w:t>
      </w:r>
    </w:p>
    <w:p w14:paraId="747AD054" w14:textId="77777777" w:rsidR="00377FA5" w:rsidRPr="00413C8F" w:rsidRDefault="00377FA5" w:rsidP="00377FA5">
      <w:pPr>
        <w:pStyle w:val="ListParagraph"/>
        <w:numPr>
          <w:ilvl w:val="0"/>
          <w:numId w:val="29"/>
        </w:numPr>
        <w:contextualSpacing w:val="0"/>
        <w:rPr>
          <w:u w:val="single"/>
        </w:rPr>
      </w:pPr>
      <w:r w:rsidRPr="00B56A72">
        <w:t>Summary of Product Characteristics – Xarelto 15mg film-coated tablets, Bayer plc. Date of revision of the text September 2021</w:t>
      </w:r>
      <w:r>
        <w:t>.</w:t>
      </w:r>
      <w:r w:rsidRPr="00B56A72">
        <w:t xml:space="preserve"> </w:t>
      </w:r>
      <w:hyperlink r:id="rId17" w:history="1">
        <w:r w:rsidRPr="00413C8F">
          <w:rPr>
            <w:color w:val="0563C1"/>
            <w:u w:val="single"/>
          </w:rPr>
          <w:t>https://www.medicines.org.uk/emc/product/2794</w:t>
        </w:r>
      </w:hyperlink>
      <w:r w:rsidRPr="00413C8F">
        <w:rPr>
          <w:u w:val="single"/>
        </w:rPr>
        <w:t xml:space="preserve"> </w:t>
      </w:r>
    </w:p>
    <w:p w14:paraId="26972406" w14:textId="77777777" w:rsidR="00377FA5" w:rsidRPr="00413C8F" w:rsidRDefault="00377FA5" w:rsidP="00377FA5">
      <w:pPr>
        <w:pStyle w:val="ListParagraph"/>
        <w:numPr>
          <w:ilvl w:val="0"/>
          <w:numId w:val="29"/>
        </w:numPr>
        <w:contextualSpacing w:val="0"/>
        <w:rPr>
          <w:u w:val="single"/>
        </w:rPr>
      </w:pPr>
      <w:r w:rsidRPr="00B56A72">
        <w:t xml:space="preserve">Summary of Product Characteristics – Eliquis 2.5mg film-coated tablets, Bristol-Myers Squibb-Pfizer. Date of revision of the text 16/02/22. </w:t>
      </w:r>
      <w:hyperlink r:id="rId18" w:history="1">
        <w:r w:rsidRPr="00413C8F">
          <w:rPr>
            <w:color w:val="0563C1"/>
            <w:u w:val="single"/>
          </w:rPr>
          <w:t>https://www.medicines.org.uk/emc/product/4756</w:t>
        </w:r>
      </w:hyperlink>
      <w:r w:rsidRPr="00413C8F">
        <w:rPr>
          <w:u w:val="single"/>
        </w:rPr>
        <w:t xml:space="preserve"> </w:t>
      </w:r>
    </w:p>
    <w:p w14:paraId="0F4DB740" w14:textId="77777777" w:rsidR="00377FA5" w:rsidRPr="00413C8F" w:rsidRDefault="00377FA5" w:rsidP="00377FA5">
      <w:pPr>
        <w:pStyle w:val="ListParagraph"/>
        <w:numPr>
          <w:ilvl w:val="0"/>
          <w:numId w:val="29"/>
        </w:numPr>
        <w:contextualSpacing w:val="0"/>
        <w:rPr>
          <w:u w:val="single"/>
        </w:rPr>
      </w:pPr>
      <w:r w:rsidRPr="00B56A72">
        <w:t>Summary of Product Characteristics – Lixiana 30mg film-coated tablets, Daiichi Sankyo UK Limited.</w:t>
      </w:r>
      <w:r>
        <w:t xml:space="preserve"> </w:t>
      </w:r>
      <w:r w:rsidRPr="00B56A72">
        <w:t>Date of revision of the text 6/11/20.</w:t>
      </w:r>
      <w:r>
        <w:t xml:space="preserve"> </w:t>
      </w:r>
      <w:hyperlink r:id="rId19" w:history="1">
        <w:r w:rsidRPr="00413C8F">
          <w:rPr>
            <w:color w:val="0563C1"/>
            <w:u w:val="single"/>
          </w:rPr>
          <w:t>https://www.medicines.org.uk/emc/product/6906</w:t>
        </w:r>
      </w:hyperlink>
      <w:r w:rsidRPr="00413C8F">
        <w:rPr>
          <w:u w:val="single"/>
        </w:rPr>
        <w:t xml:space="preserve"> </w:t>
      </w:r>
    </w:p>
    <w:p w14:paraId="337BC727" w14:textId="77777777" w:rsidR="00377FA5" w:rsidRPr="00413C8F" w:rsidRDefault="00377FA5" w:rsidP="00377FA5">
      <w:pPr>
        <w:pStyle w:val="ListParagraph"/>
        <w:numPr>
          <w:ilvl w:val="0"/>
          <w:numId w:val="29"/>
        </w:numPr>
        <w:contextualSpacing w:val="0"/>
        <w:rPr>
          <w:u w:val="single"/>
        </w:rPr>
      </w:pPr>
      <w:r w:rsidRPr="00B56A72">
        <w:t xml:space="preserve">Summary of Product Characteristics – Warfarin 0.5mg tablets. Ranbaxy (UK) Limited a Sun Pharmaceutical Company. Date of revision of the text 07/12/21. </w:t>
      </w:r>
      <w:hyperlink r:id="rId20" w:history="1">
        <w:r w:rsidRPr="00413C8F">
          <w:rPr>
            <w:color w:val="0563C1"/>
            <w:u w:val="single"/>
          </w:rPr>
          <w:t>https://www.medicines.org.uk/emc/product/3064</w:t>
        </w:r>
      </w:hyperlink>
      <w:r w:rsidRPr="00B56A72">
        <w:t xml:space="preserve"> </w:t>
      </w:r>
    </w:p>
    <w:p w14:paraId="2E93DFC9" w14:textId="77777777" w:rsidR="00377FA5" w:rsidRPr="00413C8F" w:rsidRDefault="00377FA5" w:rsidP="00377FA5">
      <w:pPr>
        <w:pStyle w:val="ListParagraph"/>
        <w:numPr>
          <w:ilvl w:val="0"/>
          <w:numId w:val="29"/>
        </w:numPr>
        <w:contextualSpacing w:val="0"/>
        <w:rPr>
          <w:lang w:val="en"/>
        </w:rPr>
      </w:pPr>
      <w:r w:rsidRPr="00B56A72">
        <w:t xml:space="preserve">Joint Formulary Committee. British National Formulary (online) London: BMJ Group and Pharmaceutical Press. </w:t>
      </w:r>
      <w:hyperlink r:id="rId21" w:history="1">
        <w:r w:rsidRPr="00413C8F">
          <w:rPr>
            <w:color w:val="0563C1"/>
            <w:u w:val="single"/>
          </w:rPr>
          <w:t>https://www.medicinescomplete.com/</w:t>
        </w:r>
      </w:hyperlink>
      <w:r w:rsidRPr="00B56A72">
        <w:t xml:space="preserve"> Accessed February 2022.</w:t>
      </w:r>
    </w:p>
    <w:p w14:paraId="79FCF9D5" w14:textId="77777777" w:rsidR="00377FA5" w:rsidRPr="00B56A72" w:rsidRDefault="00377FA5" w:rsidP="00377FA5">
      <w:pPr>
        <w:pStyle w:val="ListParagraph"/>
        <w:numPr>
          <w:ilvl w:val="0"/>
          <w:numId w:val="29"/>
        </w:numPr>
        <w:contextualSpacing w:val="0"/>
      </w:pPr>
      <w:r w:rsidRPr="00B56A72">
        <w:t>NICE. Dabigatran etexilate for the prevention of stroke and systemic embolism in atrial fibrillation.</w:t>
      </w:r>
      <w:r>
        <w:t xml:space="preserve"> </w:t>
      </w:r>
      <w:r w:rsidRPr="00B56A72">
        <w:t xml:space="preserve">Technology Appraisal guidance [TA249]. Published March 2012, last updated July 2021. </w:t>
      </w:r>
      <w:hyperlink r:id="rId22" w:history="1">
        <w:r w:rsidRPr="00413C8F">
          <w:rPr>
            <w:color w:val="0563C1"/>
            <w:u w:val="single"/>
          </w:rPr>
          <w:t>www.nice.org.uk/guidance/ta249</w:t>
        </w:r>
      </w:hyperlink>
      <w:r w:rsidRPr="00413C8F">
        <w:rPr>
          <w:color w:val="0563C1"/>
          <w:u w:val="single"/>
        </w:rPr>
        <w:t xml:space="preserve"> </w:t>
      </w:r>
    </w:p>
    <w:p w14:paraId="79095C15" w14:textId="77777777" w:rsidR="00377FA5" w:rsidRPr="00B56A72" w:rsidRDefault="00377FA5" w:rsidP="00377FA5">
      <w:pPr>
        <w:pStyle w:val="ListParagraph"/>
        <w:numPr>
          <w:ilvl w:val="0"/>
          <w:numId w:val="29"/>
        </w:numPr>
        <w:contextualSpacing w:val="0"/>
      </w:pPr>
      <w:r w:rsidRPr="00B56A72">
        <w:t xml:space="preserve">NICE. Rivaroxaban for the prevention of stroke and systemic embolism in people with atrial fibrillation. Technology appraisal guidance </w:t>
      </w:r>
      <w:r>
        <w:t>[</w:t>
      </w:r>
      <w:r w:rsidRPr="00B56A72">
        <w:t xml:space="preserve">TA256]. Published May 2012, last updated July 2021. </w:t>
      </w:r>
      <w:hyperlink r:id="rId23" w:history="1">
        <w:r w:rsidRPr="00413C8F">
          <w:rPr>
            <w:color w:val="0563C1"/>
            <w:u w:val="single"/>
          </w:rPr>
          <w:t>www.nice.org.uk/guidance/ta256</w:t>
        </w:r>
      </w:hyperlink>
      <w:r w:rsidRPr="00413C8F">
        <w:rPr>
          <w:color w:val="0563C1"/>
          <w:u w:val="single"/>
        </w:rPr>
        <w:t xml:space="preserve"> </w:t>
      </w:r>
    </w:p>
    <w:p w14:paraId="771E8DA2" w14:textId="77777777" w:rsidR="00377FA5" w:rsidRPr="00B56A72" w:rsidRDefault="00377FA5" w:rsidP="00377FA5">
      <w:pPr>
        <w:pStyle w:val="ListParagraph"/>
        <w:numPr>
          <w:ilvl w:val="0"/>
          <w:numId w:val="29"/>
        </w:numPr>
        <w:contextualSpacing w:val="0"/>
      </w:pPr>
      <w:r w:rsidRPr="00B56A72">
        <w:t>NICE. Apixaban for preventing stroke and systemic embolism in people with non-valvular atrial fibrillation. Technology appraisal guidance [TA275]. Published Feb 2013, last updated July 2021.</w:t>
      </w:r>
      <w:r>
        <w:t xml:space="preserve"> </w:t>
      </w:r>
      <w:hyperlink r:id="rId24" w:history="1">
        <w:r w:rsidRPr="00413C8F">
          <w:rPr>
            <w:color w:val="0563C1"/>
            <w:u w:val="single"/>
          </w:rPr>
          <w:t>www.nice.org.uk/guidance/ta275</w:t>
        </w:r>
      </w:hyperlink>
      <w:r w:rsidRPr="00413C8F">
        <w:rPr>
          <w:color w:val="0563C1"/>
          <w:u w:val="single"/>
        </w:rPr>
        <w:t xml:space="preserve"> </w:t>
      </w:r>
      <w:r>
        <w:t xml:space="preserve"> </w:t>
      </w:r>
    </w:p>
    <w:p w14:paraId="6A2C715E" w14:textId="77777777" w:rsidR="00377FA5" w:rsidRPr="00B56A72" w:rsidRDefault="00377FA5" w:rsidP="00377FA5">
      <w:pPr>
        <w:pStyle w:val="ListParagraph"/>
        <w:numPr>
          <w:ilvl w:val="0"/>
          <w:numId w:val="29"/>
        </w:numPr>
        <w:contextualSpacing w:val="0"/>
      </w:pPr>
      <w:r w:rsidRPr="00B56A72">
        <w:t xml:space="preserve">NICE. Edoxaban for preventing stroke and systemic embolism in people with non-valvular atrial fibrillation. Technology appraisal guidance [TA355]. Published Sep 2015, last updated July 2021. </w:t>
      </w:r>
      <w:hyperlink r:id="rId25" w:history="1">
        <w:r w:rsidRPr="00413C8F">
          <w:rPr>
            <w:color w:val="0563C1"/>
            <w:u w:val="single"/>
          </w:rPr>
          <w:t>www.nice.org.uk/guidance/ta355</w:t>
        </w:r>
      </w:hyperlink>
      <w:r w:rsidRPr="00413C8F">
        <w:rPr>
          <w:color w:val="0563C1"/>
          <w:u w:val="single"/>
        </w:rPr>
        <w:t xml:space="preserve"> </w:t>
      </w:r>
      <w:r>
        <w:t xml:space="preserve"> </w:t>
      </w:r>
    </w:p>
    <w:p w14:paraId="4606042E" w14:textId="77777777" w:rsidR="00377FA5" w:rsidRPr="00B56A72" w:rsidRDefault="00377FA5" w:rsidP="00377FA5">
      <w:pPr>
        <w:pStyle w:val="ListParagraph"/>
        <w:numPr>
          <w:ilvl w:val="0"/>
          <w:numId w:val="29"/>
        </w:numPr>
        <w:contextualSpacing w:val="0"/>
      </w:pPr>
      <w:r w:rsidRPr="00B56A72">
        <w:t xml:space="preserve">NICE. Dabigatran etexilate for the treatment and secondary prevention of deep vein thrombosis and/or pulmonary embolism. Technology appraisal guidance [TA327]. Published December 2014. </w:t>
      </w:r>
      <w:hyperlink r:id="rId26" w:history="1">
        <w:r w:rsidRPr="00413C8F">
          <w:rPr>
            <w:color w:val="0563C1"/>
            <w:u w:val="single"/>
          </w:rPr>
          <w:t>www.nice.org.uk/guidance/ta327</w:t>
        </w:r>
      </w:hyperlink>
      <w:r w:rsidRPr="00413C8F">
        <w:rPr>
          <w:color w:val="0563C1"/>
          <w:u w:val="single"/>
        </w:rPr>
        <w:t xml:space="preserve"> </w:t>
      </w:r>
      <w:r w:rsidRPr="00B56A72">
        <w:t xml:space="preserve"> </w:t>
      </w:r>
    </w:p>
    <w:p w14:paraId="6FDB3B2A" w14:textId="77777777" w:rsidR="00377FA5" w:rsidRPr="00B56A72" w:rsidRDefault="00377FA5" w:rsidP="00377FA5">
      <w:pPr>
        <w:pStyle w:val="ListParagraph"/>
        <w:numPr>
          <w:ilvl w:val="0"/>
          <w:numId w:val="29"/>
        </w:numPr>
        <w:contextualSpacing w:val="0"/>
      </w:pPr>
      <w:r w:rsidRPr="00B56A72">
        <w:t xml:space="preserve">NICE. Rivaroxaban for the treatment of deep vein thrombosis and prevention of recurrent deep vein thrombosis and pulmonary embolism. Technology appraisal guidance [TA261]. Published July 2012. </w:t>
      </w:r>
      <w:hyperlink r:id="rId27" w:history="1">
        <w:r w:rsidRPr="00413C8F">
          <w:rPr>
            <w:color w:val="0563C1"/>
            <w:u w:val="single"/>
          </w:rPr>
          <w:t>www.nice.org.uk/guidance/ta261</w:t>
        </w:r>
      </w:hyperlink>
      <w:r w:rsidRPr="00413C8F">
        <w:rPr>
          <w:color w:val="0563C1"/>
          <w:u w:val="single"/>
        </w:rPr>
        <w:t xml:space="preserve"> </w:t>
      </w:r>
      <w:r w:rsidRPr="00B56A72">
        <w:t xml:space="preserve"> </w:t>
      </w:r>
    </w:p>
    <w:p w14:paraId="4879AE06" w14:textId="77777777" w:rsidR="00377FA5" w:rsidRPr="00B56A72" w:rsidRDefault="00377FA5" w:rsidP="00377FA5">
      <w:pPr>
        <w:pStyle w:val="ListParagraph"/>
        <w:numPr>
          <w:ilvl w:val="0"/>
          <w:numId w:val="29"/>
        </w:numPr>
        <w:contextualSpacing w:val="0"/>
      </w:pPr>
      <w:r w:rsidRPr="00B56A72">
        <w:t xml:space="preserve">NICE. Rivaroxaban for treating pulmonary embolism and preventing recurrent venous thromboembolism. Technology appraisal guidance [TA287]. Published June 2013. </w:t>
      </w:r>
      <w:hyperlink r:id="rId28" w:history="1">
        <w:r w:rsidRPr="00413C8F">
          <w:rPr>
            <w:color w:val="0563C1"/>
            <w:u w:val="single"/>
          </w:rPr>
          <w:t>www.nice.org.uk/guidance/ta287</w:t>
        </w:r>
      </w:hyperlink>
      <w:r w:rsidRPr="00413C8F">
        <w:rPr>
          <w:color w:val="0563C1"/>
          <w:u w:val="single"/>
        </w:rPr>
        <w:t xml:space="preserve"> </w:t>
      </w:r>
      <w:r w:rsidRPr="00B56A72">
        <w:t xml:space="preserve"> </w:t>
      </w:r>
    </w:p>
    <w:p w14:paraId="7F15E814" w14:textId="77777777" w:rsidR="00377FA5" w:rsidRPr="00B56A72" w:rsidRDefault="00377FA5" w:rsidP="00377FA5">
      <w:pPr>
        <w:pStyle w:val="ListParagraph"/>
        <w:numPr>
          <w:ilvl w:val="0"/>
          <w:numId w:val="29"/>
        </w:numPr>
        <w:contextualSpacing w:val="0"/>
      </w:pPr>
      <w:r w:rsidRPr="00B56A72">
        <w:t>NICE. Apixaban for the treatment and secondary prevention of deep vein thrombosis and/or pulmonary embolism. Technology appraisal guidance [TA341]. Published June 2015.</w:t>
      </w:r>
      <w:r>
        <w:t xml:space="preserve"> </w:t>
      </w:r>
      <w:hyperlink r:id="rId29" w:history="1">
        <w:r w:rsidRPr="00413C8F">
          <w:rPr>
            <w:color w:val="0563C1"/>
            <w:u w:val="single"/>
          </w:rPr>
          <w:t>https://www.nice.org.uk/guidance/ta341</w:t>
        </w:r>
      </w:hyperlink>
      <w:r w:rsidRPr="00413C8F">
        <w:rPr>
          <w:color w:val="0563C1"/>
          <w:u w:val="single"/>
        </w:rPr>
        <w:t xml:space="preserve"> </w:t>
      </w:r>
      <w:r w:rsidRPr="00B56A72">
        <w:t xml:space="preserve"> </w:t>
      </w:r>
    </w:p>
    <w:p w14:paraId="0675478C" w14:textId="77777777" w:rsidR="00377FA5" w:rsidRPr="00B56A72" w:rsidRDefault="00377FA5" w:rsidP="00377FA5">
      <w:pPr>
        <w:pStyle w:val="ListParagraph"/>
        <w:numPr>
          <w:ilvl w:val="0"/>
          <w:numId w:val="29"/>
        </w:numPr>
        <w:contextualSpacing w:val="0"/>
      </w:pPr>
      <w:r w:rsidRPr="00B56A72">
        <w:t xml:space="preserve">NICE. Edoxaban for treating and for preventing deep vein thrombosis and pulmonary embolism. Technology appraisal guidance [TA354]. Published August 2015. </w:t>
      </w:r>
      <w:hyperlink r:id="rId30" w:history="1">
        <w:r w:rsidRPr="00413C8F">
          <w:rPr>
            <w:color w:val="0563C1"/>
            <w:u w:val="single"/>
          </w:rPr>
          <w:t>www.nice.org.uk/guidance/ta354</w:t>
        </w:r>
      </w:hyperlink>
      <w:r w:rsidRPr="00413C8F">
        <w:rPr>
          <w:color w:val="0563C1"/>
          <w:u w:val="single"/>
        </w:rPr>
        <w:t xml:space="preserve"> </w:t>
      </w:r>
      <w:r w:rsidRPr="00B56A72">
        <w:t xml:space="preserve"> </w:t>
      </w:r>
    </w:p>
    <w:p w14:paraId="5C467823" w14:textId="77777777" w:rsidR="00377FA5" w:rsidRPr="00B56A72" w:rsidRDefault="00377FA5" w:rsidP="00377FA5">
      <w:pPr>
        <w:pStyle w:val="ListParagraph"/>
        <w:numPr>
          <w:ilvl w:val="0"/>
          <w:numId w:val="29"/>
        </w:numPr>
        <w:contextualSpacing w:val="0"/>
      </w:pPr>
      <w:r w:rsidRPr="00B56A72">
        <w:t xml:space="preserve">NICE. Dabigatran etexilate for the prevention of venous thromboembolism after hip or knee replacement surgery in adults. Technology appraisal guidance [TA157]. Published September 2008. </w:t>
      </w:r>
      <w:hyperlink r:id="rId31" w:history="1">
        <w:r w:rsidRPr="00413C8F">
          <w:rPr>
            <w:color w:val="0563C1"/>
            <w:u w:val="single"/>
          </w:rPr>
          <w:t>www.nice.org.uk/guidance/ta157</w:t>
        </w:r>
      </w:hyperlink>
      <w:r w:rsidRPr="00413C8F">
        <w:rPr>
          <w:color w:val="0563C1"/>
          <w:u w:val="single"/>
        </w:rPr>
        <w:t xml:space="preserve"> </w:t>
      </w:r>
      <w:r w:rsidRPr="00B56A72">
        <w:t xml:space="preserve"> </w:t>
      </w:r>
    </w:p>
    <w:p w14:paraId="167BABFC" w14:textId="77777777" w:rsidR="00377FA5" w:rsidRPr="00B56A72" w:rsidRDefault="00377FA5" w:rsidP="00377FA5">
      <w:pPr>
        <w:pStyle w:val="ListParagraph"/>
        <w:numPr>
          <w:ilvl w:val="0"/>
          <w:numId w:val="29"/>
        </w:numPr>
        <w:contextualSpacing w:val="0"/>
      </w:pPr>
      <w:r w:rsidRPr="00B56A72">
        <w:lastRenderedPageBreak/>
        <w:t xml:space="preserve">NICE. Rivaroxaban for the prevention of venous thromboembolism after total hip or total knee replacement in adults. Technology appraisal guidance [TA170]. Published April 2009. </w:t>
      </w:r>
      <w:hyperlink r:id="rId32" w:history="1">
        <w:r>
          <w:rPr>
            <w:color w:val="0563C1"/>
            <w:u w:val="single"/>
          </w:rPr>
          <w:t>www.nice.org.uk/guidance/ta170</w:t>
        </w:r>
      </w:hyperlink>
      <w:r w:rsidRPr="00413C8F">
        <w:rPr>
          <w:u w:val="single"/>
        </w:rPr>
        <w:t xml:space="preserve"> </w:t>
      </w:r>
      <w:r>
        <w:t xml:space="preserve"> </w:t>
      </w:r>
    </w:p>
    <w:p w14:paraId="2181B126" w14:textId="77777777" w:rsidR="00377FA5" w:rsidRPr="00B56A72" w:rsidRDefault="00377FA5" w:rsidP="00377FA5">
      <w:pPr>
        <w:pStyle w:val="ListParagraph"/>
        <w:numPr>
          <w:ilvl w:val="0"/>
          <w:numId w:val="29"/>
        </w:numPr>
        <w:contextualSpacing w:val="0"/>
      </w:pPr>
      <w:r w:rsidRPr="00B56A72">
        <w:t>NICE. Apixaban for the prevention of venous thromboembolism after total hip or knee replacement in adults. Technology appraisal guidance [TA245]</w:t>
      </w:r>
      <w:r>
        <w:t>. Published</w:t>
      </w:r>
      <w:r w:rsidRPr="00B56A72">
        <w:t xml:space="preserve"> January 2012. </w:t>
      </w:r>
      <w:hyperlink r:id="rId33" w:history="1">
        <w:r w:rsidRPr="00413C8F">
          <w:rPr>
            <w:color w:val="0563C1"/>
            <w:u w:val="single"/>
          </w:rPr>
          <w:t>www.nice.org.uk/guidance/ta245</w:t>
        </w:r>
      </w:hyperlink>
      <w:r w:rsidRPr="00413C8F">
        <w:rPr>
          <w:color w:val="0563C1"/>
          <w:u w:val="single"/>
        </w:rPr>
        <w:t xml:space="preserve"> </w:t>
      </w:r>
    </w:p>
    <w:p w14:paraId="0775C70A" w14:textId="77777777" w:rsidR="00377FA5" w:rsidRPr="00B56A72" w:rsidRDefault="00377FA5" w:rsidP="00377FA5">
      <w:pPr>
        <w:pStyle w:val="ListParagraph"/>
        <w:numPr>
          <w:ilvl w:val="0"/>
          <w:numId w:val="29"/>
        </w:numPr>
        <w:contextualSpacing w:val="0"/>
      </w:pPr>
      <w:r w:rsidRPr="00B56A72">
        <w:t>NICE. Rivaroxaban for preventing adverse outcomes after acute management of acute coronary syndrome</w:t>
      </w:r>
      <w:r>
        <w:t>. Technology appraisal guidance</w:t>
      </w:r>
      <w:r w:rsidRPr="00B56A72">
        <w:t xml:space="preserve"> [TA335]. Published March 2015. </w:t>
      </w:r>
      <w:hyperlink r:id="rId34" w:history="1">
        <w:r w:rsidRPr="00413C8F">
          <w:rPr>
            <w:color w:val="0563C1"/>
            <w:u w:val="single"/>
          </w:rPr>
          <w:t>https://www.nice.org.uk/guidance/ta335</w:t>
        </w:r>
      </w:hyperlink>
      <w:r>
        <w:t xml:space="preserve"> </w:t>
      </w:r>
    </w:p>
    <w:p w14:paraId="4C618201" w14:textId="77777777" w:rsidR="00377FA5" w:rsidRPr="009C1F93" w:rsidRDefault="00377FA5" w:rsidP="00377FA5">
      <w:pPr>
        <w:pStyle w:val="ListParagraph"/>
        <w:numPr>
          <w:ilvl w:val="0"/>
          <w:numId w:val="29"/>
        </w:numPr>
        <w:contextualSpacing w:val="0"/>
      </w:pPr>
      <w:r w:rsidRPr="00B56A72">
        <w:t xml:space="preserve">NICE. Rivaroxaban for preventing atherothrombotic events in people with coronary or peripheral artery disease. Technology appraisal guidance [TA607]. Published October 2019. </w:t>
      </w:r>
      <w:hyperlink r:id="rId35" w:history="1">
        <w:r w:rsidRPr="00413C8F">
          <w:rPr>
            <w:color w:val="0563C1"/>
            <w:u w:val="single"/>
          </w:rPr>
          <w:t>https://www.nice.org.uk/guidance/ta607</w:t>
        </w:r>
      </w:hyperlink>
      <w:r w:rsidRPr="00413C8F">
        <w:rPr>
          <w:color w:val="0563C1"/>
          <w:u w:val="single"/>
        </w:rPr>
        <w:t xml:space="preserve"> </w:t>
      </w:r>
    </w:p>
    <w:p w14:paraId="53C5431E" w14:textId="77777777" w:rsidR="00377FA5" w:rsidRPr="00B56A72" w:rsidRDefault="00377FA5" w:rsidP="00377FA5">
      <w:pPr>
        <w:pStyle w:val="ListParagraph"/>
        <w:numPr>
          <w:ilvl w:val="0"/>
          <w:numId w:val="29"/>
        </w:numPr>
        <w:contextualSpacing w:val="0"/>
      </w:pPr>
      <w:r>
        <w:t xml:space="preserve">Summary of Product Characteristics  </w:t>
      </w:r>
      <w:r w:rsidRPr="00B56A72">
        <w:t xml:space="preserve">– Warfarin </w:t>
      </w:r>
      <w:r>
        <w:t xml:space="preserve">Sodium 1mg/ml oral solution. Rosemont Pharmaceuticals Limited. </w:t>
      </w:r>
      <w:r w:rsidRPr="00B56A72">
        <w:t xml:space="preserve">Date of revision of the text </w:t>
      </w:r>
      <w:r>
        <w:t>25/01/2022</w:t>
      </w:r>
      <w:r w:rsidRPr="00B56A72">
        <w:t>.</w:t>
      </w:r>
      <w:r>
        <w:t xml:space="preserve"> </w:t>
      </w:r>
      <w:hyperlink r:id="rId36" w:history="1">
        <w:r w:rsidRPr="00FC36B5">
          <w:rPr>
            <w:rStyle w:val="Hyperlink"/>
          </w:rPr>
          <w:t>https://www.medicines.org.uk/emc/product/5766/smpc</w:t>
        </w:r>
      </w:hyperlink>
      <w:r>
        <w:t xml:space="preserve">  </w:t>
      </w:r>
    </w:p>
    <w:p w14:paraId="51ACBF2C" w14:textId="77777777" w:rsidR="00377FA5" w:rsidRPr="00413C8F" w:rsidRDefault="00377FA5" w:rsidP="00377FA5">
      <w:pPr>
        <w:pStyle w:val="ListParagraph"/>
        <w:numPr>
          <w:ilvl w:val="0"/>
          <w:numId w:val="29"/>
        </w:numPr>
        <w:contextualSpacing w:val="0"/>
        <w:rPr>
          <w:color w:val="0563C1"/>
          <w:u w:val="single"/>
        </w:rPr>
      </w:pPr>
      <w:r w:rsidRPr="00B56A72">
        <w:t>NICE Clinical Knowledge Summary. Anticoagulation – oral.</w:t>
      </w:r>
      <w:r>
        <w:t xml:space="preserve"> </w:t>
      </w:r>
      <w:r w:rsidRPr="00B56A72">
        <w:t>Last revised Ma</w:t>
      </w:r>
      <w:r>
        <w:t>y</w:t>
      </w:r>
      <w:r w:rsidRPr="00B56A72">
        <w:t xml:space="preserve"> 2022.</w:t>
      </w:r>
      <w:r>
        <w:t xml:space="preserve"> </w:t>
      </w:r>
      <w:hyperlink r:id="rId37" w:history="1">
        <w:r w:rsidRPr="00413C8F">
          <w:rPr>
            <w:color w:val="0563C1"/>
            <w:u w:val="single"/>
          </w:rPr>
          <w:t>https://cks.nice.org.uk/topics/anticoagulation-oral/</w:t>
        </w:r>
      </w:hyperlink>
      <w:r w:rsidRPr="00413C8F">
        <w:rPr>
          <w:color w:val="0563C1"/>
          <w:u w:val="single"/>
        </w:rPr>
        <w:t xml:space="preserve"> </w:t>
      </w:r>
    </w:p>
    <w:p w14:paraId="6B2EDCB0" w14:textId="77777777" w:rsidR="00377FA5" w:rsidRPr="00B56A72" w:rsidRDefault="00377FA5" w:rsidP="00377FA5">
      <w:pPr>
        <w:pStyle w:val="ListParagraph"/>
        <w:numPr>
          <w:ilvl w:val="0"/>
          <w:numId w:val="29"/>
        </w:numPr>
        <w:contextualSpacing w:val="0"/>
      </w:pPr>
      <w:r w:rsidRPr="00B56A72">
        <w:t xml:space="preserve">MD+CALC. Creatinine clearance (Cockcroft-Gault equation). </w:t>
      </w:r>
      <w:hyperlink r:id="rId38" w:history="1">
        <w:r w:rsidRPr="00413C8F">
          <w:rPr>
            <w:color w:val="0563C1"/>
            <w:u w:val="single"/>
          </w:rPr>
          <w:t>https://www.mdcalc.com/creatinine-clearance-cockcroft-gault-equation</w:t>
        </w:r>
      </w:hyperlink>
      <w:r w:rsidRPr="00B56A72">
        <w:t xml:space="preserve"> </w:t>
      </w:r>
    </w:p>
    <w:p w14:paraId="7FD546BE" w14:textId="77777777" w:rsidR="00377FA5" w:rsidRPr="00B56A72" w:rsidRDefault="00377FA5" w:rsidP="00377FA5">
      <w:pPr>
        <w:pStyle w:val="ListParagraph"/>
        <w:numPr>
          <w:ilvl w:val="0"/>
          <w:numId w:val="29"/>
        </w:numPr>
        <w:contextualSpacing w:val="0"/>
      </w:pPr>
      <w:r w:rsidRPr="00B56A72">
        <w:t xml:space="preserve">NICE. Atrial fibrillation: diagnosis and management. NICE guideline [NG196]. Published April 2021, last updated June 2021. </w:t>
      </w:r>
      <w:hyperlink r:id="rId39" w:history="1">
        <w:r w:rsidRPr="00413C8F">
          <w:rPr>
            <w:color w:val="0563C1"/>
            <w:u w:val="single"/>
          </w:rPr>
          <w:t>https://www.nice.org.uk/guidance/ng196</w:t>
        </w:r>
      </w:hyperlink>
      <w:r w:rsidRPr="00413C8F">
        <w:rPr>
          <w:color w:val="0563C1"/>
          <w:u w:val="single"/>
        </w:rPr>
        <w:t xml:space="preserve"> </w:t>
      </w:r>
    </w:p>
    <w:p w14:paraId="3407DC23" w14:textId="77777777" w:rsidR="00377FA5" w:rsidRPr="00B56A72" w:rsidRDefault="00377FA5" w:rsidP="00377FA5">
      <w:pPr>
        <w:pStyle w:val="ListParagraph"/>
        <w:numPr>
          <w:ilvl w:val="0"/>
          <w:numId w:val="29"/>
        </w:numPr>
        <w:contextualSpacing w:val="0"/>
      </w:pPr>
      <w:r w:rsidRPr="00B56A72">
        <w:t xml:space="preserve">NICE. Venous thromboembolic diseases: diagnosis, management and thrombophilia testing. NICE guideline [NG158]. Published March 2020. </w:t>
      </w:r>
      <w:hyperlink r:id="rId40" w:history="1">
        <w:r w:rsidRPr="00413C8F">
          <w:rPr>
            <w:color w:val="0563C1"/>
            <w:u w:val="single"/>
          </w:rPr>
          <w:t>https://www.nice.org.uk/guidance/ng158</w:t>
        </w:r>
      </w:hyperlink>
      <w:r w:rsidRPr="00413C8F">
        <w:rPr>
          <w:color w:val="0563C1"/>
          <w:u w:val="single"/>
        </w:rPr>
        <w:t xml:space="preserve"> </w:t>
      </w:r>
    </w:p>
    <w:p w14:paraId="2C9500F5" w14:textId="77777777" w:rsidR="00377FA5" w:rsidRPr="00B56A72" w:rsidRDefault="00377FA5" w:rsidP="00377FA5">
      <w:pPr>
        <w:pStyle w:val="ListParagraph"/>
        <w:numPr>
          <w:ilvl w:val="0"/>
          <w:numId w:val="29"/>
        </w:numPr>
        <w:contextualSpacing w:val="0"/>
      </w:pPr>
      <w:r w:rsidRPr="00B56A72">
        <w:t xml:space="preserve">NICE. Chronic kidney disease: assessment and management. NICE guideline [NG203]. Published August 2021, last updated November 2021. </w:t>
      </w:r>
      <w:hyperlink r:id="rId41" w:history="1">
        <w:r w:rsidRPr="00413C8F">
          <w:rPr>
            <w:color w:val="0563C1"/>
            <w:u w:val="single"/>
          </w:rPr>
          <w:t>https://www.nice.org.uk/guidance/ng203</w:t>
        </w:r>
      </w:hyperlink>
      <w:r>
        <w:t xml:space="preserve"> </w:t>
      </w:r>
    </w:p>
    <w:p w14:paraId="6B529377" w14:textId="77777777" w:rsidR="00377FA5" w:rsidRPr="00B56A72" w:rsidRDefault="00377FA5" w:rsidP="00377FA5">
      <w:pPr>
        <w:pStyle w:val="ListParagraph"/>
        <w:numPr>
          <w:ilvl w:val="0"/>
          <w:numId w:val="29"/>
        </w:numPr>
        <w:contextualSpacing w:val="0"/>
      </w:pPr>
      <w:r w:rsidRPr="00B56A72">
        <w:t xml:space="preserve">DOAC dose adjustment in renal impairment. Drug and Therapeutics Bulletin 2020; 58(9): 131. </w:t>
      </w:r>
      <w:hyperlink r:id="rId42" w:history="1">
        <w:r w:rsidRPr="007D4F98">
          <w:rPr>
            <w:color w:val="0070C0"/>
            <w:u w:val="single"/>
          </w:rPr>
          <w:t>https://dtb.bmj.com/content/early/2020/06/15/dtb.2020.000038</w:t>
        </w:r>
      </w:hyperlink>
    </w:p>
    <w:p w14:paraId="59F01B9D" w14:textId="77777777" w:rsidR="00377FA5" w:rsidRPr="00B56A72" w:rsidRDefault="00377FA5" w:rsidP="00377FA5">
      <w:pPr>
        <w:pStyle w:val="ListParagraph"/>
        <w:numPr>
          <w:ilvl w:val="0"/>
          <w:numId w:val="29"/>
        </w:numPr>
        <w:contextualSpacing w:val="0"/>
      </w:pPr>
      <w:r w:rsidRPr="00B56A72">
        <w:t xml:space="preserve">Summary of Product Characteristics - </w:t>
      </w:r>
      <w:proofErr w:type="spellStart"/>
      <w:r w:rsidRPr="00B56A72">
        <w:t>Praxbind</w:t>
      </w:r>
      <w:proofErr w:type="spellEnd"/>
      <w:r w:rsidRPr="00B56A72">
        <w:t xml:space="preserve"> 2.5g/50mL solution for injection/infusion. Boehringer Ingelheim Limited. Date of revision of the text September 2020.</w:t>
      </w:r>
      <w:r>
        <w:t xml:space="preserve"> </w:t>
      </w:r>
      <w:hyperlink r:id="rId43" w:history="1">
        <w:r w:rsidRPr="00413C8F">
          <w:rPr>
            <w:color w:val="0563C1"/>
            <w:u w:val="single"/>
          </w:rPr>
          <w:t>https://www.medicines.org.uk/emc/product/5073</w:t>
        </w:r>
      </w:hyperlink>
      <w:r w:rsidRPr="00413C8F">
        <w:rPr>
          <w:color w:val="0563C1"/>
          <w:u w:val="single"/>
        </w:rPr>
        <w:t xml:space="preserve"> </w:t>
      </w:r>
    </w:p>
    <w:p w14:paraId="6B6038B7" w14:textId="77777777" w:rsidR="00377FA5" w:rsidRPr="00413C8F" w:rsidRDefault="00377FA5" w:rsidP="00377FA5">
      <w:pPr>
        <w:pStyle w:val="ListParagraph"/>
        <w:numPr>
          <w:ilvl w:val="0"/>
          <w:numId w:val="29"/>
        </w:numPr>
        <w:contextualSpacing w:val="0"/>
        <w:rPr>
          <w:u w:val="single"/>
        </w:rPr>
      </w:pPr>
      <w:r w:rsidRPr="00B56A72">
        <w:t xml:space="preserve">Summary of Product Characteristics - </w:t>
      </w:r>
      <w:proofErr w:type="spellStart"/>
      <w:r w:rsidRPr="00B56A72">
        <w:t>Ondexxya</w:t>
      </w:r>
      <w:proofErr w:type="spellEnd"/>
      <w:r w:rsidRPr="00B56A72">
        <w:t xml:space="preserve"> 200mg powder for solution for infusion.</w:t>
      </w:r>
      <w:r>
        <w:t xml:space="preserve"> </w:t>
      </w:r>
      <w:r w:rsidRPr="00B56A72">
        <w:t>A</w:t>
      </w:r>
      <w:r>
        <w:t>straZeneca</w:t>
      </w:r>
      <w:r w:rsidRPr="00B56A72">
        <w:t xml:space="preserve"> UK Limited. Date of revision of the text 1</w:t>
      </w:r>
      <w:r>
        <w:t xml:space="preserve"> June </w:t>
      </w:r>
      <w:r w:rsidRPr="00B56A72">
        <w:t>202</w:t>
      </w:r>
      <w:r>
        <w:t>2</w:t>
      </w:r>
      <w:r w:rsidRPr="00B56A72">
        <w:t>.</w:t>
      </w:r>
      <w:r>
        <w:t xml:space="preserve"> </w:t>
      </w:r>
      <w:hyperlink r:id="rId44" w:history="1">
        <w:r w:rsidRPr="00413C8F">
          <w:rPr>
            <w:color w:val="0563C1"/>
            <w:u w:val="single"/>
          </w:rPr>
          <w:t>https://www.medicines.org.uk/emc/product/10933/</w:t>
        </w:r>
      </w:hyperlink>
      <w:r w:rsidRPr="00B56A72">
        <w:t xml:space="preserve"> </w:t>
      </w:r>
    </w:p>
    <w:p w14:paraId="656CA6C9" w14:textId="77777777" w:rsidR="00377FA5" w:rsidRPr="00B56A72" w:rsidRDefault="00377FA5" w:rsidP="00377FA5">
      <w:pPr>
        <w:pStyle w:val="ListParagraph"/>
        <w:numPr>
          <w:ilvl w:val="0"/>
          <w:numId w:val="29"/>
        </w:numPr>
        <w:contextualSpacing w:val="0"/>
      </w:pPr>
      <w:r w:rsidRPr="00B56A72">
        <w:t xml:space="preserve">NICE. Reversal of the anticoagulant effect of dabigatran: </w:t>
      </w:r>
      <w:proofErr w:type="spellStart"/>
      <w:r w:rsidRPr="00B56A72">
        <w:t>idarucizumab</w:t>
      </w:r>
      <w:proofErr w:type="spellEnd"/>
      <w:r w:rsidRPr="00B56A72">
        <w:t>.</w:t>
      </w:r>
      <w:r>
        <w:t xml:space="preserve"> </w:t>
      </w:r>
      <w:r w:rsidRPr="00B56A72">
        <w:t xml:space="preserve">Evidence Summary [ESNM73]. Published May 2016. </w:t>
      </w:r>
      <w:hyperlink r:id="rId45" w:history="1">
        <w:r w:rsidRPr="00413C8F">
          <w:rPr>
            <w:color w:val="0563C1"/>
            <w:u w:val="single"/>
          </w:rPr>
          <w:t>https://www.nice.org.uk/advice/esnm73/chapter/Key-points-from-the-evidence</w:t>
        </w:r>
      </w:hyperlink>
      <w:r w:rsidRPr="00413C8F">
        <w:rPr>
          <w:color w:val="0563C1"/>
          <w:u w:val="single"/>
        </w:rPr>
        <w:t xml:space="preserve"> </w:t>
      </w:r>
    </w:p>
    <w:p w14:paraId="144752DA" w14:textId="77777777" w:rsidR="00377FA5" w:rsidRPr="008200F4" w:rsidRDefault="00377FA5" w:rsidP="00377FA5">
      <w:pPr>
        <w:pStyle w:val="ListParagraph"/>
        <w:numPr>
          <w:ilvl w:val="0"/>
          <w:numId w:val="29"/>
        </w:numPr>
        <w:contextualSpacing w:val="0"/>
      </w:pPr>
      <w:r w:rsidRPr="00B56A72">
        <w:t>NICE. Andexanet alfa for reversing anticoagulation from apixaban or rivaroxaban. Technology appraisal guidance [TA697]. Published May 2021.</w:t>
      </w:r>
      <w:r>
        <w:t xml:space="preserve"> </w:t>
      </w:r>
      <w:hyperlink r:id="rId46" w:history="1">
        <w:r w:rsidRPr="000C6025">
          <w:rPr>
            <w:rStyle w:val="Hyperlink"/>
          </w:rPr>
          <w:t>https://www.nice.org.uk/guidance/ta697</w:t>
        </w:r>
      </w:hyperlink>
      <w:r w:rsidRPr="00A324C9">
        <w:rPr>
          <w:color w:val="0563C1"/>
          <w:u w:val="single"/>
        </w:rPr>
        <w:t xml:space="preserve"> </w:t>
      </w:r>
    </w:p>
    <w:p w14:paraId="0F4222E8" w14:textId="77777777" w:rsidR="00377FA5" w:rsidRPr="00B56A72" w:rsidRDefault="00377FA5" w:rsidP="00377FA5">
      <w:pPr>
        <w:pStyle w:val="ListParagraph"/>
        <w:numPr>
          <w:ilvl w:val="0"/>
          <w:numId w:val="29"/>
        </w:numPr>
        <w:contextualSpacing w:val="0"/>
      </w:pPr>
      <w:r>
        <w:t xml:space="preserve">Patient Leaflet - Warfarin 0.5mg tablets. Ranbaxy (UK) Limited a Sun Pharmaceutical Company. Last updated on </w:t>
      </w:r>
      <w:proofErr w:type="spellStart"/>
      <w:r>
        <w:t>emc</w:t>
      </w:r>
      <w:proofErr w:type="spellEnd"/>
      <w:r>
        <w:t xml:space="preserve"> 09 Dec 2021. </w:t>
      </w:r>
      <w:hyperlink r:id="rId47" w:history="1">
        <w:r w:rsidRPr="00FC36B5">
          <w:rPr>
            <w:rStyle w:val="Hyperlink"/>
          </w:rPr>
          <w:t>https://www.medicines.org.uk/emc/product/3064/pil</w:t>
        </w:r>
      </w:hyperlink>
      <w:r>
        <w:t xml:space="preserve"> </w:t>
      </w:r>
    </w:p>
    <w:p w14:paraId="7741CA1C" w14:textId="77777777" w:rsidR="00377FA5" w:rsidRPr="00EB561B" w:rsidRDefault="00377FA5" w:rsidP="00377FA5">
      <w:pPr>
        <w:pStyle w:val="ListParagraph"/>
        <w:numPr>
          <w:ilvl w:val="0"/>
          <w:numId w:val="29"/>
        </w:numPr>
        <w:contextualSpacing w:val="0"/>
      </w:pPr>
      <w:r w:rsidRPr="00EB561B">
        <w:t>Drug Safety Update. Direct-acting oral anticoagulants (DOACs): increased risk of recurrent thrombotic events in patients with antiphospholipid syndrome. Published June 2019.</w:t>
      </w:r>
      <w:r>
        <w:t xml:space="preserve"> </w:t>
      </w:r>
      <w:hyperlink r:id="rId48" w:history="1">
        <w:r w:rsidRPr="007D4F98">
          <w:rPr>
            <w:rStyle w:val="Hyperlink"/>
            <w:rFonts w:cs="Arial"/>
            <w:szCs w:val="22"/>
          </w:rPr>
          <w:t>https://www.gov.uk/drug-safety-update/direct-acting-oral-anticoagulants-doacs-increased-risk-of-recurrent-thrombotic-events-in-patients-with-antiphospholipid-syndrome</w:t>
        </w:r>
      </w:hyperlink>
    </w:p>
    <w:p w14:paraId="104F1FD5" w14:textId="509A1F9A" w:rsidR="00D905A1" w:rsidRPr="00377FA5" w:rsidRDefault="00377FA5" w:rsidP="00881742">
      <w:pPr>
        <w:pStyle w:val="ListParagraph"/>
        <w:numPr>
          <w:ilvl w:val="0"/>
          <w:numId w:val="29"/>
        </w:numPr>
        <w:rPr>
          <w:rFonts w:asciiTheme="majorHAnsi" w:hAnsiTheme="majorHAnsi" w:cstheme="majorHAnsi"/>
          <w:szCs w:val="22"/>
        </w:rPr>
      </w:pPr>
      <w:r w:rsidRPr="00B56A72">
        <w:t xml:space="preserve">NHS Business Services Authority. Drug Tariff </w:t>
      </w:r>
      <w:r>
        <w:t>June</w:t>
      </w:r>
      <w:r w:rsidRPr="00B56A72">
        <w:t xml:space="preserve"> 2022. </w:t>
      </w:r>
      <w:hyperlink r:id="rId49" w:history="1">
        <w:r w:rsidRPr="00377FA5">
          <w:rPr>
            <w:color w:val="0563C1"/>
            <w:u w:val="single"/>
          </w:rPr>
          <w:t>https://www.nhsbsa.nhs.uk/pharmacies-gp-practices-and-appliance-contractors/drug-tariff</w:t>
        </w:r>
      </w:hyperlink>
      <w:bookmarkEnd w:id="127"/>
    </w:p>
    <w:sectPr w:rsidR="00D905A1" w:rsidRPr="00377FA5" w:rsidSect="009636BE">
      <w:pgSz w:w="11900" w:h="16840"/>
      <w:pgMar w:top="1134" w:right="1021"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B315B" w14:textId="77777777" w:rsidR="005A6D26" w:rsidRDefault="005A6D26" w:rsidP="00760761">
      <w:r>
        <w:separator/>
      </w:r>
    </w:p>
  </w:endnote>
  <w:endnote w:type="continuationSeparator" w:id="0">
    <w:p w14:paraId="02D47B3C" w14:textId="77777777" w:rsidR="005A6D26" w:rsidRDefault="005A6D26" w:rsidP="00760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B6C0" w14:textId="397DCAFE" w:rsidR="00DC288E" w:rsidRPr="00AE42BE" w:rsidRDefault="00DC288E" w:rsidP="00AE42BE">
    <w:pPr>
      <w:pStyle w:val="Footer"/>
      <w:jc w:val="right"/>
    </w:pPr>
    <w:r w:rsidRPr="00AE42BE">
      <w:rPr>
        <w:caps/>
      </w:rPr>
      <w:fldChar w:fldCharType="begin"/>
    </w:r>
    <w:r w:rsidRPr="00AE42BE">
      <w:rPr>
        <w:caps/>
      </w:rPr>
      <w:instrText xml:space="preserve"> PAGE   \* MERGEFORMAT </w:instrText>
    </w:r>
    <w:r w:rsidRPr="00AE42BE">
      <w:rPr>
        <w:caps/>
      </w:rPr>
      <w:fldChar w:fldCharType="separate"/>
    </w:r>
    <w:r>
      <w:rPr>
        <w:caps/>
        <w:noProof/>
      </w:rPr>
      <w:t>12</w:t>
    </w:r>
    <w:r w:rsidRPr="00AE42BE">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CF87E" w14:textId="77777777" w:rsidR="005A6D26" w:rsidRDefault="005A6D26" w:rsidP="00760761">
      <w:r>
        <w:separator/>
      </w:r>
    </w:p>
  </w:footnote>
  <w:footnote w:type="continuationSeparator" w:id="0">
    <w:p w14:paraId="35AE6113" w14:textId="77777777" w:rsidR="005A6D26" w:rsidRDefault="005A6D26" w:rsidP="007607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11B08"/>
    <w:multiLevelType w:val="hybridMultilevel"/>
    <w:tmpl w:val="E67A9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6493E"/>
    <w:multiLevelType w:val="hybridMultilevel"/>
    <w:tmpl w:val="1F7EA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0078C5"/>
    <w:multiLevelType w:val="hybridMultilevel"/>
    <w:tmpl w:val="ED185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20289"/>
    <w:multiLevelType w:val="hybridMultilevel"/>
    <w:tmpl w:val="569C073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7148C8"/>
    <w:multiLevelType w:val="hybridMultilevel"/>
    <w:tmpl w:val="D960B54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A6229"/>
    <w:multiLevelType w:val="hybridMultilevel"/>
    <w:tmpl w:val="063C75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F8767B"/>
    <w:multiLevelType w:val="hybridMultilevel"/>
    <w:tmpl w:val="22A09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274E1B"/>
    <w:multiLevelType w:val="hybridMultilevel"/>
    <w:tmpl w:val="6D7E14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4C440E"/>
    <w:multiLevelType w:val="hybridMultilevel"/>
    <w:tmpl w:val="40ECF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66333A"/>
    <w:multiLevelType w:val="hybridMultilevel"/>
    <w:tmpl w:val="C5EED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ED0304"/>
    <w:multiLevelType w:val="hybridMultilevel"/>
    <w:tmpl w:val="DEFA9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2A63E6"/>
    <w:multiLevelType w:val="hybridMultilevel"/>
    <w:tmpl w:val="9048A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7771EF"/>
    <w:multiLevelType w:val="hybridMultilevel"/>
    <w:tmpl w:val="6DEEA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BF4B25"/>
    <w:multiLevelType w:val="hybridMultilevel"/>
    <w:tmpl w:val="0890E1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D80231"/>
    <w:multiLevelType w:val="hybridMultilevel"/>
    <w:tmpl w:val="95904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D8154B"/>
    <w:multiLevelType w:val="hybridMultilevel"/>
    <w:tmpl w:val="3D32127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E56456"/>
    <w:multiLevelType w:val="hybridMultilevel"/>
    <w:tmpl w:val="1F8CB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0031E1"/>
    <w:multiLevelType w:val="hybridMultilevel"/>
    <w:tmpl w:val="79264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AE209D"/>
    <w:multiLevelType w:val="hybridMultilevel"/>
    <w:tmpl w:val="B66E2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EB66D4A"/>
    <w:multiLevelType w:val="hybridMultilevel"/>
    <w:tmpl w:val="95427E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A34E3C"/>
    <w:multiLevelType w:val="hybridMultilevel"/>
    <w:tmpl w:val="3DB84CAE"/>
    <w:lvl w:ilvl="0" w:tplc="59D262C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78D7BBD"/>
    <w:multiLevelType w:val="hybridMultilevel"/>
    <w:tmpl w:val="DE0E663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A1C1B2B"/>
    <w:multiLevelType w:val="hybridMultilevel"/>
    <w:tmpl w:val="0E9A90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C6737D"/>
    <w:multiLevelType w:val="hybridMultilevel"/>
    <w:tmpl w:val="C3CE2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F005B32"/>
    <w:multiLevelType w:val="hybridMultilevel"/>
    <w:tmpl w:val="3D5A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FEE7577"/>
    <w:multiLevelType w:val="hybridMultilevel"/>
    <w:tmpl w:val="6E425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316F84"/>
    <w:multiLevelType w:val="hybridMultilevel"/>
    <w:tmpl w:val="E304A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45773CC"/>
    <w:multiLevelType w:val="hybridMultilevel"/>
    <w:tmpl w:val="48487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7D473A"/>
    <w:multiLevelType w:val="hybridMultilevel"/>
    <w:tmpl w:val="78721AA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86239953">
    <w:abstractNumId w:val="2"/>
  </w:num>
  <w:num w:numId="2" w16cid:durableId="515268234">
    <w:abstractNumId w:val="24"/>
  </w:num>
  <w:num w:numId="3" w16cid:durableId="829566650">
    <w:abstractNumId w:val="5"/>
  </w:num>
  <w:num w:numId="4" w16cid:durableId="1187208227">
    <w:abstractNumId w:val="28"/>
  </w:num>
  <w:num w:numId="5" w16cid:durableId="635524809">
    <w:abstractNumId w:val="21"/>
  </w:num>
  <w:num w:numId="6" w16cid:durableId="741760235">
    <w:abstractNumId w:val="15"/>
  </w:num>
  <w:num w:numId="7" w16cid:durableId="740762234">
    <w:abstractNumId w:val="3"/>
  </w:num>
  <w:num w:numId="8" w16cid:durableId="1952079789">
    <w:abstractNumId w:val="22"/>
  </w:num>
  <w:num w:numId="9" w16cid:durableId="1644309163">
    <w:abstractNumId w:val="0"/>
  </w:num>
  <w:num w:numId="10" w16cid:durableId="568225165">
    <w:abstractNumId w:val="10"/>
  </w:num>
  <w:num w:numId="11" w16cid:durableId="30686751">
    <w:abstractNumId w:val="9"/>
  </w:num>
  <w:num w:numId="12" w16cid:durableId="1616132504">
    <w:abstractNumId w:val="4"/>
  </w:num>
  <w:num w:numId="13" w16cid:durableId="139350074">
    <w:abstractNumId w:val="27"/>
  </w:num>
  <w:num w:numId="14" w16cid:durableId="1173958212">
    <w:abstractNumId w:val="8"/>
  </w:num>
  <w:num w:numId="15" w16cid:durableId="443690651">
    <w:abstractNumId w:val="12"/>
  </w:num>
  <w:num w:numId="16" w16cid:durableId="272709472">
    <w:abstractNumId w:val="20"/>
  </w:num>
  <w:num w:numId="17" w16cid:durableId="663164817">
    <w:abstractNumId w:val="18"/>
  </w:num>
  <w:num w:numId="18" w16cid:durableId="1201239903">
    <w:abstractNumId w:val="13"/>
  </w:num>
  <w:num w:numId="19" w16cid:durableId="1821771959">
    <w:abstractNumId w:val="6"/>
  </w:num>
  <w:num w:numId="20" w16cid:durableId="1333141210">
    <w:abstractNumId w:val="16"/>
  </w:num>
  <w:num w:numId="21" w16cid:durableId="2112582590">
    <w:abstractNumId w:val="1"/>
  </w:num>
  <w:num w:numId="22" w16cid:durableId="898782611">
    <w:abstractNumId w:val="14"/>
  </w:num>
  <w:num w:numId="23" w16cid:durableId="1077286820">
    <w:abstractNumId w:val="11"/>
  </w:num>
  <w:num w:numId="24" w16cid:durableId="1686860721">
    <w:abstractNumId w:val="7"/>
  </w:num>
  <w:num w:numId="25" w16cid:durableId="1315260722">
    <w:abstractNumId w:val="19"/>
  </w:num>
  <w:num w:numId="26" w16cid:durableId="1998417872">
    <w:abstractNumId w:val="17"/>
  </w:num>
  <w:num w:numId="27" w16cid:durableId="1972594637">
    <w:abstractNumId w:val="26"/>
  </w:num>
  <w:num w:numId="28" w16cid:durableId="1490054820">
    <w:abstractNumId w:val="23"/>
  </w:num>
  <w:num w:numId="29" w16cid:durableId="872771106">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761"/>
    <w:rsid w:val="00002D71"/>
    <w:rsid w:val="000037E2"/>
    <w:rsid w:val="000145DE"/>
    <w:rsid w:val="00016E13"/>
    <w:rsid w:val="000207A7"/>
    <w:rsid w:val="000334B2"/>
    <w:rsid w:val="000367F3"/>
    <w:rsid w:val="0003754A"/>
    <w:rsid w:val="00043B1D"/>
    <w:rsid w:val="0005070A"/>
    <w:rsid w:val="00052451"/>
    <w:rsid w:val="0005253C"/>
    <w:rsid w:val="0006486F"/>
    <w:rsid w:val="000665BE"/>
    <w:rsid w:val="000673E5"/>
    <w:rsid w:val="00071806"/>
    <w:rsid w:val="00072015"/>
    <w:rsid w:val="000724A8"/>
    <w:rsid w:val="0007660E"/>
    <w:rsid w:val="0008180A"/>
    <w:rsid w:val="000828CD"/>
    <w:rsid w:val="00086304"/>
    <w:rsid w:val="000864AE"/>
    <w:rsid w:val="000A17E9"/>
    <w:rsid w:val="000A4BA2"/>
    <w:rsid w:val="000A500E"/>
    <w:rsid w:val="000A50C7"/>
    <w:rsid w:val="000A6686"/>
    <w:rsid w:val="000B365B"/>
    <w:rsid w:val="000B4CB2"/>
    <w:rsid w:val="000B7B54"/>
    <w:rsid w:val="000C1651"/>
    <w:rsid w:val="000C2334"/>
    <w:rsid w:val="000C386B"/>
    <w:rsid w:val="000C4E11"/>
    <w:rsid w:val="000C5876"/>
    <w:rsid w:val="000C7431"/>
    <w:rsid w:val="000C7763"/>
    <w:rsid w:val="000D0924"/>
    <w:rsid w:val="000D0DF1"/>
    <w:rsid w:val="000D1173"/>
    <w:rsid w:val="000D561D"/>
    <w:rsid w:val="000E09A3"/>
    <w:rsid w:val="000E10CF"/>
    <w:rsid w:val="000E3B80"/>
    <w:rsid w:val="000E45C9"/>
    <w:rsid w:val="000E4F0F"/>
    <w:rsid w:val="000E50CB"/>
    <w:rsid w:val="000E569C"/>
    <w:rsid w:val="000E58B4"/>
    <w:rsid w:val="000E7B6B"/>
    <w:rsid w:val="000F2903"/>
    <w:rsid w:val="000F3D09"/>
    <w:rsid w:val="000F7F87"/>
    <w:rsid w:val="00100734"/>
    <w:rsid w:val="0010300C"/>
    <w:rsid w:val="0010338F"/>
    <w:rsid w:val="00105B3E"/>
    <w:rsid w:val="001133BE"/>
    <w:rsid w:val="001144B9"/>
    <w:rsid w:val="00114D48"/>
    <w:rsid w:val="00117717"/>
    <w:rsid w:val="00121637"/>
    <w:rsid w:val="00124F42"/>
    <w:rsid w:val="001269EF"/>
    <w:rsid w:val="001271A3"/>
    <w:rsid w:val="00130D6C"/>
    <w:rsid w:val="00131223"/>
    <w:rsid w:val="00140699"/>
    <w:rsid w:val="00141087"/>
    <w:rsid w:val="00141400"/>
    <w:rsid w:val="001423E8"/>
    <w:rsid w:val="00142A71"/>
    <w:rsid w:val="0014329A"/>
    <w:rsid w:val="00143671"/>
    <w:rsid w:val="001436FD"/>
    <w:rsid w:val="001474F5"/>
    <w:rsid w:val="001531DC"/>
    <w:rsid w:val="00156B2D"/>
    <w:rsid w:val="0016108B"/>
    <w:rsid w:val="00164899"/>
    <w:rsid w:val="00164AB2"/>
    <w:rsid w:val="00165CDB"/>
    <w:rsid w:val="00167840"/>
    <w:rsid w:val="00172937"/>
    <w:rsid w:val="00173297"/>
    <w:rsid w:val="001756B0"/>
    <w:rsid w:val="00177156"/>
    <w:rsid w:val="00177D7D"/>
    <w:rsid w:val="00177E47"/>
    <w:rsid w:val="00181595"/>
    <w:rsid w:val="001854BB"/>
    <w:rsid w:val="00186A80"/>
    <w:rsid w:val="00187A04"/>
    <w:rsid w:val="00187D8E"/>
    <w:rsid w:val="00190565"/>
    <w:rsid w:val="00192380"/>
    <w:rsid w:val="00192515"/>
    <w:rsid w:val="00193458"/>
    <w:rsid w:val="00193E43"/>
    <w:rsid w:val="001A4EAC"/>
    <w:rsid w:val="001B06CE"/>
    <w:rsid w:val="001B252D"/>
    <w:rsid w:val="001B4586"/>
    <w:rsid w:val="001B520C"/>
    <w:rsid w:val="001B6D09"/>
    <w:rsid w:val="001B7667"/>
    <w:rsid w:val="001C1C0A"/>
    <w:rsid w:val="001C530C"/>
    <w:rsid w:val="001D0AFD"/>
    <w:rsid w:val="001D429A"/>
    <w:rsid w:val="001D4561"/>
    <w:rsid w:val="001D5737"/>
    <w:rsid w:val="001E42E2"/>
    <w:rsid w:val="001E761F"/>
    <w:rsid w:val="001F118C"/>
    <w:rsid w:val="001F3B99"/>
    <w:rsid w:val="001F4FC0"/>
    <w:rsid w:val="001F7F36"/>
    <w:rsid w:val="00200253"/>
    <w:rsid w:val="00204BEB"/>
    <w:rsid w:val="00206C76"/>
    <w:rsid w:val="00211576"/>
    <w:rsid w:val="002129F2"/>
    <w:rsid w:val="002133F0"/>
    <w:rsid w:val="002142AD"/>
    <w:rsid w:val="00215B05"/>
    <w:rsid w:val="00216C78"/>
    <w:rsid w:val="002211A3"/>
    <w:rsid w:val="00225DF2"/>
    <w:rsid w:val="0022685B"/>
    <w:rsid w:val="002307F8"/>
    <w:rsid w:val="00231022"/>
    <w:rsid w:val="002315F1"/>
    <w:rsid w:val="00243C28"/>
    <w:rsid w:val="00244490"/>
    <w:rsid w:val="00244FE6"/>
    <w:rsid w:val="002461B6"/>
    <w:rsid w:val="00246BE8"/>
    <w:rsid w:val="00246F02"/>
    <w:rsid w:val="00247A53"/>
    <w:rsid w:val="002516D4"/>
    <w:rsid w:val="00252C83"/>
    <w:rsid w:val="0025370F"/>
    <w:rsid w:val="002537CD"/>
    <w:rsid w:val="00253839"/>
    <w:rsid w:val="0025434D"/>
    <w:rsid w:val="00254AB5"/>
    <w:rsid w:val="00255DDD"/>
    <w:rsid w:val="0025647C"/>
    <w:rsid w:val="00257759"/>
    <w:rsid w:val="002579BC"/>
    <w:rsid w:val="00260DE2"/>
    <w:rsid w:val="002641A6"/>
    <w:rsid w:val="00264A8C"/>
    <w:rsid w:val="00264CFC"/>
    <w:rsid w:val="0026684B"/>
    <w:rsid w:val="00276DAF"/>
    <w:rsid w:val="00284C0B"/>
    <w:rsid w:val="0028778A"/>
    <w:rsid w:val="002902E7"/>
    <w:rsid w:val="00290814"/>
    <w:rsid w:val="00291DB1"/>
    <w:rsid w:val="00293DAF"/>
    <w:rsid w:val="002946B0"/>
    <w:rsid w:val="002956D6"/>
    <w:rsid w:val="00295A52"/>
    <w:rsid w:val="00295CD9"/>
    <w:rsid w:val="002968E0"/>
    <w:rsid w:val="002A0BBA"/>
    <w:rsid w:val="002A48CB"/>
    <w:rsid w:val="002A6F03"/>
    <w:rsid w:val="002B2F0E"/>
    <w:rsid w:val="002B6BFD"/>
    <w:rsid w:val="002C174B"/>
    <w:rsid w:val="002C3BE2"/>
    <w:rsid w:val="002D580A"/>
    <w:rsid w:val="002D6351"/>
    <w:rsid w:val="002D653E"/>
    <w:rsid w:val="002E05FA"/>
    <w:rsid w:val="002E0A78"/>
    <w:rsid w:val="002E1FB8"/>
    <w:rsid w:val="002E3E57"/>
    <w:rsid w:val="002E437E"/>
    <w:rsid w:val="002E4695"/>
    <w:rsid w:val="002E47F4"/>
    <w:rsid w:val="002F1AE5"/>
    <w:rsid w:val="002F63FA"/>
    <w:rsid w:val="002F7727"/>
    <w:rsid w:val="002F77A8"/>
    <w:rsid w:val="003042D5"/>
    <w:rsid w:val="00306867"/>
    <w:rsid w:val="00306F69"/>
    <w:rsid w:val="00307029"/>
    <w:rsid w:val="0031377E"/>
    <w:rsid w:val="00313AC5"/>
    <w:rsid w:val="00314515"/>
    <w:rsid w:val="00331A86"/>
    <w:rsid w:val="003331CC"/>
    <w:rsid w:val="0033487B"/>
    <w:rsid w:val="00340DBA"/>
    <w:rsid w:val="00342BFF"/>
    <w:rsid w:val="0034513B"/>
    <w:rsid w:val="0035154C"/>
    <w:rsid w:val="00353BB9"/>
    <w:rsid w:val="00354719"/>
    <w:rsid w:val="00354B02"/>
    <w:rsid w:val="00361018"/>
    <w:rsid w:val="00362A02"/>
    <w:rsid w:val="003660C9"/>
    <w:rsid w:val="0036702A"/>
    <w:rsid w:val="0036736F"/>
    <w:rsid w:val="00367CC8"/>
    <w:rsid w:val="00370735"/>
    <w:rsid w:val="00374620"/>
    <w:rsid w:val="00376B74"/>
    <w:rsid w:val="0037725F"/>
    <w:rsid w:val="00377FA5"/>
    <w:rsid w:val="00382637"/>
    <w:rsid w:val="00387107"/>
    <w:rsid w:val="0038775B"/>
    <w:rsid w:val="00393CB9"/>
    <w:rsid w:val="003944F2"/>
    <w:rsid w:val="003A6A57"/>
    <w:rsid w:val="003A7FC9"/>
    <w:rsid w:val="003B0EEE"/>
    <w:rsid w:val="003B1017"/>
    <w:rsid w:val="003B32F1"/>
    <w:rsid w:val="003B4BA4"/>
    <w:rsid w:val="003B4CBC"/>
    <w:rsid w:val="003C0C6B"/>
    <w:rsid w:val="003C0C82"/>
    <w:rsid w:val="003C170E"/>
    <w:rsid w:val="003C1917"/>
    <w:rsid w:val="003C48FF"/>
    <w:rsid w:val="003C638F"/>
    <w:rsid w:val="003D022E"/>
    <w:rsid w:val="003D36F3"/>
    <w:rsid w:val="003D4170"/>
    <w:rsid w:val="003D479A"/>
    <w:rsid w:val="003D7271"/>
    <w:rsid w:val="003E034D"/>
    <w:rsid w:val="003E3209"/>
    <w:rsid w:val="003E33BF"/>
    <w:rsid w:val="003E5F8E"/>
    <w:rsid w:val="003F0DE1"/>
    <w:rsid w:val="003F2B62"/>
    <w:rsid w:val="003F4BF0"/>
    <w:rsid w:val="003F6E26"/>
    <w:rsid w:val="004001CA"/>
    <w:rsid w:val="00411546"/>
    <w:rsid w:val="004137AE"/>
    <w:rsid w:val="00413C8F"/>
    <w:rsid w:val="00416D06"/>
    <w:rsid w:val="00422CC1"/>
    <w:rsid w:val="0042616B"/>
    <w:rsid w:val="004319C9"/>
    <w:rsid w:val="004323FC"/>
    <w:rsid w:val="00434CA9"/>
    <w:rsid w:val="004350D5"/>
    <w:rsid w:val="00437FA3"/>
    <w:rsid w:val="00445D03"/>
    <w:rsid w:val="00451BCE"/>
    <w:rsid w:val="00453318"/>
    <w:rsid w:val="0045700C"/>
    <w:rsid w:val="00461AB6"/>
    <w:rsid w:val="00462CFC"/>
    <w:rsid w:val="00463612"/>
    <w:rsid w:val="004645B2"/>
    <w:rsid w:val="0046541A"/>
    <w:rsid w:val="004655BB"/>
    <w:rsid w:val="00466A36"/>
    <w:rsid w:val="004704D7"/>
    <w:rsid w:val="00471057"/>
    <w:rsid w:val="00474616"/>
    <w:rsid w:val="00477596"/>
    <w:rsid w:val="004809D6"/>
    <w:rsid w:val="004814F5"/>
    <w:rsid w:val="00481EAC"/>
    <w:rsid w:val="00483318"/>
    <w:rsid w:val="00483DA7"/>
    <w:rsid w:val="0048742D"/>
    <w:rsid w:val="0048785F"/>
    <w:rsid w:val="00491D81"/>
    <w:rsid w:val="00492ED8"/>
    <w:rsid w:val="00496183"/>
    <w:rsid w:val="00497480"/>
    <w:rsid w:val="00497E27"/>
    <w:rsid w:val="004A207E"/>
    <w:rsid w:val="004A6DC6"/>
    <w:rsid w:val="004B2933"/>
    <w:rsid w:val="004B36EB"/>
    <w:rsid w:val="004B3F6C"/>
    <w:rsid w:val="004B7BBA"/>
    <w:rsid w:val="004C0810"/>
    <w:rsid w:val="004C22C0"/>
    <w:rsid w:val="004C52A2"/>
    <w:rsid w:val="004D1FEB"/>
    <w:rsid w:val="004D5112"/>
    <w:rsid w:val="004D6522"/>
    <w:rsid w:val="004E1D6C"/>
    <w:rsid w:val="004E1F83"/>
    <w:rsid w:val="004E2F87"/>
    <w:rsid w:val="004E34C9"/>
    <w:rsid w:val="004E382A"/>
    <w:rsid w:val="004E5ECD"/>
    <w:rsid w:val="004E7371"/>
    <w:rsid w:val="004F110A"/>
    <w:rsid w:val="004F529A"/>
    <w:rsid w:val="004F756F"/>
    <w:rsid w:val="0050027C"/>
    <w:rsid w:val="0050070D"/>
    <w:rsid w:val="0050083F"/>
    <w:rsid w:val="00501A7E"/>
    <w:rsid w:val="00502179"/>
    <w:rsid w:val="00502AAF"/>
    <w:rsid w:val="00504B25"/>
    <w:rsid w:val="00504C42"/>
    <w:rsid w:val="005057BC"/>
    <w:rsid w:val="005067AC"/>
    <w:rsid w:val="00507356"/>
    <w:rsid w:val="00510F83"/>
    <w:rsid w:val="00527388"/>
    <w:rsid w:val="00527C91"/>
    <w:rsid w:val="005327B9"/>
    <w:rsid w:val="00532FDE"/>
    <w:rsid w:val="00535019"/>
    <w:rsid w:val="00535C1A"/>
    <w:rsid w:val="00537578"/>
    <w:rsid w:val="00540C2B"/>
    <w:rsid w:val="00544874"/>
    <w:rsid w:val="00545F31"/>
    <w:rsid w:val="005461DE"/>
    <w:rsid w:val="00546375"/>
    <w:rsid w:val="005467EF"/>
    <w:rsid w:val="00547FD6"/>
    <w:rsid w:val="00555316"/>
    <w:rsid w:val="00562E05"/>
    <w:rsid w:val="005666B7"/>
    <w:rsid w:val="00572FFF"/>
    <w:rsid w:val="00574370"/>
    <w:rsid w:val="005775CA"/>
    <w:rsid w:val="00585C00"/>
    <w:rsid w:val="005866E0"/>
    <w:rsid w:val="00587AD0"/>
    <w:rsid w:val="00590F14"/>
    <w:rsid w:val="0059202C"/>
    <w:rsid w:val="005924AC"/>
    <w:rsid w:val="00595FB9"/>
    <w:rsid w:val="005A0E86"/>
    <w:rsid w:val="005A1AA9"/>
    <w:rsid w:val="005A64F7"/>
    <w:rsid w:val="005A6D26"/>
    <w:rsid w:val="005B0D25"/>
    <w:rsid w:val="005B63D4"/>
    <w:rsid w:val="005B6506"/>
    <w:rsid w:val="005B7152"/>
    <w:rsid w:val="005B72E4"/>
    <w:rsid w:val="005C358F"/>
    <w:rsid w:val="005C38D5"/>
    <w:rsid w:val="005C6DEC"/>
    <w:rsid w:val="005D3910"/>
    <w:rsid w:val="005D5945"/>
    <w:rsid w:val="005D5C49"/>
    <w:rsid w:val="005D5ED8"/>
    <w:rsid w:val="005D6DBC"/>
    <w:rsid w:val="005E22B8"/>
    <w:rsid w:val="005E4A69"/>
    <w:rsid w:val="005E5D45"/>
    <w:rsid w:val="005E6091"/>
    <w:rsid w:val="005F19A4"/>
    <w:rsid w:val="005F34F6"/>
    <w:rsid w:val="005F4E75"/>
    <w:rsid w:val="005F58A9"/>
    <w:rsid w:val="005F7628"/>
    <w:rsid w:val="005F77E0"/>
    <w:rsid w:val="005F7845"/>
    <w:rsid w:val="00601248"/>
    <w:rsid w:val="0060241C"/>
    <w:rsid w:val="0061340C"/>
    <w:rsid w:val="006201F6"/>
    <w:rsid w:val="006214C2"/>
    <w:rsid w:val="006235B2"/>
    <w:rsid w:val="0062431E"/>
    <w:rsid w:val="00625207"/>
    <w:rsid w:val="00627E2C"/>
    <w:rsid w:val="00630122"/>
    <w:rsid w:val="006352E6"/>
    <w:rsid w:val="0063606E"/>
    <w:rsid w:val="00636979"/>
    <w:rsid w:val="00636C92"/>
    <w:rsid w:val="00640A82"/>
    <w:rsid w:val="00643742"/>
    <w:rsid w:val="006457B8"/>
    <w:rsid w:val="00646521"/>
    <w:rsid w:val="0064677F"/>
    <w:rsid w:val="0065085D"/>
    <w:rsid w:val="006527BA"/>
    <w:rsid w:val="006551DF"/>
    <w:rsid w:val="006619D6"/>
    <w:rsid w:val="006650A6"/>
    <w:rsid w:val="006659A4"/>
    <w:rsid w:val="006774B3"/>
    <w:rsid w:val="00680DBC"/>
    <w:rsid w:val="00681F17"/>
    <w:rsid w:val="006821A5"/>
    <w:rsid w:val="006865DC"/>
    <w:rsid w:val="006877A8"/>
    <w:rsid w:val="0069267A"/>
    <w:rsid w:val="00694283"/>
    <w:rsid w:val="006945DA"/>
    <w:rsid w:val="00696313"/>
    <w:rsid w:val="00697662"/>
    <w:rsid w:val="006978F0"/>
    <w:rsid w:val="006A00B8"/>
    <w:rsid w:val="006A2467"/>
    <w:rsid w:val="006A4BC9"/>
    <w:rsid w:val="006B1B0E"/>
    <w:rsid w:val="006B32CB"/>
    <w:rsid w:val="006B383E"/>
    <w:rsid w:val="006B608D"/>
    <w:rsid w:val="006C12C6"/>
    <w:rsid w:val="006C5495"/>
    <w:rsid w:val="006C7266"/>
    <w:rsid w:val="006D16C8"/>
    <w:rsid w:val="006D21C5"/>
    <w:rsid w:val="006D6890"/>
    <w:rsid w:val="006E03F8"/>
    <w:rsid w:val="006E2658"/>
    <w:rsid w:val="006E33F5"/>
    <w:rsid w:val="006E3673"/>
    <w:rsid w:val="006E40D3"/>
    <w:rsid w:val="006E5C0A"/>
    <w:rsid w:val="006F1B95"/>
    <w:rsid w:val="006F2996"/>
    <w:rsid w:val="00700586"/>
    <w:rsid w:val="00702527"/>
    <w:rsid w:val="0070336F"/>
    <w:rsid w:val="007129A9"/>
    <w:rsid w:val="00714024"/>
    <w:rsid w:val="00717D53"/>
    <w:rsid w:val="00721BE4"/>
    <w:rsid w:val="00732C02"/>
    <w:rsid w:val="00735E20"/>
    <w:rsid w:val="00736FAA"/>
    <w:rsid w:val="007415C5"/>
    <w:rsid w:val="00741842"/>
    <w:rsid w:val="00745971"/>
    <w:rsid w:val="00746422"/>
    <w:rsid w:val="0075075C"/>
    <w:rsid w:val="007558FA"/>
    <w:rsid w:val="0075636C"/>
    <w:rsid w:val="00757641"/>
    <w:rsid w:val="00760761"/>
    <w:rsid w:val="00760907"/>
    <w:rsid w:val="00763624"/>
    <w:rsid w:val="00772185"/>
    <w:rsid w:val="00773024"/>
    <w:rsid w:val="00775351"/>
    <w:rsid w:val="00776D00"/>
    <w:rsid w:val="00777693"/>
    <w:rsid w:val="00777A39"/>
    <w:rsid w:val="007827C1"/>
    <w:rsid w:val="00790675"/>
    <w:rsid w:val="0079339F"/>
    <w:rsid w:val="00793D9F"/>
    <w:rsid w:val="00794C1C"/>
    <w:rsid w:val="00796FEF"/>
    <w:rsid w:val="00797F5A"/>
    <w:rsid w:val="007A1393"/>
    <w:rsid w:val="007A1397"/>
    <w:rsid w:val="007A31AF"/>
    <w:rsid w:val="007A7B95"/>
    <w:rsid w:val="007B2B5A"/>
    <w:rsid w:val="007B3621"/>
    <w:rsid w:val="007B4EA6"/>
    <w:rsid w:val="007B527F"/>
    <w:rsid w:val="007B6508"/>
    <w:rsid w:val="007C29E1"/>
    <w:rsid w:val="007C2AD1"/>
    <w:rsid w:val="007C2B8A"/>
    <w:rsid w:val="007C3CDE"/>
    <w:rsid w:val="007C60DB"/>
    <w:rsid w:val="007D04D6"/>
    <w:rsid w:val="007D101A"/>
    <w:rsid w:val="007D1B0D"/>
    <w:rsid w:val="007D4142"/>
    <w:rsid w:val="007D4F98"/>
    <w:rsid w:val="007F0423"/>
    <w:rsid w:val="007F0662"/>
    <w:rsid w:val="007F5455"/>
    <w:rsid w:val="008004A1"/>
    <w:rsid w:val="0080138B"/>
    <w:rsid w:val="00802225"/>
    <w:rsid w:val="0080272F"/>
    <w:rsid w:val="00802E83"/>
    <w:rsid w:val="008041F5"/>
    <w:rsid w:val="008070A1"/>
    <w:rsid w:val="0080758F"/>
    <w:rsid w:val="00807730"/>
    <w:rsid w:val="0081165F"/>
    <w:rsid w:val="008126D5"/>
    <w:rsid w:val="00821DD2"/>
    <w:rsid w:val="008221FA"/>
    <w:rsid w:val="008223A7"/>
    <w:rsid w:val="00824402"/>
    <w:rsid w:val="00825491"/>
    <w:rsid w:val="008269D0"/>
    <w:rsid w:val="00830234"/>
    <w:rsid w:val="00831603"/>
    <w:rsid w:val="00832CC3"/>
    <w:rsid w:val="00837BDE"/>
    <w:rsid w:val="0084546D"/>
    <w:rsid w:val="00852362"/>
    <w:rsid w:val="00852FF0"/>
    <w:rsid w:val="0085307A"/>
    <w:rsid w:val="00853C15"/>
    <w:rsid w:val="008606A3"/>
    <w:rsid w:val="00863433"/>
    <w:rsid w:val="00865C69"/>
    <w:rsid w:val="00870046"/>
    <w:rsid w:val="00870828"/>
    <w:rsid w:val="00871BB2"/>
    <w:rsid w:val="008721FF"/>
    <w:rsid w:val="0087568F"/>
    <w:rsid w:val="00876D00"/>
    <w:rsid w:val="00877249"/>
    <w:rsid w:val="008774E6"/>
    <w:rsid w:val="00880010"/>
    <w:rsid w:val="008827BB"/>
    <w:rsid w:val="00883E57"/>
    <w:rsid w:val="008A12AC"/>
    <w:rsid w:val="008A3AE4"/>
    <w:rsid w:val="008A4692"/>
    <w:rsid w:val="008A4A42"/>
    <w:rsid w:val="008A51BD"/>
    <w:rsid w:val="008A5A25"/>
    <w:rsid w:val="008A5FF9"/>
    <w:rsid w:val="008A61C6"/>
    <w:rsid w:val="008B1C27"/>
    <w:rsid w:val="008B2242"/>
    <w:rsid w:val="008B579E"/>
    <w:rsid w:val="008B5F03"/>
    <w:rsid w:val="008B6994"/>
    <w:rsid w:val="008B75AA"/>
    <w:rsid w:val="008B7902"/>
    <w:rsid w:val="008C1A84"/>
    <w:rsid w:val="008C52CA"/>
    <w:rsid w:val="008C5614"/>
    <w:rsid w:val="008D0407"/>
    <w:rsid w:val="008D1841"/>
    <w:rsid w:val="008D2FFD"/>
    <w:rsid w:val="008D6C7C"/>
    <w:rsid w:val="008E03E3"/>
    <w:rsid w:val="008F0038"/>
    <w:rsid w:val="008F7855"/>
    <w:rsid w:val="0090705D"/>
    <w:rsid w:val="00910D24"/>
    <w:rsid w:val="00910DDB"/>
    <w:rsid w:val="00913B6A"/>
    <w:rsid w:val="009143E2"/>
    <w:rsid w:val="00914BD1"/>
    <w:rsid w:val="009153B4"/>
    <w:rsid w:val="0091652B"/>
    <w:rsid w:val="00916600"/>
    <w:rsid w:val="009230F1"/>
    <w:rsid w:val="009314BF"/>
    <w:rsid w:val="009322B1"/>
    <w:rsid w:val="00933A1E"/>
    <w:rsid w:val="009341CB"/>
    <w:rsid w:val="0093634D"/>
    <w:rsid w:val="00937B5E"/>
    <w:rsid w:val="00937CD6"/>
    <w:rsid w:val="0094051F"/>
    <w:rsid w:val="009425A2"/>
    <w:rsid w:val="009425B7"/>
    <w:rsid w:val="00943B56"/>
    <w:rsid w:val="00943FFA"/>
    <w:rsid w:val="0094588D"/>
    <w:rsid w:val="00945EF3"/>
    <w:rsid w:val="009473A4"/>
    <w:rsid w:val="00950419"/>
    <w:rsid w:val="00952679"/>
    <w:rsid w:val="00952AC8"/>
    <w:rsid w:val="00955345"/>
    <w:rsid w:val="009560C9"/>
    <w:rsid w:val="00961164"/>
    <w:rsid w:val="009636BE"/>
    <w:rsid w:val="009675C7"/>
    <w:rsid w:val="00967E12"/>
    <w:rsid w:val="009721BF"/>
    <w:rsid w:val="0097233A"/>
    <w:rsid w:val="00972F20"/>
    <w:rsid w:val="00973B94"/>
    <w:rsid w:val="0097444D"/>
    <w:rsid w:val="009910E3"/>
    <w:rsid w:val="009934A8"/>
    <w:rsid w:val="00993D77"/>
    <w:rsid w:val="00994573"/>
    <w:rsid w:val="00996A22"/>
    <w:rsid w:val="009973AE"/>
    <w:rsid w:val="009A032C"/>
    <w:rsid w:val="009A25E0"/>
    <w:rsid w:val="009A5578"/>
    <w:rsid w:val="009B1367"/>
    <w:rsid w:val="009B1FDF"/>
    <w:rsid w:val="009B40C4"/>
    <w:rsid w:val="009C0402"/>
    <w:rsid w:val="009C19ED"/>
    <w:rsid w:val="009C20C6"/>
    <w:rsid w:val="009C3764"/>
    <w:rsid w:val="009D1758"/>
    <w:rsid w:val="009D1C1A"/>
    <w:rsid w:val="009D39A0"/>
    <w:rsid w:val="009D4967"/>
    <w:rsid w:val="009E02C3"/>
    <w:rsid w:val="009E33E6"/>
    <w:rsid w:val="009E5599"/>
    <w:rsid w:val="009E7902"/>
    <w:rsid w:val="009F099D"/>
    <w:rsid w:val="009F3BBA"/>
    <w:rsid w:val="00A007CE"/>
    <w:rsid w:val="00A0121A"/>
    <w:rsid w:val="00A01334"/>
    <w:rsid w:val="00A01588"/>
    <w:rsid w:val="00A032F0"/>
    <w:rsid w:val="00A10783"/>
    <w:rsid w:val="00A11785"/>
    <w:rsid w:val="00A14051"/>
    <w:rsid w:val="00A21E48"/>
    <w:rsid w:val="00A22DD1"/>
    <w:rsid w:val="00A2384D"/>
    <w:rsid w:val="00A24298"/>
    <w:rsid w:val="00A2458D"/>
    <w:rsid w:val="00A25C71"/>
    <w:rsid w:val="00A324C9"/>
    <w:rsid w:val="00A422E4"/>
    <w:rsid w:val="00A431CE"/>
    <w:rsid w:val="00A4534C"/>
    <w:rsid w:val="00A47C56"/>
    <w:rsid w:val="00A52E80"/>
    <w:rsid w:val="00A60BFB"/>
    <w:rsid w:val="00A64F86"/>
    <w:rsid w:val="00A656B6"/>
    <w:rsid w:val="00A65D3C"/>
    <w:rsid w:val="00A6655A"/>
    <w:rsid w:val="00A725D8"/>
    <w:rsid w:val="00A72CE9"/>
    <w:rsid w:val="00A75C99"/>
    <w:rsid w:val="00A766B2"/>
    <w:rsid w:val="00A83B43"/>
    <w:rsid w:val="00A84307"/>
    <w:rsid w:val="00A85996"/>
    <w:rsid w:val="00A85A68"/>
    <w:rsid w:val="00A8713B"/>
    <w:rsid w:val="00A93B44"/>
    <w:rsid w:val="00A94A90"/>
    <w:rsid w:val="00A97201"/>
    <w:rsid w:val="00AA1E44"/>
    <w:rsid w:val="00AA4423"/>
    <w:rsid w:val="00AA4E69"/>
    <w:rsid w:val="00AA619C"/>
    <w:rsid w:val="00AA7410"/>
    <w:rsid w:val="00AB4651"/>
    <w:rsid w:val="00AB51A5"/>
    <w:rsid w:val="00AB54AA"/>
    <w:rsid w:val="00AB633D"/>
    <w:rsid w:val="00AB72C8"/>
    <w:rsid w:val="00AB76E8"/>
    <w:rsid w:val="00AC028A"/>
    <w:rsid w:val="00AC1674"/>
    <w:rsid w:val="00AC3316"/>
    <w:rsid w:val="00AC5AE4"/>
    <w:rsid w:val="00AC6602"/>
    <w:rsid w:val="00AC724B"/>
    <w:rsid w:val="00AC7C94"/>
    <w:rsid w:val="00AD05EC"/>
    <w:rsid w:val="00AD221F"/>
    <w:rsid w:val="00AD2AF4"/>
    <w:rsid w:val="00AD33BF"/>
    <w:rsid w:val="00AE183E"/>
    <w:rsid w:val="00AE243E"/>
    <w:rsid w:val="00AE42BE"/>
    <w:rsid w:val="00AF04F1"/>
    <w:rsid w:val="00B0362A"/>
    <w:rsid w:val="00B04655"/>
    <w:rsid w:val="00B04E5C"/>
    <w:rsid w:val="00B054A1"/>
    <w:rsid w:val="00B0587F"/>
    <w:rsid w:val="00B1011E"/>
    <w:rsid w:val="00B12234"/>
    <w:rsid w:val="00B1252E"/>
    <w:rsid w:val="00B12566"/>
    <w:rsid w:val="00B13EA8"/>
    <w:rsid w:val="00B142B0"/>
    <w:rsid w:val="00B17867"/>
    <w:rsid w:val="00B179EB"/>
    <w:rsid w:val="00B203CD"/>
    <w:rsid w:val="00B30F51"/>
    <w:rsid w:val="00B32CCF"/>
    <w:rsid w:val="00B366E5"/>
    <w:rsid w:val="00B40BC8"/>
    <w:rsid w:val="00B41A96"/>
    <w:rsid w:val="00B41C31"/>
    <w:rsid w:val="00B42E2F"/>
    <w:rsid w:val="00B43177"/>
    <w:rsid w:val="00B44B99"/>
    <w:rsid w:val="00B44D43"/>
    <w:rsid w:val="00B45A0F"/>
    <w:rsid w:val="00B50AA7"/>
    <w:rsid w:val="00B54276"/>
    <w:rsid w:val="00B568E9"/>
    <w:rsid w:val="00B56A72"/>
    <w:rsid w:val="00B572BA"/>
    <w:rsid w:val="00B61D67"/>
    <w:rsid w:val="00B62BFD"/>
    <w:rsid w:val="00B73768"/>
    <w:rsid w:val="00B7703C"/>
    <w:rsid w:val="00B77E2E"/>
    <w:rsid w:val="00B86093"/>
    <w:rsid w:val="00B90770"/>
    <w:rsid w:val="00B912BB"/>
    <w:rsid w:val="00B9302C"/>
    <w:rsid w:val="00B958F4"/>
    <w:rsid w:val="00B95AC7"/>
    <w:rsid w:val="00BA13F5"/>
    <w:rsid w:val="00BA14BE"/>
    <w:rsid w:val="00BA3615"/>
    <w:rsid w:val="00BA6D4A"/>
    <w:rsid w:val="00BB32EC"/>
    <w:rsid w:val="00BB4106"/>
    <w:rsid w:val="00BC07B4"/>
    <w:rsid w:val="00BC08CD"/>
    <w:rsid w:val="00BC4228"/>
    <w:rsid w:val="00BD59FC"/>
    <w:rsid w:val="00BD678F"/>
    <w:rsid w:val="00BD78D5"/>
    <w:rsid w:val="00BE052E"/>
    <w:rsid w:val="00BE193F"/>
    <w:rsid w:val="00BE3AAE"/>
    <w:rsid w:val="00BE6751"/>
    <w:rsid w:val="00BE71BC"/>
    <w:rsid w:val="00BF36BB"/>
    <w:rsid w:val="00BF3DC1"/>
    <w:rsid w:val="00BF676E"/>
    <w:rsid w:val="00C022C5"/>
    <w:rsid w:val="00C037BC"/>
    <w:rsid w:val="00C05B02"/>
    <w:rsid w:val="00C05B7F"/>
    <w:rsid w:val="00C0641F"/>
    <w:rsid w:val="00C1186A"/>
    <w:rsid w:val="00C169C3"/>
    <w:rsid w:val="00C22014"/>
    <w:rsid w:val="00C224CA"/>
    <w:rsid w:val="00C24F23"/>
    <w:rsid w:val="00C25ACB"/>
    <w:rsid w:val="00C25CAC"/>
    <w:rsid w:val="00C264B2"/>
    <w:rsid w:val="00C306B9"/>
    <w:rsid w:val="00C3432F"/>
    <w:rsid w:val="00C37584"/>
    <w:rsid w:val="00C37788"/>
    <w:rsid w:val="00C40D45"/>
    <w:rsid w:val="00C42003"/>
    <w:rsid w:val="00C4479D"/>
    <w:rsid w:val="00C47512"/>
    <w:rsid w:val="00C47B46"/>
    <w:rsid w:val="00C54311"/>
    <w:rsid w:val="00C557CA"/>
    <w:rsid w:val="00C6014E"/>
    <w:rsid w:val="00C630A6"/>
    <w:rsid w:val="00C631B7"/>
    <w:rsid w:val="00C66E4A"/>
    <w:rsid w:val="00C71032"/>
    <w:rsid w:val="00C719F0"/>
    <w:rsid w:val="00C73E6B"/>
    <w:rsid w:val="00C74765"/>
    <w:rsid w:val="00C7775C"/>
    <w:rsid w:val="00C84129"/>
    <w:rsid w:val="00C85CD5"/>
    <w:rsid w:val="00C85F80"/>
    <w:rsid w:val="00C87351"/>
    <w:rsid w:val="00C97BE0"/>
    <w:rsid w:val="00CA027D"/>
    <w:rsid w:val="00CB0FEA"/>
    <w:rsid w:val="00CB181F"/>
    <w:rsid w:val="00CB300D"/>
    <w:rsid w:val="00CB3966"/>
    <w:rsid w:val="00CB39A6"/>
    <w:rsid w:val="00CC07CB"/>
    <w:rsid w:val="00CC2766"/>
    <w:rsid w:val="00CC4393"/>
    <w:rsid w:val="00CC5D66"/>
    <w:rsid w:val="00CD579E"/>
    <w:rsid w:val="00CD5CDB"/>
    <w:rsid w:val="00CD727C"/>
    <w:rsid w:val="00CE44CE"/>
    <w:rsid w:val="00CF74AD"/>
    <w:rsid w:val="00D0014B"/>
    <w:rsid w:val="00D0095A"/>
    <w:rsid w:val="00D009AC"/>
    <w:rsid w:val="00D00E7A"/>
    <w:rsid w:val="00D01F42"/>
    <w:rsid w:val="00D0234C"/>
    <w:rsid w:val="00D05454"/>
    <w:rsid w:val="00D14D4F"/>
    <w:rsid w:val="00D15D32"/>
    <w:rsid w:val="00D17B56"/>
    <w:rsid w:val="00D25290"/>
    <w:rsid w:val="00D27903"/>
    <w:rsid w:val="00D27D87"/>
    <w:rsid w:val="00D40AFB"/>
    <w:rsid w:val="00D42640"/>
    <w:rsid w:val="00D42831"/>
    <w:rsid w:val="00D522C9"/>
    <w:rsid w:val="00D5293F"/>
    <w:rsid w:val="00D558AB"/>
    <w:rsid w:val="00D55F6D"/>
    <w:rsid w:val="00D572D3"/>
    <w:rsid w:val="00D62044"/>
    <w:rsid w:val="00D62CE2"/>
    <w:rsid w:val="00D71796"/>
    <w:rsid w:val="00D72AF0"/>
    <w:rsid w:val="00D73BDE"/>
    <w:rsid w:val="00D75D52"/>
    <w:rsid w:val="00D76806"/>
    <w:rsid w:val="00D77DC0"/>
    <w:rsid w:val="00D822AC"/>
    <w:rsid w:val="00D83C14"/>
    <w:rsid w:val="00D85B3C"/>
    <w:rsid w:val="00D85FEE"/>
    <w:rsid w:val="00D905A1"/>
    <w:rsid w:val="00D932FA"/>
    <w:rsid w:val="00D93F7E"/>
    <w:rsid w:val="00D949F9"/>
    <w:rsid w:val="00D95587"/>
    <w:rsid w:val="00DA0A67"/>
    <w:rsid w:val="00DA241C"/>
    <w:rsid w:val="00DA5C12"/>
    <w:rsid w:val="00DB2FD8"/>
    <w:rsid w:val="00DC0F06"/>
    <w:rsid w:val="00DC288E"/>
    <w:rsid w:val="00DC3160"/>
    <w:rsid w:val="00DC4C92"/>
    <w:rsid w:val="00DC7D12"/>
    <w:rsid w:val="00DD4BC4"/>
    <w:rsid w:val="00DE2557"/>
    <w:rsid w:val="00DE36DF"/>
    <w:rsid w:val="00DE600F"/>
    <w:rsid w:val="00DF570E"/>
    <w:rsid w:val="00DF7D70"/>
    <w:rsid w:val="00E03A48"/>
    <w:rsid w:val="00E15AE8"/>
    <w:rsid w:val="00E16E54"/>
    <w:rsid w:val="00E1791E"/>
    <w:rsid w:val="00E20192"/>
    <w:rsid w:val="00E2180F"/>
    <w:rsid w:val="00E22F69"/>
    <w:rsid w:val="00E245E6"/>
    <w:rsid w:val="00E24606"/>
    <w:rsid w:val="00E253CD"/>
    <w:rsid w:val="00E26B00"/>
    <w:rsid w:val="00E30E2B"/>
    <w:rsid w:val="00E31F9D"/>
    <w:rsid w:val="00E32AE6"/>
    <w:rsid w:val="00E32FA2"/>
    <w:rsid w:val="00E3514B"/>
    <w:rsid w:val="00E356F9"/>
    <w:rsid w:val="00E40322"/>
    <w:rsid w:val="00E418D2"/>
    <w:rsid w:val="00E437D8"/>
    <w:rsid w:val="00E454A2"/>
    <w:rsid w:val="00E52A5C"/>
    <w:rsid w:val="00E52B05"/>
    <w:rsid w:val="00E57E26"/>
    <w:rsid w:val="00E618F8"/>
    <w:rsid w:val="00E61EC1"/>
    <w:rsid w:val="00E62A2A"/>
    <w:rsid w:val="00E63C70"/>
    <w:rsid w:val="00E71626"/>
    <w:rsid w:val="00E72676"/>
    <w:rsid w:val="00E81CB4"/>
    <w:rsid w:val="00E8362F"/>
    <w:rsid w:val="00E83930"/>
    <w:rsid w:val="00E84585"/>
    <w:rsid w:val="00E84D76"/>
    <w:rsid w:val="00E86924"/>
    <w:rsid w:val="00E871CE"/>
    <w:rsid w:val="00E92965"/>
    <w:rsid w:val="00E9523A"/>
    <w:rsid w:val="00E96ECA"/>
    <w:rsid w:val="00EA2C5B"/>
    <w:rsid w:val="00EA5E46"/>
    <w:rsid w:val="00EA600C"/>
    <w:rsid w:val="00EB01EB"/>
    <w:rsid w:val="00EB1AE4"/>
    <w:rsid w:val="00EB23EE"/>
    <w:rsid w:val="00EB561B"/>
    <w:rsid w:val="00EB57A4"/>
    <w:rsid w:val="00EC29DF"/>
    <w:rsid w:val="00EC46F7"/>
    <w:rsid w:val="00EC4990"/>
    <w:rsid w:val="00ED46C3"/>
    <w:rsid w:val="00ED78D9"/>
    <w:rsid w:val="00EE50A0"/>
    <w:rsid w:val="00EE5E8C"/>
    <w:rsid w:val="00EF3075"/>
    <w:rsid w:val="00EF47B1"/>
    <w:rsid w:val="00EF4F4C"/>
    <w:rsid w:val="00EF5031"/>
    <w:rsid w:val="00EF63A9"/>
    <w:rsid w:val="00F07250"/>
    <w:rsid w:val="00F10FF7"/>
    <w:rsid w:val="00F113F1"/>
    <w:rsid w:val="00F1296B"/>
    <w:rsid w:val="00F15063"/>
    <w:rsid w:val="00F206EE"/>
    <w:rsid w:val="00F22B0F"/>
    <w:rsid w:val="00F23E99"/>
    <w:rsid w:val="00F24F47"/>
    <w:rsid w:val="00F25A07"/>
    <w:rsid w:val="00F266F3"/>
    <w:rsid w:val="00F26CA2"/>
    <w:rsid w:val="00F272A1"/>
    <w:rsid w:val="00F330AB"/>
    <w:rsid w:val="00F341D2"/>
    <w:rsid w:val="00F34FF0"/>
    <w:rsid w:val="00F35A97"/>
    <w:rsid w:val="00F363F8"/>
    <w:rsid w:val="00F419C0"/>
    <w:rsid w:val="00F444A2"/>
    <w:rsid w:val="00F50449"/>
    <w:rsid w:val="00F532A5"/>
    <w:rsid w:val="00F5476B"/>
    <w:rsid w:val="00F54E4D"/>
    <w:rsid w:val="00F54F9D"/>
    <w:rsid w:val="00F57212"/>
    <w:rsid w:val="00F60C3B"/>
    <w:rsid w:val="00F6115A"/>
    <w:rsid w:val="00F61406"/>
    <w:rsid w:val="00F61A0F"/>
    <w:rsid w:val="00F70267"/>
    <w:rsid w:val="00F70478"/>
    <w:rsid w:val="00F71526"/>
    <w:rsid w:val="00F75E8B"/>
    <w:rsid w:val="00F7672B"/>
    <w:rsid w:val="00F81A53"/>
    <w:rsid w:val="00F81D88"/>
    <w:rsid w:val="00F9188E"/>
    <w:rsid w:val="00F9287B"/>
    <w:rsid w:val="00F94D75"/>
    <w:rsid w:val="00F950D4"/>
    <w:rsid w:val="00FA1CF6"/>
    <w:rsid w:val="00FA2F56"/>
    <w:rsid w:val="00FA4239"/>
    <w:rsid w:val="00FA77A0"/>
    <w:rsid w:val="00FA794C"/>
    <w:rsid w:val="00FB3611"/>
    <w:rsid w:val="00FB4374"/>
    <w:rsid w:val="00FB440E"/>
    <w:rsid w:val="00FB614D"/>
    <w:rsid w:val="00FB7E1E"/>
    <w:rsid w:val="00FC580D"/>
    <w:rsid w:val="00FC6A3A"/>
    <w:rsid w:val="00FD01F8"/>
    <w:rsid w:val="00FD1A23"/>
    <w:rsid w:val="00FD4CAE"/>
    <w:rsid w:val="00FD7D90"/>
    <w:rsid w:val="00FE11AB"/>
    <w:rsid w:val="00FE5547"/>
    <w:rsid w:val="00FE5B68"/>
    <w:rsid w:val="00FE5C3E"/>
    <w:rsid w:val="00FE7473"/>
    <w:rsid w:val="00FF2783"/>
    <w:rsid w:val="00FF5DEF"/>
    <w:rsid w:val="00FF7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667848"/>
  <w14:defaultImageDpi w14:val="300"/>
  <w15:docId w15:val="{6FF2C425-90E5-A247-B029-3C2154FC2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13B"/>
    <w:pPr>
      <w:spacing w:before="120" w:after="120"/>
    </w:pPr>
    <w:rPr>
      <w:rFonts w:ascii="Arial" w:eastAsia="Times New Roman" w:hAnsi="Arial" w:cs="Times New Roman"/>
      <w:sz w:val="22"/>
      <w:lang w:val="en-GB"/>
    </w:rPr>
  </w:style>
  <w:style w:type="paragraph" w:styleId="Heading1">
    <w:name w:val="heading 1"/>
    <w:basedOn w:val="Normal"/>
    <w:next w:val="Normal"/>
    <w:link w:val="Heading1Char"/>
    <w:uiPriority w:val="9"/>
    <w:qFormat/>
    <w:rsid w:val="00735E20"/>
    <w:pPr>
      <w:outlineLvl w:val="0"/>
    </w:pPr>
    <w:rPr>
      <w:rFonts w:cs="Arial"/>
      <w:b/>
      <w:sz w:val="32"/>
      <w:szCs w:val="32"/>
    </w:rPr>
  </w:style>
  <w:style w:type="paragraph" w:styleId="Heading2">
    <w:name w:val="heading 2"/>
    <w:basedOn w:val="Normal"/>
    <w:next w:val="Normal"/>
    <w:link w:val="Heading2Char"/>
    <w:uiPriority w:val="9"/>
    <w:unhideWhenUsed/>
    <w:qFormat/>
    <w:rsid w:val="00B45A0F"/>
    <w:pPr>
      <w:outlineLvl w:val="1"/>
    </w:pPr>
    <w:rPr>
      <w:b/>
      <w:sz w:val="28"/>
      <w:szCs w:val="28"/>
    </w:rPr>
  </w:style>
  <w:style w:type="paragraph" w:styleId="Heading3">
    <w:name w:val="heading 3"/>
    <w:basedOn w:val="Normal"/>
    <w:next w:val="Normal"/>
    <w:link w:val="Heading3Char"/>
    <w:uiPriority w:val="9"/>
    <w:unhideWhenUsed/>
    <w:qFormat/>
    <w:rsid w:val="00E84D7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27C9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527C91"/>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761"/>
    <w:pPr>
      <w:tabs>
        <w:tab w:val="center" w:pos="4320"/>
        <w:tab w:val="right" w:pos="8640"/>
      </w:tabs>
    </w:pPr>
  </w:style>
  <w:style w:type="character" w:customStyle="1" w:styleId="HeaderChar">
    <w:name w:val="Header Char"/>
    <w:basedOn w:val="DefaultParagraphFont"/>
    <w:link w:val="Header"/>
    <w:uiPriority w:val="99"/>
    <w:rsid w:val="00760761"/>
  </w:style>
  <w:style w:type="paragraph" w:styleId="Footer">
    <w:name w:val="footer"/>
    <w:basedOn w:val="Normal"/>
    <w:link w:val="FooterChar"/>
    <w:uiPriority w:val="99"/>
    <w:unhideWhenUsed/>
    <w:rsid w:val="00760761"/>
    <w:pPr>
      <w:tabs>
        <w:tab w:val="center" w:pos="4320"/>
        <w:tab w:val="right" w:pos="8640"/>
      </w:tabs>
    </w:pPr>
  </w:style>
  <w:style w:type="character" w:customStyle="1" w:styleId="FooterChar">
    <w:name w:val="Footer Char"/>
    <w:basedOn w:val="DefaultParagraphFont"/>
    <w:link w:val="Footer"/>
    <w:uiPriority w:val="99"/>
    <w:rsid w:val="00760761"/>
  </w:style>
  <w:style w:type="character" w:customStyle="1" w:styleId="Heading1Char">
    <w:name w:val="Heading 1 Char"/>
    <w:basedOn w:val="DefaultParagraphFont"/>
    <w:link w:val="Heading1"/>
    <w:uiPriority w:val="9"/>
    <w:rsid w:val="00735E20"/>
    <w:rPr>
      <w:rFonts w:ascii="Arial" w:eastAsia="Times New Roman" w:hAnsi="Arial" w:cs="Arial"/>
      <w:b/>
      <w:sz w:val="32"/>
      <w:szCs w:val="32"/>
      <w:lang w:val="en-GB"/>
    </w:rPr>
  </w:style>
  <w:style w:type="character" w:customStyle="1" w:styleId="Heading2Char">
    <w:name w:val="Heading 2 Char"/>
    <w:basedOn w:val="DefaultParagraphFont"/>
    <w:link w:val="Heading2"/>
    <w:uiPriority w:val="9"/>
    <w:rsid w:val="00B45A0F"/>
    <w:rPr>
      <w:rFonts w:ascii="Arial" w:hAnsi="Arial"/>
      <w:b/>
      <w:sz w:val="28"/>
      <w:szCs w:val="28"/>
    </w:rPr>
  </w:style>
  <w:style w:type="character" w:styleId="CommentReference">
    <w:name w:val="annotation reference"/>
    <w:basedOn w:val="DefaultParagraphFont"/>
    <w:uiPriority w:val="99"/>
    <w:semiHidden/>
    <w:unhideWhenUsed/>
    <w:rsid w:val="00B45A0F"/>
    <w:rPr>
      <w:sz w:val="18"/>
      <w:szCs w:val="18"/>
    </w:rPr>
  </w:style>
  <w:style w:type="paragraph" w:styleId="CommentText">
    <w:name w:val="annotation text"/>
    <w:basedOn w:val="Normal"/>
    <w:link w:val="CommentTextChar"/>
    <w:uiPriority w:val="99"/>
    <w:unhideWhenUsed/>
    <w:rsid w:val="00B45A0F"/>
  </w:style>
  <w:style w:type="character" w:customStyle="1" w:styleId="CommentTextChar">
    <w:name w:val="Comment Text Char"/>
    <w:basedOn w:val="DefaultParagraphFont"/>
    <w:link w:val="CommentText"/>
    <w:uiPriority w:val="99"/>
    <w:rsid w:val="00B45A0F"/>
    <w:rPr>
      <w:rFonts w:ascii="Arial" w:hAnsi="Arial"/>
    </w:rPr>
  </w:style>
  <w:style w:type="paragraph" w:styleId="CommentSubject">
    <w:name w:val="annotation subject"/>
    <w:basedOn w:val="CommentText"/>
    <w:next w:val="CommentText"/>
    <w:link w:val="CommentSubjectChar"/>
    <w:uiPriority w:val="99"/>
    <w:semiHidden/>
    <w:unhideWhenUsed/>
    <w:rsid w:val="00B45A0F"/>
    <w:rPr>
      <w:b/>
      <w:bCs/>
      <w:sz w:val="20"/>
      <w:szCs w:val="20"/>
    </w:rPr>
  </w:style>
  <w:style w:type="character" w:customStyle="1" w:styleId="CommentSubjectChar">
    <w:name w:val="Comment Subject Char"/>
    <w:basedOn w:val="CommentTextChar"/>
    <w:link w:val="CommentSubject"/>
    <w:uiPriority w:val="99"/>
    <w:semiHidden/>
    <w:rsid w:val="00B45A0F"/>
    <w:rPr>
      <w:rFonts w:ascii="Arial" w:hAnsi="Arial"/>
      <w:b/>
      <w:bCs/>
      <w:sz w:val="20"/>
      <w:szCs w:val="20"/>
    </w:rPr>
  </w:style>
  <w:style w:type="paragraph" w:styleId="BalloonText">
    <w:name w:val="Balloon Text"/>
    <w:basedOn w:val="Normal"/>
    <w:link w:val="BalloonTextChar"/>
    <w:uiPriority w:val="99"/>
    <w:semiHidden/>
    <w:unhideWhenUsed/>
    <w:rsid w:val="00B45A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5A0F"/>
    <w:rPr>
      <w:rFonts w:ascii="Lucida Grande" w:hAnsi="Lucida Grande" w:cs="Lucida Grande"/>
      <w:sz w:val="18"/>
      <w:szCs w:val="18"/>
    </w:rPr>
  </w:style>
  <w:style w:type="paragraph" w:styleId="ListParagraph">
    <w:name w:val="List Paragraph"/>
    <w:basedOn w:val="Normal"/>
    <w:uiPriority w:val="34"/>
    <w:qFormat/>
    <w:rsid w:val="0038775B"/>
    <w:pPr>
      <w:ind w:left="720"/>
      <w:contextualSpacing/>
    </w:pPr>
  </w:style>
  <w:style w:type="table" w:styleId="TableGrid">
    <w:name w:val="Table Grid"/>
    <w:basedOn w:val="TableNormal"/>
    <w:uiPriority w:val="59"/>
    <w:rsid w:val="00463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7388"/>
    <w:rPr>
      <w:color w:val="0000FF" w:themeColor="hyperlink"/>
      <w:u w:val="single"/>
    </w:rPr>
  </w:style>
  <w:style w:type="character" w:styleId="PageNumber">
    <w:name w:val="page number"/>
    <w:basedOn w:val="DefaultParagraphFont"/>
    <w:uiPriority w:val="99"/>
    <w:semiHidden/>
    <w:unhideWhenUsed/>
    <w:rsid w:val="00527388"/>
  </w:style>
  <w:style w:type="paragraph" w:styleId="NormalWeb">
    <w:name w:val="Normal (Web)"/>
    <w:basedOn w:val="Normal"/>
    <w:uiPriority w:val="99"/>
    <w:unhideWhenUsed/>
    <w:rsid w:val="00910DDB"/>
    <w:pPr>
      <w:spacing w:before="100" w:beforeAutospacing="1" w:after="100" w:afterAutospacing="1"/>
    </w:pPr>
    <w:rPr>
      <w:rFonts w:eastAsiaTheme="minorHAnsi"/>
    </w:rPr>
  </w:style>
  <w:style w:type="paragraph" w:styleId="TOCHeading">
    <w:name w:val="TOC Heading"/>
    <w:basedOn w:val="Heading1"/>
    <w:next w:val="Normal"/>
    <w:uiPriority w:val="39"/>
    <w:unhideWhenUsed/>
    <w:qFormat/>
    <w:rsid w:val="00746422"/>
    <w:pPr>
      <w:keepNext/>
      <w:keepLines/>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537578"/>
    <w:pPr>
      <w:tabs>
        <w:tab w:val="right" w:pos="9735"/>
      </w:tabs>
      <w:spacing w:before="60" w:after="60"/>
      <w:ind w:left="720"/>
    </w:pPr>
    <w:rPr>
      <w:rFonts w:asciiTheme="majorHAnsi" w:hAnsiTheme="majorHAnsi"/>
      <w:b/>
      <w:bCs/>
      <w:caps/>
    </w:rPr>
  </w:style>
  <w:style w:type="paragraph" w:styleId="TOC2">
    <w:name w:val="toc 2"/>
    <w:basedOn w:val="Normal"/>
    <w:next w:val="Normal"/>
    <w:autoRedefine/>
    <w:uiPriority w:val="39"/>
    <w:unhideWhenUsed/>
    <w:rsid w:val="007D4F98"/>
    <w:pPr>
      <w:tabs>
        <w:tab w:val="right" w:leader="dot" w:pos="9735"/>
      </w:tabs>
      <w:spacing w:before="60" w:after="60"/>
      <w:ind w:left="720"/>
    </w:pPr>
    <w:rPr>
      <w:rFonts w:asciiTheme="minorHAnsi" w:hAnsiTheme="minorHAnsi"/>
      <w:b/>
      <w:bCs/>
      <w:sz w:val="20"/>
      <w:szCs w:val="20"/>
    </w:rPr>
  </w:style>
  <w:style w:type="paragraph" w:styleId="TOC3">
    <w:name w:val="toc 3"/>
    <w:basedOn w:val="Normal"/>
    <w:next w:val="Normal"/>
    <w:autoRedefine/>
    <w:uiPriority w:val="39"/>
    <w:unhideWhenUsed/>
    <w:rsid w:val="00746422"/>
    <w:pPr>
      <w:ind w:left="240"/>
    </w:pPr>
    <w:rPr>
      <w:rFonts w:asciiTheme="minorHAnsi" w:hAnsiTheme="minorHAnsi"/>
      <w:sz w:val="20"/>
      <w:szCs w:val="20"/>
    </w:rPr>
  </w:style>
  <w:style w:type="paragraph" w:styleId="TOC4">
    <w:name w:val="toc 4"/>
    <w:basedOn w:val="Normal"/>
    <w:next w:val="Normal"/>
    <w:autoRedefine/>
    <w:uiPriority w:val="39"/>
    <w:unhideWhenUsed/>
    <w:rsid w:val="00746422"/>
    <w:pPr>
      <w:ind w:left="480"/>
    </w:pPr>
    <w:rPr>
      <w:rFonts w:asciiTheme="minorHAnsi" w:hAnsiTheme="minorHAnsi"/>
      <w:sz w:val="20"/>
      <w:szCs w:val="20"/>
    </w:rPr>
  </w:style>
  <w:style w:type="paragraph" w:styleId="TOC5">
    <w:name w:val="toc 5"/>
    <w:basedOn w:val="Normal"/>
    <w:next w:val="Normal"/>
    <w:autoRedefine/>
    <w:uiPriority w:val="39"/>
    <w:unhideWhenUsed/>
    <w:rsid w:val="00746422"/>
    <w:pPr>
      <w:ind w:left="720"/>
    </w:pPr>
    <w:rPr>
      <w:rFonts w:asciiTheme="minorHAnsi" w:hAnsiTheme="minorHAnsi"/>
      <w:sz w:val="20"/>
      <w:szCs w:val="20"/>
    </w:rPr>
  </w:style>
  <w:style w:type="paragraph" w:styleId="TOC6">
    <w:name w:val="toc 6"/>
    <w:basedOn w:val="Normal"/>
    <w:next w:val="Normal"/>
    <w:autoRedefine/>
    <w:uiPriority w:val="39"/>
    <w:unhideWhenUsed/>
    <w:rsid w:val="00746422"/>
    <w:pPr>
      <w:ind w:left="960"/>
    </w:pPr>
    <w:rPr>
      <w:rFonts w:asciiTheme="minorHAnsi" w:hAnsiTheme="minorHAnsi"/>
      <w:sz w:val="20"/>
      <w:szCs w:val="20"/>
    </w:rPr>
  </w:style>
  <w:style w:type="paragraph" w:styleId="TOC7">
    <w:name w:val="toc 7"/>
    <w:basedOn w:val="Normal"/>
    <w:next w:val="Normal"/>
    <w:autoRedefine/>
    <w:uiPriority w:val="39"/>
    <w:unhideWhenUsed/>
    <w:rsid w:val="00746422"/>
    <w:pPr>
      <w:ind w:left="1200"/>
    </w:pPr>
    <w:rPr>
      <w:rFonts w:asciiTheme="minorHAnsi" w:hAnsiTheme="minorHAnsi"/>
      <w:sz w:val="20"/>
      <w:szCs w:val="20"/>
    </w:rPr>
  </w:style>
  <w:style w:type="paragraph" w:styleId="TOC8">
    <w:name w:val="toc 8"/>
    <w:basedOn w:val="Normal"/>
    <w:next w:val="Normal"/>
    <w:autoRedefine/>
    <w:uiPriority w:val="39"/>
    <w:unhideWhenUsed/>
    <w:rsid w:val="00746422"/>
    <w:pPr>
      <w:ind w:left="1440"/>
    </w:pPr>
    <w:rPr>
      <w:rFonts w:asciiTheme="minorHAnsi" w:hAnsiTheme="minorHAnsi"/>
      <w:sz w:val="20"/>
      <w:szCs w:val="20"/>
    </w:rPr>
  </w:style>
  <w:style w:type="paragraph" w:styleId="TOC9">
    <w:name w:val="toc 9"/>
    <w:basedOn w:val="Normal"/>
    <w:next w:val="Normal"/>
    <w:autoRedefine/>
    <w:uiPriority w:val="39"/>
    <w:unhideWhenUsed/>
    <w:rsid w:val="00746422"/>
    <w:pPr>
      <w:ind w:left="1680"/>
    </w:pPr>
    <w:rPr>
      <w:rFonts w:asciiTheme="minorHAnsi" w:hAnsiTheme="minorHAnsi"/>
      <w:sz w:val="20"/>
      <w:szCs w:val="20"/>
    </w:rPr>
  </w:style>
  <w:style w:type="character" w:styleId="FollowedHyperlink">
    <w:name w:val="FollowedHyperlink"/>
    <w:basedOn w:val="DefaultParagraphFont"/>
    <w:uiPriority w:val="99"/>
    <w:semiHidden/>
    <w:unhideWhenUsed/>
    <w:rsid w:val="00B054A1"/>
    <w:rPr>
      <w:color w:val="800080" w:themeColor="followedHyperlink"/>
      <w:u w:val="single"/>
    </w:rPr>
  </w:style>
  <w:style w:type="character" w:styleId="UnresolvedMention">
    <w:name w:val="Unresolved Mention"/>
    <w:basedOn w:val="DefaultParagraphFont"/>
    <w:uiPriority w:val="99"/>
    <w:semiHidden/>
    <w:unhideWhenUsed/>
    <w:rsid w:val="00AE243E"/>
    <w:rPr>
      <w:color w:val="605E5C"/>
      <w:shd w:val="clear" w:color="auto" w:fill="E1DFDD"/>
    </w:rPr>
  </w:style>
  <w:style w:type="paragraph" w:styleId="NoSpacing">
    <w:name w:val="No Spacing"/>
    <w:uiPriority w:val="1"/>
    <w:qFormat/>
    <w:rsid w:val="00AE243E"/>
    <w:rPr>
      <w:rFonts w:ascii="Calibri" w:eastAsia="Calibri" w:hAnsi="Calibri" w:cs="Times New Roman"/>
      <w:sz w:val="22"/>
      <w:szCs w:val="22"/>
      <w:lang w:val="en-GB"/>
    </w:rPr>
  </w:style>
  <w:style w:type="character" w:customStyle="1" w:styleId="Heading3Char">
    <w:name w:val="Heading 3 Char"/>
    <w:basedOn w:val="DefaultParagraphFont"/>
    <w:link w:val="Heading3"/>
    <w:uiPriority w:val="9"/>
    <w:rsid w:val="00E84D76"/>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527C91"/>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rsid w:val="00527C91"/>
    <w:rPr>
      <w:rFonts w:asciiTheme="majorHAnsi" w:eastAsiaTheme="majorEastAsia" w:hAnsiTheme="majorHAnsi" w:cstheme="majorBidi"/>
      <w:color w:val="365F91" w:themeColor="accent1" w:themeShade="BF"/>
      <w:lang w:val="en-GB"/>
    </w:rPr>
  </w:style>
  <w:style w:type="character" w:styleId="Emphasis">
    <w:name w:val="Emphasis"/>
    <w:uiPriority w:val="20"/>
    <w:qFormat/>
    <w:rsid w:val="00527C91"/>
    <w:rPr>
      <w:i/>
      <w:iCs/>
    </w:rPr>
  </w:style>
  <w:style w:type="character" w:customStyle="1" w:styleId="apple-converted-space">
    <w:name w:val="apple-converted-space"/>
    <w:basedOn w:val="DefaultParagraphFont"/>
    <w:rsid w:val="00527C91"/>
  </w:style>
  <w:style w:type="paragraph" w:styleId="Revision">
    <w:name w:val="Revision"/>
    <w:hidden/>
    <w:uiPriority w:val="99"/>
    <w:semiHidden/>
    <w:rsid w:val="00527C91"/>
    <w:rPr>
      <w:rFonts w:eastAsiaTheme="minorHAnsi"/>
      <w:lang w:val="en-GB"/>
    </w:rPr>
  </w:style>
  <w:style w:type="character" w:customStyle="1" w:styleId="UnresolvedMention1">
    <w:name w:val="Unresolved Mention1"/>
    <w:basedOn w:val="DefaultParagraphFont"/>
    <w:uiPriority w:val="99"/>
    <w:semiHidden/>
    <w:unhideWhenUsed/>
    <w:rsid w:val="00527C91"/>
    <w:rPr>
      <w:color w:val="605E5C"/>
      <w:shd w:val="clear" w:color="auto" w:fill="E1DFDD"/>
    </w:rPr>
  </w:style>
  <w:style w:type="paragraph" w:customStyle="1" w:styleId="bulletindent1">
    <w:name w:val="bulletindent1"/>
    <w:basedOn w:val="Normal"/>
    <w:rsid w:val="00527C91"/>
    <w:pPr>
      <w:spacing w:before="100" w:beforeAutospacing="1" w:after="100" w:afterAutospacing="1"/>
    </w:pPr>
    <w:rPr>
      <w:lang w:eastAsia="en-GB"/>
    </w:rPr>
  </w:style>
  <w:style w:type="character" w:customStyle="1" w:styleId="glyph">
    <w:name w:val="glyph"/>
    <w:basedOn w:val="DefaultParagraphFont"/>
    <w:rsid w:val="00527C91"/>
  </w:style>
  <w:style w:type="character" w:customStyle="1" w:styleId="highwire-citation-authors">
    <w:name w:val="highwire-citation-authors"/>
    <w:basedOn w:val="DefaultParagraphFont"/>
    <w:rsid w:val="00527C91"/>
  </w:style>
  <w:style w:type="character" w:customStyle="1" w:styleId="highwire-citation-author">
    <w:name w:val="highwire-citation-author"/>
    <w:basedOn w:val="DefaultParagraphFont"/>
    <w:rsid w:val="00527C91"/>
  </w:style>
  <w:style w:type="character" w:customStyle="1" w:styleId="nlm-surname">
    <w:name w:val="nlm-surname"/>
    <w:basedOn w:val="DefaultParagraphFont"/>
    <w:rsid w:val="00527C91"/>
  </w:style>
  <w:style w:type="character" w:customStyle="1" w:styleId="citation-et">
    <w:name w:val="citation-et"/>
    <w:basedOn w:val="DefaultParagraphFont"/>
    <w:rsid w:val="00527C91"/>
  </w:style>
  <w:style w:type="character" w:customStyle="1" w:styleId="highwire-cite-metadata-journal">
    <w:name w:val="highwire-cite-metadata-journal"/>
    <w:basedOn w:val="DefaultParagraphFont"/>
    <w:rsid w:val="00527C91"/>
  </w:style>
  <w:style w:type="character" w:customStyle="1" w:styleId="highwire-cite-metadata-year">
    <w:name w:val="highwire-cite-metadata-year"/>
    <w:basedOn w:val="DefaultParagraphFont"/>
    <w:rsid w:val="00527C91"/>
  </w:style>
  <w:style w:type="character" w:customStyle="1" w:styleId="highwire-cite-metadata-volume">
    <w:name w:val="highwire-cite-metadata-volume"/>
    <w:basedOn w:val="DefaultParagraphFont"/>
    <w:rsid w:val="00527C91"/>
  </w:style>
  <w:style w:type="character" w:customStyle="1" w:styleId="highwire-cite-metadata-elocation-id">
    <w:name w:val="highwire-cite-metadata-elocation-id"/>
    <w:basedOn w:val="DefaultParagraphFont"/>
    <w:rsid w:val="00527C91"/>
  </w:style>
  <w:style w:type="table" w:styleId="GridTable6Colorful-Accent1">
    <w:name w:val="Grid Table 6 Colorful Accent 1"/>
    <w:basedOn w:val="TableNormal"/>
    <w:uiPriority w:val="51"/>
    <w:rsid w:val="00527C91"/>
    <w:rPr>
      <w:rFonts w:eastAsiaTheme="minorHAnsi"/>
      <w:color w:val="365F91" w:themeColor="accent1" w:themeShade="BF"/>
      <w:lang w:val="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527C91"/>
    <w:rPr>
      <w:rFonts w:eastAsiaTheme="minorHAnsi"/>
      <w:lang w:val="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
    <w:name w:val="Grid Table 6 Colorful"/>
    <w:basedOn w:val="TableNormal"/>
    <w:uiPriority w:val="51"/>
    <w:rsid w:val="00527C91"/>
    <w:rPr>
      <w:rFonts w:eastAsiaTheme="minorHAnsi"/>
      <w:color w:val="000000" w:themeColor="text1"/>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527C91"/>
    <w:rPr>
      <w:rFonts w:eastAsiaTheme="minorHAnsi"/>
      <w:color w:val="365F91" w:themeColor="accent1" w:themeShade="BF"/>
      <w:lang w:val="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527C91"/>
    <w:rPr>
      <w:rFonts w:eastAsiaTheme="minorHAnsi"/>
      <w:lang w:val="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1">
    <w:name w:val="Grid Table 6 Colorful1"/>
    <w:basedOn w:val="TableNormal"/>
    <w:uiPriority w:val="51"/>
    <w:rsid w:val="00527C91"/>
    <w:rPr>
      <w:rFonts w:eastAsiaTheme="minorHAnsi"/>
      <w:color w:val="000000" w:themeColor="text1"/>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roduct-title">
    <w:name w:val="product-title"/>
    <w:basedOn w:val="Normal"/>
    <w:rsid w:val="00354B02"/>
    <w:pPr>
      <w:spacing w:before="100" w:beforeAutospacing="1" w:after="100" w:afterAutospacing="1"/>
    </w:pPr>
    <w:rPr>
      <w:lang w:eastAsia="en-GB"/>
    </w:rPr>
  </w:style>
  <w:style w:type="character" w:customStyle="1" w:styleId="prod-title">
    <w:name w:val="prod-title"/>
    <w:basedOn w:val="DefaultParagraphFont"/>
    <w:rsid w:val="00354B02"/>
  </w:style>
  <w:style w:type="character" w:customStyle="1" w:styleId="published-date">
    <w:name w:val="published-date"/>
    <w:basedOn w:val="DefaultParagraphFont"/>
    <w:rsid w:val="00354B02"/>
  </w:style>
  <w:style w:type="character" w:styleId="Strong">
    <w:name w:val="Strong"/>
    <w:basedOn w:val="DefaultParagraphFont"/>
    <w:uiPriority w:val="22"/>
    <w:qFormat/>
    <w:rsid w:val="00483318"/>
    <w:rPr>
      <w:b/>
      <w:bCs/>
    </w:rPr>
  </w:style>
  <w:style w:type="paragraph" w:customStyle="1" w:styleId="pf0">
    <w:name w:val="pf0"/>
    <w:basedOn w:val="Normal"/>
    <w:rsid w:val="002E0A78"/>
    <w:pPr>
      <w:spacing w:before="100" w:beforeAutospacing="1" w:after="100" w:afterAutospacing="1"/>
    </w:pPr>
    <w:rPr>
      <w:rFonts w:ascii="Times New Roman" w:hAnsi="Times New Roman"/>
      <w:sz w:val="24"/>
      <w:lang w:eastAsia="en-GB"/>
    </w:rPr>
  </w:style>
  <w:style w:type="character" w:customStyle="1" w:styleId="cf01">
    <w:name w:val="cf01"/>
    <w:basedOn w:val="DefaultParagraphFont"/>
    <w:rsid w:val="002E0A7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20194">
      <w:bodyDiv w:val="1"/>
      <w:marLeft w:val="0"/>
      <w:marRight w:val="0"/>
      <w:marTop w:val="0"/>
      <w:marBottom w:val="0"/>
      <w:divBdr>
        <w:top w:val="none" w:sz="0" w:space="0" w:color="auto"/>
        <w:left w:val="none" w:sz="0" w:space="0" w:color="auto"/>
        <w:bottom w:val="none" w:sz="0" w:space="0" w:color="auto"/>
        <w:right w:val="none" w:sz="0" w:space="0" w:color="auto"/>
      </w:divBdr>
    </w:div>
    <w:div w:id="146942807">
      <w:bodyDiv w:val="1"/>
      <w:marLeft w:val="0"/>
      <w:marRight w:val="0"/>
      <w:marTop w:val="0"/>
      <w:marBottom w:val="0"/>
      <w:divBdr>
        <w:top w:val="none" w:sz="0" w:space="0" w:color="auto"/>
        <w:left w:val="none" w:sz="0" w:space="0" w:color="auto"/>
        <w:bottom w:val="none" w:sz="0" w:space="0" w:color="auto"/>
        <w:right w:val="none" w:sz="0" w:space="0" w:color="auto"/>
      </w:divBdr>
    </w:div>
    <w:div w:id="159392506">
      <w:bodyDiv w:val="1"/>
      <w:marLeft w:val="0"/>
      <w:marRight w:val="0"/>
      <w:marTop w:val="0"/>
      <w:marBottom w:val="0"/>
      <w:divBdr>
        <w:top w:val="none" w:sz="0" w:space="0" w:color="auto"/>
        <w:left w:val="none" w:sz="0" w:space="0" w:color="auto"/>
        <w:bottom w:val="none" w:sz="0" w:space="0" w:color="auto"/>
        <w:right w:val="none" w:sz="0" w:space="0" w:color="auto"/>
      </w:divBdr>
    </w:div>
    <w:div w:id="196935900">
      <w:bodyDiv w:val="1"/>
      <w:marLeft w:val="0"/>
      <w:marRight w:val="0"/>
      <w:marTop w:val="0"/>
      <w:marBottom w:val="0"/>
      <w:divBdr>
        <w:top w:val="none" w:sz="0" w:space="0" w:color="auto"/>
        <w:left w:val="none" w:sz="0" w:space="0" w:color="auto"/>
        <w:bottom w:val="none" w:sz="0" w:space="0" w:color="auto"/>
        <w:right w:val="none" w:sz="0" w:space="0" w:color="auto"/>
      </w:divBdr>
    </w:div>
    <w:div w:id="275332468">
      <w:bodyDiv w:val="1"/>
      <w:marLeft w:val="0"/>
      <w:marRight w:val="0"/>
      <w:marTop w:val="0"/>
      <w:marBottom w:val="0"/>
      <w:divBdr>
        <w:top w:val="none" w:sz="0" w:space="0" w:color="auto"/>
        <w:left w:val="none" w:sz="0" w:space="0" w:color="auto"/>
        <w:bottom w:val="none" w:sz="0" w:space="0" w:color="auto"/>
        <w:right w:val="none" w:sz="0" w:space="0" w:color="auto"/>
      </w:divBdr>
    </w:div>
    <w:div w:id="465850832">
      <w:bodyDiv w:val="1"/>
      <w:marLeft w:val="0"/>
      <w:marRight w:val="0"/>
      <w:marTop w:val="0"/>
      <w:marBottom w:val="0"/>
      <w:divBdr>
        <w:top w:val="none" w:sz="0" w:space="0" w:color="auto"/>
        <w:left w:val="none" w:sz="0" w:space="0" w:color="auto"/>
        <w:bottom w:val="none" w:sz="0" w:space="0" w:color="auto"/>
        <w:right w:val="none" w:sz="0" w:space="0" w:color="auto"/>
      </w:divBdr>
    </w:div>
    <w:div w:id="481852606">
      <w:bodyDiv w:val="1"/>
      <w:marLeft w:val="0"/>
      <w:marRight w:val="0"/>
      <w:marTop w:val="0"/>
      <w:marBottom w:val="0"/>
      <w:divBdr>
        <w:top w:val="none" w:sz="0" w:space="0" w:color="auto"/>
        <w:left w:val="none" w:sz="0" w:space="0" w:color="auto"/>
        <w:bottom w:val="none" w:sz="0" w:space="0" w:color="auto"/>
        <w:right w:val="none" w:sz="0" w:space="0" w:color="auto"/>
      </w:divBdr>
    </w:div>
    <w:div w:id="691538049">
      <w:bodyDiv w:val="1"/>
      <w:marLeft w:val="0"/>
      <w:marRight w:val="0"/>
      <w:marTop w:val="0"/>
      <w:marBottom w:val="0"/>
      <w:divBdr>
        <w:top w:val="none" w:sz="0" w:space="0" w:color="auto"/>
        <w:left w:val="none" w:sz="0" w:space="0" w:color="auto"/>
        <w:bottom w:val="none" w:sz="0" w:space="0" w:color="auto"/>
        <w:right w:val="none" w:sz="0" w:space="0" w:color="auto"/>
      </w:divBdr>
    </w:div>
    <w:div w:id="705567126">
      <w:bodyDiv w:val="1"/>
      <w:marLeft w:val="0"/>
      <w:marRight w:val="0"/>
      <w:marTop w:val="0"/>
      <w:marBottom w:val="0"/>
      <w:divBdr>
        <w:top w:val="none" w:sz="0" w:space="0" w:color="auto"/>
        <w:left w:val="none" w:sz="0" w:space="0" w:color="auto"/>
        <w:bottom w:val="none" w:sz="0" w:space="0" w:color="auto"/>
        <w:right w:val="none" w:sz="0" w:space="0" w:color="auto"/>
      </w:divBdr>
    </w:div>
    <w:div w:id="713889728">
      <w:bodyDiv w:val="1"/>
      <w:marLeft w:val="0"/>
      <w:marRight w:val="0"/>
      <w:marTop w:val="0"/>
      <w:marBottom w:val="0"/>
      <w:divBdr>
        <w:top w:val="none" w:sz="0" w:space="0" w:color="auto"/>
        <w:left w:val="none" w:sz="0" w:space="0" w:color="auto"/>
        <w:bottom w:val="none" w:sz="0" w:space="0" w:color="auto"/>
        <w:right w:val="none" w:sz="0" w:space="0" w:color="auto"/>
      </w:divBdr>
    </w:div>
    <w:div w:id="748309696">
      <w:bodyDiv w:val="1"/>
      <w:marLeft w:val="0"/>
      <w:marRight w:val="0"/>
      <w:marTop w:val="0"/>
      <w:marBottom w:val="0"/>
      <w:divBdr>
        <w:top w:val="none" w:sz="0" w:space="0" w:color="auto"/>
        <w:left w:val="none" w:sz="0" w:space="0" w:color="auto"/>
        <w:bottom w:val="none" w:sz="0" w:space="0" w:color="auto"/>
        <w:right w:val="none" w:sz="0" w:space="0" w:color="auto"/>
      </w:divBdr>
    </w:div>
    <w:div w:id="752043979">
      <w:bodyDiv w:val="1"/>
      <w:marLeft w:val="0"/>
      <w:marRight w:val="0"/>
      <w:marTop w:val="0"/>
      <w:marBottom w:val="0"/>
      <w:divBdr>
        <w:top w:val="none" w:sz="0" w:space="0" w:color="auto"/>
        <w:left w:val="none" w:sz="0" w:space="0" w:color="auto"/>
        <w:bottom w:val="none" w:sz="0" w:space="0" w:color="auto"/>
        <w:right w:val="none" w:sz="0" w:space="0" w:color="auto"/>
      </w:divBdr>
    </w:div>
    <w:div w:id="779110895">
      <w:bodyDiv w:val="1"/>
      <w:marLeft w:val="0"/>
      <w:marRight w:val="0"/>
      <w:marTop w:val="0"/>
      <w:marBottom w:val="0"/>
      <w:divBdr>
        <w:top w:val="none" w:sz="0" w:space="0" w:color="auto"/>
        <w:left w:val="none" w:sz="0" w:space="0" w:color="auto"/>
        <w:bottom w:val="none" w:sz="0" w:space="0" w:color="auto"/>
        <w:right w:val="none" w:sz="0" w:space="0" w:color="auto"/>
      </w:divBdr>
    </w:div>
    <w:div w:id="843932102">
      <w:bodyDiv w:val="1"/>
      <w:marLeft w:val="0"/>
      <w:marRight w:val="0"/>
      <w:marTop w:val="0"/>
      <w:marBottom w:val="0"/>
      <w:divBdr>
        <w:top w:val="none" w:sz="0" w:space="0" w:color="auto"/>
        <w:left w:val="none" w:sz="0" w:space="0" w:color="auto"/>
        <w:bottom w:val="none" w:sz="0" w:space="0" w:color="auto"/>
        <w:right w:val="none" w:sz="0" w:space="0" w:color="auto"/>
      </w:divBdr>
    </w:div>
    <w:div w:id="850989644">
      <w:bodyDiv w:val="1"/>
      <w:marLeft w:val="0"/>
      <w:marRight w:val="0"/>
      <w:marTop w:val="0"/>
      <w:marBottom w:val="0"/>
      <w:divBdr>
        <w:top w:val="none" w:sz="0" w:space="0" w:color="auto"/>
        <w:left w:val="none" w:sz="0" w:space="0" w:color="auto"/>
        <w:bottom w:val="none" w:sz="0" w:space="0" w:color="auto"/>
        <w:right w:val="none" w:sz="0" w:space="0" w:color="auto"/>
      </w:divBdr>
    </w:div>
    <w:div w:id="906574414">
      <w:bodyDiv w:val="1"/>
      <w:marLeft w:val="0"/>
      <w:marRight w:val="0"/>
      <w:marTop w:val="0"/>
      <w:marBottom w:val="0"/>
      <w:divBdr>
        <w:top w:val="none" w:sz="0" w:space="0" w:color="auto"/>
        <w:left w:val="none" w:sz="0" w:space="0" w:color="auto"/>
        <w:bottom w:val="none" w:sz="0" w:space="0" w:color="auto"/>
        <w:right w:val="none" w:sz="0" w:space="0" w:color="auto"/>
      </w:divBdr>
    </w:div>
    <w:div w:id="1014696069">
      <w:bodyDiv w:val="1"/>
      <w:marLeft w:val="0"/>
      <w:marRight w:val="0"/>
      <w:marTop w:val="0"/>
      <w:marBottom w:val="0"/>
      <w:divBdr>
        <w:top w:val="none" w:sz="0" w:space="0" w:color="auto"/>
        <w:left w:val="none" w:sz="0" w:space="0" w:color="auto"/>
        <w:bottom w:val="none" w:sz="0" w:space="0" w:color="auto"/>
        <w:right w:val="none" w:sz="0" w:space="0" w:color="auto"/>
      </w:divBdr>
      <w:divsChild>
        <w:div w:id="2048286908">
          <w:marLeft w:val="0"/>
          <w:marRight w:val="0"/>
          <w:marTop w:val="0"/>
          <w:marBottom w:val="0"/>
          <w:divBdr>
            <w:top w:val="none" w:sz="0" w:space="0" w:color="auto"/>
            <w:left w:val="none" w:sz="0" w:space="0" w:color="auto"/>
            <w:bottom w:val="none" w:sz="0" w:space="0" w:color="auto"/>
            <w:right w:val="none" w:sz="0" w:space="0" w:color="auto"/>
          </w:divBdr>
          <w:divsChild>
            <w:div w:id="1446577305">
              <w:marLeft w:val="0"/>
              <w:marRight w:val="0"/>
              <w:marTop w:val="0"/>
              <w:marBottom w:val="0"/>
              <w:divBdr>
                <w:top w:val="none" w:sz="0" w:space="0" w:color="auto"/>
                <w:left w:val="none" w:sz="0" w:space="0" w:color="auto"/>
                <w:bottom w:val="none" w:sz="0" w:space="0" w:color="auto"/>
                <w:right w:val="none" w:sz="0" w:space="0" w:color="auto"/>
              </w:divBdr>
              <w:divsChild>
                <w:div w:id="112573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25962">
      <w:bodyDiv w:val="1"/>
      <w:marLeft w:val="0"/>
      <w:marRight w:val="0"/>
      <w:marTop w:val="0"/>
      <w:marBottom w:val="0"/>
      <w:divBdr>
        <w:top w:val="none" w:sz="0" w:space="0" w:color="auto"/>
        <w:left w:val="none" w:sz="0" w:space="0" w:color="auto"/>
        <w:bottom w:val="none" w:sz="0" w:space="0" w:color="auto"/>
        <w:right w:val="none" w:sz="0" w:space="0" w:color="auto"/>
      </w:divBdr>
    </w:div>
    <w:div w:id="1113136860">
      <w:bodyDiv w:val="1"/>
      <w:marLeft w:val="0"/>
      <w:marRight w:val="0"/>
      <w:marTop w:val="0"/>
      <w:marBottom w:val="0"/>
      <w:divBdr>
        <w:top w:val="none" w:sz="0" w:space="0" w:color="auto"/>
        <w:left w:val="none" w:sz="0" w:space="0" w:color="auto"/>
        <w:bottom w:val="none" w:sz="0" w:space="0" w:color="auto"/>
        <w:right w:val="none" w:sz="0" w:space="0" w:color="auto"/>
      </w:divBdr>
    </w:div>
    <w:div w:id="1116406413">
      <w:bodyDiv w:val="1"/>
      <w:marLeft w:val="0"/>
      <w:marRight w:val="0"/>
      <w:marTop w:val="0"/>
      <w:marBottom w:val="0"/>
      <w:divBdr>
        <w:top w:val="none" w:sz="0" w:space="0" w:color="auto"/>
        <w:left w:val="none" w:sz="0" w:space="0" w:color="auto"/>
        <w:bottom w:val="none" w:sz="0" w:space="0" w:color="auto"/>
        <w:right w:val="none" w:sz="0" w:space="0" w:color="auto"/>
      </w:divBdr>
      <w:divsChild>
        <w:div w:id="1906799966">
          <w:marLeft w:val="0"/>
          <w:marRight w:val="0"/>
          <w:marTop w:val="0"/>
          <w:marBottom w:val="0"/>
          <w:divBdr>
            <w:top w:val="none" w:sz="0" w:space="0" w:color="auto"/>
            <w:left w:val="none" w:sz="0" w:space="0" w:color="auto"/>
            <w:bottom w:val="none" w:sz="0" w:space="0" w:color="auto"/>
            <w:right w:val="none" w:sz="0" w:space="0" w:color="auto"/>
          </w:divBdr>
          <w:divsChild>
            <w:div w:id="15118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40749">
      <w:bodyDiv w:val="1"/>
      <w:marLeft w:val="0"/>
      <w:marRight w:val="0"/>
      <w:marTop w:val="0"/>
      <w:marBottom w:val="0"/>
      <w:divBdr>
        <w:top w:val="none" w:sz="0" w:space="0" w:color="auto"/>
        <w:left w:val="none" w:sz="0" w:space="0" w:color="auto"/>
        <w:bottom w:val="none" w:sz="0" w:space="0" w:color="auto"/>
        <w:right w:val="none" w:sz="0" w:space="0" w:color="auto"/>
      </w:divBdr>
    </w:div>
    <w:div w:id="1172640418">
      <w:bodyDiv w:val="1"/>
      <w:marLeft w:val="0"/>
      <w:marRight w:val="0"/>
      <w:marTop w:val="0"/>
      <w:marBottom w:val="0"/>
      <w:divBdr>
        <w:top w:val="none" w:sz="0" w:space="0" w:color="auto"/>
        <w:left w:val="none" w:sz="0" w:space="0" w:color="auto"/>
        <w:bottom w:val="none" w:sz="0" w:space="0" w:color="auto"/>
        <w:right w:val="none" w:sz="0" w:space="0" w:color="auto"/>
      </w:divBdr>
    </w:div>
    <w:div w:id="1207059413">
      <w:bodyDiv w:val="1"/>
      <w:marLeft w:val="0"/>
      <w:marRight w:val="0"/>
      <w:marTop w:val="0"/>
      <w:marBottom w:val="0"/>
      <w:divBdr>
        <w:top w:val="none" w:sz="0" w:space="0" w:color="auto"/>
        <w:left w:val="none" w:sz="0" w:space="0" w:color="auto"/>
        <w:bottom w:val="none" w:sz="0" w:space="0" w:color="auto"/>
        <w:right w:val="none" w:sz="0" w:space="0" w:color="auto"/>
      </w:divBdr>
    </w:div>
    <w:div w:id="1234462119">
      <w:bodyDiv w:val="1"/>
      <w:marLeft w:val="0"/>
      <w:marRight w:val="0"/>
      <w:marTop w:val="0"/>
      <w:marBottom w:val="0"/>
      <w:divBdr>
        <w:top w:val="none" w:sz="0" w:space="0" w:color="auto"/>
        <w:left w:val="none" w:sz="0" w:space="0" w:color="auto"/>
        <w:bottom w:val="none" w:sz="0" w:space="0" w:color="auto"/>
        <w:right w:val="none" w:sz="0" w:space="0" w:color="auto"/>
      </w:divBdr>
    </w:div>
    <w:div w:id="1258372344">
      <w:bodyDiv w:val="1"/>
      <w:marLeft w:val="0"/>
      <w:marRight w:val="0"/>
      <w:marTop w:val="0"/>
      <w:marBottom w:val="0"/>
      <w:divBdr>
        <w:top w:val="none" w:sz="0" w:space="0" w:color="auto"/>
        <w:left w:val="none" w:sz="0" w:space="0" w:color="auto"/>
        <w:bottom w:val="none" w:sz="0" w:space="0" w:color="auto"/>
        <w:right w:val="none" w:sz="0" w:space="0" w:color="auto"/>
      </w:divBdr>
    </w:div>
    <w:div w:id="1352608374">
      <w:bodyDiv w:val="1"/>
      <w:marLeft w:val="0"/>
      <w:marRight w:val="0"/>
      <w:marTop w:val="0"/>
      <w:marBottom w:val="0"/>
      <w:divBdr>
        <w:top w:val="none" w:sz="0" w:space="0" w:color="auto"/>
        <w:left w:val="none" w:sz="0" w:space="0" w:color="auto"/>
        <w:bottom w:val="none" w:sz="0" w:space="0" w:color="auto"/>
        <w:right w:val="none" w:sz="0" w:space="0" w:color="auto"/>
      </w:divBdr>
    </w:div>
    <w:div w:id="1372461028">
      <w:bodyDiv w:val="1"/>
      <w:marLeft w:val="0"/>
      <w:marRight w:val="0"/>
      <w:marTop w:val="0"/>
      <w:marBottom w:val="0"/>
      <w:divBdr>
        <w:top w:val="none" w:sz="0" w:space="0" w:color="auto"/>
        <w:left w:val="none" w:sz="0" w:space="0" w:color="auto"/>
        <w:bottom w:val="none" w:sz="0" w:space="0" w:color="auto"/>
        <w:right w:val="none" w:sz="0" w:space="0" w:color="auto"/>
      </w:divBdr>
    </w:div>
    <w:div w:id="1377588664">
      <w:bodyDiv w:val="1"/>
      <w:marLeft w:val="0"/>
      <w:marRight w:val="0"/>
      <w:marTop w:val="0"/>
      <w:marBottom w:val="0"/>
      <w:divBdr>
        <w:top w:val="none" w:sz="0" w:space="0" w:color="auto"/>
        <w:left w:val="none" w:sz="0" w:space="0" w:color="auto"/>
        <w:bottom w:val="none" w:sz="0" w:space="0" w:color="auto"/>
        <w:right w:val="none" w:sz="0" w:space="0" w:color="auto"/>
      </w:divBdr>
    </w:div>
    <w:div w:id="1393851456">
      <w:bodyDiv w:val="1"/>
      <w:marLeft w:val="0"/>
      <w:marRight w:val="0"/>
      <w:marTop w:val="0"/>
      <w:marBottom w:val="0"/>
      <w:divBdr>
        <w:top w:val="none" w:sz="0" w:space="0" w:color="auto"/>
        <w:left w:val="none" w:sz="0" w:space="0" w:color="auto"/>
        <w:bottom w:val="none" w:sz="0" w:space="0" w:color="auto"/>
        <w:right w:val="none" w:sz="0" w:space="0" w:color="auto"/>
      </w:divBdr>
    </w:div>
    <w:div w:id="1613392919">
      <w:bodyDiv w:val="1"/>
      <w:marLeft w:val="0"/>
      <w:marRight w:val="0"/>
      <w:marTop w:val="0"/>
      <w:marBottom w:val="0"/>
      <w:divBdr>
        <w:top w:val="none" w:sz="0" w:space="0" w:color="auto"/>
        <w:left w:val="none" w:sz="0" w:space="0" w:color="auto"/>
        <w:bottom w:val="none" w:sz="0" w:space="0" w:color="auto"/>
        <w:right w:val="none" w:sz="0" w:space="0" w:color="auto"/>
      </w:divBdr>
    </w:div>
    <w:div w:id="1639070169">
      <w:bodyDiv w:val="1"/>
      <w:marLeft w:val="0"/>
      <w:marRight w:val="0"/>
      <w:marTop w:val="0"/>
      <w:marBottom w:val="0"/>
      <w:divBdr>
        <w:top w:val="none" w:sz="0" w:space="0" w:color="auto"/>
        <w:left w:val="none" w:sz="0" w:space="0" w:color="auto"/>
        <w:bottom w:val="none" w:sz="0" w:space="0" w:color="auto"/>
        <w:right w:val="none" w:sz="0" w:space="0" w:color="auto"/>
      </w:divBdr>
    </w:div>
    <w:div w:id="1648850927">
      <w:bodyDiv w:val="1"/>
      <w:marLeft w:val="0"/>
      <w:marRight w:val="0"/>
      <w:marTop w:val="0"/>
      <w:marBottom w:val="0"/>
      <w:divBdr>
        <w:top w:val="none" w:sz="0" w:space="0" w:color="auto"/>
        <w:left w:val="none" w:sz="0" w:space="0" w:color="auto"/>
        <w:bottom w:val="none" w:sz="0" w:space="0" w:color="auto"/>
        <w:right w:val="none" w:sz="0" w:space="0" w:color="auto"/>
      </w:divBdr>
    </w:div>
    <w:div w:id="1680041318">
      <w:bodyDiv w:val="1"/>
      <w:marLeft w:val="0"/>
      <w:marRight w:val="0"/>
      <w:marTop w:val="0"/>
      <w:marBottom w:val="0"/>
      <w:divBdr>
        <w:top w:val="none" w:sz="0" w:space="0" w:color="auto"/>
        <w:left w:val="none" w:sz="0" w:space="0" w:color="auto"/>
        <w:bottom w:val="none" w:sz="0" w:space="0" w:color="auto"/>
        <w:right w:val="none" w:sz="0" w:space="0" w:color="auto"/>
      </w:divBdr>
    </w:div>
    <w:div w:id="1818955320">
      <w:bodyDiv w:val="1"/>
      <w:marLeft w:val="0"/>
      <w:marRight w:val="0"/>
      <w:marTop w:val="0"/>
      <w:marBottom w:val="0"/>
      <w:divBdr>
        <w:top w:val="none" w:sz="0" w:space="0" w:color="auto"/>
        <w:left w:val="none" w:sz="0" w:space="0" w:color="auto"/>
        <w:bottom w:val="none" w:sz="0" w:space="0" w:color="auto"/>
        <w:right w:val="none" w:sz="0" w:space="0" w:color="auto"/>
      </w:divBdr>
    </w:div>
    <w:div w:id="1827815567">
      <w:bodyDiv w:val="1"/>
      <w:marLeft w:val="0"/>
      <w:marRight w:val="0"/>
      <w:marTop w:val="0"/>
      <w:marBottom w:val="0"/>
      <w:divBdr>
        <w:top w:val="none" w:sz="0" w:space="0" w:color="auto"/>
        <w:left w:val="none" w:sz="0" w:space="0" w:color="auto"/>
        <w:bottom w:val="none" w:sz="0" w:space="0" w:color="auto"/>
        <w:right w:val="none" w:sz="0" w:space="0" w:color="auto"/>
      </w:divBdr>
    </w:div>
    <w:div w:id="1828007749">
      <w:bodyDiv w:val="1"/>
      <w:marLeft w:val="0"/>
      <w:marRight w:val="0"/>
      <w:marTop w:val="0"/>
      <w:marBottom w:val="0"/>
      <w:divBdr>
        <w:top w:val="none" w:sz="0" w:space="0" w:color="auto"/>
        <w:left w:val="none" w:sz="0" w:space="0" w:color="auto"/>
        <w:bottom w:val="none" w:sz="0" w:space="0" w:color="auto"/>
        <w:right w:val="none" w:sz="0" w:space="0" w:color="auto"/>
      </w:divBdr>
    </w:div>
    <w:div w:id="1976056912">
      <w:bodyDiv w:val="1"/>
      <w:marLeft w:val="0"/>
      <w:marRight w:val="0"/>
      <w:marTop w:val="0"/>
      <w:marBottom w:val="0"/>
      <w:divBdr>
        <w:top w:val="none" w:sz="0" w:space="0" w:color="auto"/>
        <w:left w:val="none" w:sz="0" w:space="0" w:color="auto"/>
        <w:bottom w:val="none" w:sz="0" w:space="0" w:color="auto"/>
        <w:right w:val="none" w:sz="0" w:space="0" w:color="auto"/>
      </w:divBdr>
    </w:div>
    <w:div w:id="1978679482">
      <w:bodyDiv w:val="1"/>
      <w:marLeft w:val="0"/>
      <w:marRight w:val="0"/>
      <w:marTop w:val="0"/>
      <w:marBottom w:val="0"/>
      <w:divBdr>
        <w:top w:val="none" w:sz="0" w:space="0" w:color="auto"/>
        <w:left w:val="none" w:sz="0" w:space="0" w:color="auto"/>
        <w:bottom w:val="none" w:sz="0" w:space="0" w:color="auto"/>
        <w:right w:val="none" w:sz="0" w:space="0" w:color="auto"/>
      </w:divBdr>
    </w:div>
    <w:div w:id="2103210976">
      <w:bodyDiv w:val="1"/>
      <w:marLeft w:val="0"/>
      <w:marRight w:val="0"/>
      <w:marTop w:val="0"/>
      <w:marBottom w:val="0"/>
      <w:divBdr>
        <w:top w:val="none" w:sz="0" w:space="0" w:color="auto"/>
        <w:left w:val="none" w:sz="0" w:space="0" w:color="auto"/>
        <w:bottom w:val="none" w:sz="0" w:space="0" w:color="auto"/>
        <w:right w:val="none" w:sz="0" w:space="0" w:color="auto"/>
      </w:divBdr>
    </w:div>
    <w:div w:id="2129931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services/terminology-and-classifications/snomed-ct" TargetMode="External"/><Relationship Id="rId18" Type="http://schemas.openxmlformats.org/officeDocument/2006/relationships/hyperlink" Target="https://www.medicines.org.uk/emc/product/4756" TargetMode="External"/><Relationship Id="rId26" Type="http://schemas.openxmlformats.org/officeDocument/2006/relationships/hyperlink" Target="http://www.nice.org.uk/guidance/ta327" TargetMode="External"/><Relationship Id="rId39" Type="http://schemas.openxmlformats.org/officeDocument/2006/relationships/hyperlink" Target="https://www.nice.org.uk/guidance/ng196" TargetMode="External"/><Relationship Id="rId21" Type="http://schemas.openxmlformats.org/officeDocument/2006/relationships/hyperlink" Target="https://www.medicinescomplete.com/" TargetMode="External"/><Relationship Id="rId34" Type="http://schemas.openxmlformats.org/officeDocument/2006/relationships/hyperlink" Target="https://www.nice.org.uk/guidance/ta335" TargetMode="External"/><Relationship Id="rId42" Type="http://schemas.openxmlformats.org/officeDocument/2006/relationships/hyperlink" Target="https://dtb.bmj.com/content/early/2020/06/15/dtb.2020.000038" TargetMode="External"/><Relationship Id="rId47" Type="http://schemas.openxmlformats.org/officeDocument/2006/relationships/hyperlink" Target="https://www.medicines.org.uk/emc/product/3064/pil"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edicines.org.uk/emc/product/4703" TargetMode="External"/><Relationship Id="rId29" Type="http://schemas.openxmlformats.org/officeDocument/2006/relationships/hyperlink" Target="https://www.nice.org.uk/guidance/ta341" TargetMode="External"/><Relationship Id="rId11" Type="http://schemas.openxmlformats.org/officeDocument/2006/relationships/hyperlink" Target="https://www.mdcalc.com/creatinine-clearance-cockcroft-gault-equation" TargetMode="External"/><Relationship Id="rId24" Type="http://schemas.openxmlformats.org/officeDocument/2006/relationships/hyperlink" Target="http://www.nice.org.uk/guidance/ta275" TargetMode="External"/><Relationship Id="rId32" Type="http://schemas.openxmlformats.org/officeDocument/2006/relationships/hyperlink" Target="http://www.nice.org.uk/guidance/ta170" TargetMode="External"/><Relationship Id="rId37" Type="http://schemas.openxmlformats.org/officeDocument/2006/relationships/hyperlink" Target="https://cks.nice.org.uk/topics/anticoagulation-oral/" TargetMode="External"/><Relationship Id="rId40" Type="http://schemas.openxmlformats.org/officeDocument/2006/relationships/hyperlink" Target="https://www.nice.org.uk/guidance/ng158" TargetMode="External"/><Relationship Id="rId45" Type="http://schemas.openxmlformats.org/officeDocument/2006/relationships/hyperlink" Target="https://www.nice.org.uk/advice/esnm73/chapter/Key-points-from-the-evidence" TargetMode="External"/><Relationship Id="rId5" Type="http://schemas.openxmlformats.org/officeDocument/2006/relationships/webSettings" Target="webSettings.xml"/><Relationship Id="rId15" Type="http://schemas.openxmlformats.org/officeDocument/2006/relationships/hyperlink" Target="https://bnf.nice.org.uk/interaction/" TargetMode="External"/><Relationship Id="rId23" Type="http://schemas.openxmlformats.org/officeDocument/2006/relationships/hyperlink" Target="http://www.nice.org.uk/guidance/ta256" TargetMode="External"/><Relationship Id="rId28" Type="http://schemas.openxmlformats.org/officeDocument/2006/relationships/hyperlink" Target="http://www.nice.org.uk/guidance/ta287" TargetMode="External"/><Relationship Id="rId36" Type="http://schemas.openxmlformats.org/officeDocument/2006/relationships/hyperlink" Target="https://www.medicines.org.uk/emc/product/5766/smpc" TargetMode="External"/><Relationship Id="rId49" Type="http://schemas.openxmlformats.org/officeDocument/2006/relationships/hyperlink" Target="https://www.nhsbsa.nhs.uk/pharmacies-gp-practices-and-appliance-contractors/drug-tariff" TargetMode="External"/><Relationship Id="rId10" Type="http://schemas.openxmlformats.org/officeDocument/2006/relationships/hyperlink" Target="https://www.amjmed.com/article/S0002-9343(17)30481-3/fulltext" TargetMode="External"/><Relationship Id="rId19" Type="http://schemas.openxmlformats.org/officeDocument/2006/relationships/hyperlink" Target="https://www.medicines.org.uk/emc/product/6906" TargetMode="External"/><Relationship Id="rId31" Type="http://schemas.openxmlformats.org/officeDocument/2006/relationships/hyperlink" Target="http://www.nice.org.uk/guidance/ta157" TargetMode="External"/><Relationship Id="rId44" Type="http://schemas.openxmlformats.org/officeDocument/2006/relationships/hyperlink" Target="https://www.medicines.org.uk/emc/product/1093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edicines.org.uk/emc/" TargetMode="External"/><Relationship Id="rId22" Type="http://schemas.openxmlformats.org/officeDocument/2006/relationships/hyperlink" Target="http://www.nice.org.uk/guidance/ta249" TargetMode="External"/><Relationship Id="rId27" Type="http://schemas.openxmlformats.org/officeDocument/2006/relationships/hyperlink" Target="http://www.nice.org.uk/guidance/ta261" TargetMode="External"/><Relationship Id="rId30" Type="http://schemas.openxmlformats.org/officeDocument/2006/relationships/hyperlink" Target="http://www.nice.org.uk/guidance/ta354" TargetMode="External"/><Relationship Id="rId35" Type="http://schemas.openxmlformats.org/officeDocument/2006/relationships/hyperlink" Target="https://www.nice.org.uk/guidance/ta607" TargetMode="External"/><Relationship Id="rId43" Type="http://schemas.openxmlformats.org/officeDocument/2006/relationships/hyperlink" Target="https://www.medicines.org.uk/emc/product/5073" TargetMode="External"/><Relationship Id="rId48" Type="http://schemas.openxmlformats.org/officeDocument/2006/relationships/hyperlink" Target="https://www.gov.uk/drug-safety-update/direct-acting-oral-anticoagulants-doacs-increased-risk-of-recurrent-thrombotic-events-in-patients-with-antiphospholipid-syndrome" TargetMode="External"/><Relationship Id="rId8" Type="http://schemas.openxmlformats.org/officeDocument/2006/relationships/hyperlink" Target="http://www.medicines.org.uk"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mdcalc.com/ideal-body-weight-adjusted-body-weight" TargetMode="External"/><Relationship Id="rId17" Type="http://schemas.openxmlformats.org/officeDocument/2006/relationships/hyperlink" Target="https://www.medicines.org.uk/emc/product/2794" TargetMode="External"/><Relationship Id="rId25" Type="http://schemas.openxmlformats.org/officeDocument/2006/relationships/hyperlink" Target="http://www.nice.org.uk/guidance/ta355" TargetMode="External"/><Relationship Id="rId33" Type="http://schemas.openxmlformats.org/officeDocument/2006/relationships/hyperlink" Target="http://www.nice.org.uk/guidance/ta245" TargetMode="External"/><Relationship Id="rId38" Type="http://schemas.openxmlformats.org/officeDocument/2006/relationships/hyperlink" Target="https://www.mdcalc.com/creatinine-clearance-cockcroft-gault-equation" TargetMode="External"/><Relationship Id="rId46" Type="http://schemas.openxmlformats.org/officeDocument/2006/relationships/hyperlink" Target="https://www.nice.org.uk/guidance/ta697" TargetMode="External"/><Relationship Id="rId20" Type="http://schemas.openxmlformats.org/officeDocument/2006/relationships/hyperlink" Target="https://www.medicines.org.uk/emc/product/3064" TargetMode="External"/><Relationship Id="rId41" Type="http://schemas.openxmlformats.org/officeDocument/2006/relationships/hyperlink" Target="https://www.nice.org.uk/guidance/ng203"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C9C7D-76EC-CB49-8DC3-9FCDED8AB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7099</Words>
  <Characters>40469</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47474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PrescQIPP</dc:creator>
  <cp:keywords/>
  <dc:description/>
  <cp:lastModifiedBy>Karen Homan</cp:lastModifiedBy>
  <cp:revision>12</cp:revision>
  <cp:lastPrinted>2022-06-16T09:31:00Z</cp:lastPrinted>
  <dcterms:created xsi:type="dcterms:W3CDTF">2022-08-15T14:15:00Z</dcterms:created>
  <dcterms:modified xsi:type="dcterms:W3CDTF">2022-08-15T14:26:00Z</dcterms:modified>
  <cp:category/>
</cp:coreProperties>
</file>