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84D0" w14:textId="30755154" w:rsidR="007867AA" w:rsidRDefault="00344A91" w:rsidP="00533610">
      <w:pPr>
        <w:pStyle w:val="Title"/>
      </w:pPr>
      <w:r>
        <w:t>Equality Report 202</w:t>
      </w:r>
      <w:r w:rsidR="00216B17">
        <w:t>4</w:t>
      </w:r>
      <w:r>
        <w:t>/202</w:t>
      </w:r>
      <w:r w:rsidR="00216B17">
        <w:t>5</w:t>
      </w:r>
    </w:p>
    <w:p w14:paraId="7CC13670" w14:textId="77777777" w:rsidR="00567820" w:rsidRPr="00567820" w:rsidRDefault="00567820" w:rsidP="00567820"/>
    <w:p w14:paraId="71509559" w14:textId="353944A0" w:rsidR="00D12DF2" w:rsidRDefault="007867AA" w:rsidP="008076BB">
      <w:pPr>
        <w:jc w:val="center"/>
      </w:pPr>
      <w:r>
        <w:rPr>
          <w:noProof/>
        </w:rPr>
        <w:drawing>
          <wp:inline distT="0" distB="0" distL="0" distR="0" wp14:anchorId="638CEAF1" wp14:editId="13456439">
            <wp:extent cx="3240296" cy="3240296"/>
            <wp:effectExtent l="38100" t="38100" r="93980" b="2970530"/>
            <wp:docPr id="20326334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33404" name="Graphic 2032633404"/>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 uri="{837473B0-CC2E-450A-ABE3-18F120FF3D39}">
                          <a1611:picAttrSrcUrl xmlns:a1611="http://schemas.microsoft.com/office/drawing/2016/11/main" r:id="rId13"/>
                        </a:ext>
                      </a:extLst>
                    </a:blip>
                    <a:stretch>
                      <a:fillRect/>
                    </a:stretch>
                  </pic:blipFill>
                  <pic:spPr>
                    <a:xfrm>
                      <a:off x="0" y="0"/>
                      <a:ext cx="3245629" cy="3245629"/>
                    </a:xfrm>
                    <a:prstGeom prst="rect">
                      <a:avLst/>
                    </a:prstGeom>
                    <a:effectLst>
                      <a:outerShdw blurRad="50800" dist="38100" dir="2700000" algn="tl" rotWithShape="0">
                        <a:prstClr val="black">
                          <a:alpha val="40000"/>
                        </a:prstClr>
                      </a:outerShdw>
                      <a:reflection blurRad="6350" stA="50000" endA="300" endPos="90000" dist="50800" dir="5400000" sy="-100000" algn="bl" rotWithShape="0"/>
                    </a:effectLst>
                  </pic:spPr>
                </pic:pic>
              </a:graphicData>
            </a:graphic>
          </wp:inline>
        </w:drawing>
      </w:r>
    </w:p>
    <w:p w14:paraId="7B163F1E" w14:textId="77777777" w:rsidR="007867AA" w:rsidRDefault="007867AA" w:rsidP="00533610">
      <w:pPr>
        <w:sectPr w:rsidR="007867AA" w:rsidSect="00C777B5">
          <w:headerReference w:type="default" r:id="rId14"/>
          <w:pgSz w:w="11906" w:h="16838"/>
          <w:pgMar w:top="1440" w:right="1440" w:bottom="1440" w:left="1440" w:header="708" w:footer="708" w:gutter="0"/>
          <w:cols w:space="708"/>
          <w:docGrid w:linePitch="360"/>
        </w:sectPr>
      </w:pPr>
    </w:p>
    <w:sdt>
      <w:sdtPr>
        <w:rPr>
          <w:rFonts w:eastAsiaTheme="minorHAnsi" w:cstheme="minorBidi"/>
          <w:b w:val="0"/>
          <w:color w:val="auto"/>
          <w:kern w:val="2"/>
          <w:sz w:val="28"/>
          <w:szCs w:val="22"/>
          <w:lang w:val="en-GB"/>
          <w14:ligatures w14:val="standardContextual"/>
        </w:rPr>
        <w:id w:val="2008397335"/>
        <w:docPartObj>
          <w:docPartGallery w:val="Table of Contents"/>
          <w:docPartUnique/>
        </w:docPartObj>
      </w:sdtPr>
      <w:sdtEndPr>
        <w:rPr>
          <w:noProof/>
          <w:color w:val="404040" w:themeColor="text1" w:themeTint="BF"/>
        </w:rPr>
      </w:sdtEndPr>
      <w:sdtContent>
        <w:p w14:paraId="3B1A5926" w14:textId="6FEEA99D" w:rsidR="00982621" w:rsidRDefault="00982621" w:rsidP="00533610">
          <w:pPr>
            <w:pStyle w:val="TOCHeading"/>
          </w:pPr>
          <w:r>
            <w:t>Contents</w:t>
          </w:r>
        </w:p>
        <w:p w14:paraId="3A8A6723" w14:textId="41FBCF1F" w:rsidR="009277B9" w:rsidRDefault="009E3BA0">
          <w:pPr>
            <w:pStyle w:val="TOC1"/>
            <w:tabs>
              <w:tab w:val="right" w:leader="dot" w:pos="9016"/>
            </w:tabs>
            <w:rPr>
              <w:rFonts w:asciiTheme="minorHAnsi" w:eastAsiaTheme="minorEastAsia" w:hAnsiTheme="minorHAnsi"/>
              <w:noProof/>
              <w:color w:val="auto"/>
              <w:sz w:val="24"/>
              <w:szCs w:val="24"/>
              <w:lang w:eastAsia="en-GB"/>
            </w:rPr>
          </w:pPr>
          <w:r>
            <w:fldChar w:fldCharType="begin"/>
          </w:r>
          <w:r>
            <w:instrText xml:space="preserve"> TOC \o "1-2" \h \z \u </w:instrText>
          </w:r>
          <w:r>
            <w:fldChar w:fldCharType="separate"/>
          </w:r>
          <w:hyperlink w:anchor="_Toc198798551" w:history="1">
            <w:r w:rsidR="009277B9" w:rsidRPr="00C000B8">
              <w:rPr>
                <w:rStyle w:val="Hyperlink"/>
                <w:noProof/>
              </w:rPr>
              <w:t>Introduction</w:t>
            </w:r>
            <w:r w:rsidR="009277B9">
              <w:rPr>
                <w:noProof/>
                <w:webHidden/>
              </w:rPr>
              <w:tab/>
            </w:r>
            <w:r w:rsidR="009277B9">
              <w:rPr>
                <w:noProof/>
                <w:webHidden/>
              </w:rPr>
              <w:fldChar w:fldCharType="begin"/>
            </w:r>
            <w:r w:rsidR="009277B9">
              <w:rPr>
                <w:noProof/>
                <w:webHidden/>
              </w:rPr>
              <w:instrText xml:space="preserve"> PAGEREF _Toc198798551 \h </w:instrText>
            </w:r>
            <w:r w:rsidR="009277B9">
              <w:rPr>
                <w:noProof/>
                <w:webHidden/>
              </w:rPr>
            </w:r>
            <w:r w:rsidR="009277B9">
              <w:rPr>
                <w:noProof/>
                <w:webHidden/>
              </w:rPr>
              <w:fldChar w:fldCharType="separate"/>
            </w:r>
            <w:r w:rsidR="009277B9">
              <w:rPr>
                <w:noProof/>
                <w:webHidden/>
              </w:rPr>
              <w:t>1</w:t>
            </w:r>
            <w:r w:rsidR="009277B9">
              <w:rPr>
                <w:noProof/>
                <w:webHidden/>
              </w:rPr>
              <w:fldChar w:fldCharType="end"/>
            </w:r>
          </w:hyperlink>
        </w:p>
        <w:p w14:paraId="6AA3820E" w14:textId="39C15EB7" w:rsidR="009277B9" w:rsidRDefault="009277B9">
          <w:pPr>
            <w:pStyle w:val="TOC1"/>
            <w:tabs>
              <w:tab w:val="right" w:leader="dot" w:pos="9016"/>
            </w:tabs>
            <w:rPr>
              <w:rFonts w:asciiTheme="minorHAnsi" w:eastAsiaTheme="minorEastAsia" w:hAnsiTheme="minorHAnsi"/>
              <w:noProof/>
              <w:color w:val="auto"/>
              <w:sz w:val="24"/>
              <w:szCs w:val="24"/>
              <w:lang w:eastAsia="en-GB"/>
            </w:rPr>
          </w:pPr>
          <w:hyperlink w:anchor="_Toc198798552" w:history="1">
            <w:r w:rsidRPr="00C000B8">
              <w:rPr>
                <w:rStyle w:val="Hyperlink"/>
                <w:noProof/>
              </w:rPr>
              <w:t>Equality initiatives</w:t>
            </w:r>
            <w:r>
              <w:rPr>
                <w:noProof/>
                <w:webHidden/>
              </w:rPr>
              <w:tab/>
            </w:r>
            <w:r>
              <w:rPr>
                <w:noProof/>
                <w:webHidden/>
              </w:rPr>
              <w:fldChar w:fldCharType="begin"/>
            </w:r>
            <w:r>
              <w:rPr>
                <w:noProof/>
                <w:webHidden/>
              </w:rPr>
              <w:instrText xml:space="preserve"> PAGEREF _Toc198798552 \h </w:instrText>
            </w:r>
            <w:r>
              <w:rPr>
                <w:noProof/>
                <w:webHidden/>
              </w:rPr>
            </w:r>
            <w:r>
              <w:rPr>
                <w:noProof/>
                <w:webHidden/>
              </w:rPr>
              <w:fldChar w:fldCharType="separate"/>
            </w:r>
            <w:r>
              <w:rPr>
                <w:noProof/>
                <w:webHidden/>
              </w:rPr>
              <w:t>2</w:t>
            </w:r>
            <w:r>
              <w:rPr>
                <w:noProof/>
                <w:webHidden/>
              </w:rPr>
              <w:fldChar w:fldCharType="end"/>
            </w:r>
          </w:hyperlink>
        </w:p>
        <w:p w14:paraId="1DC132D9" w14:textId="4CF0FCD6"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53" w:history="1">
            <w:r w:rsidRPr="00C000B8">
              <w:rPr>
                <w:rStyle w:val="Hyperlink"/>
                <w:noProof/>
              </w:rPr>
              <w:t>Shared Care Agreements</w:t>
            </w:r>
            <w:r>
              <w:rPr>
                <w:noProof/>
                <w:webHidden/>
              </w:rPr>
              <w:tab/>
            </w:r>
            <w:r>
              <w:rPr>
                <w:noProof/>
                <w:webHidden/>
              </w:rPr>
              <w:fldChar w:fldCharType="begin"/>
            </w:r>
            <w:r>
              <w:rPr>
                <w:noProof/>
                <w:webHidden/>
              </w:rPr>
              <w:instrText xml:space="preserve"> PAGEREF _Toc198798553 \h </w:instrText>
            </w:r>
            <w:r>
              <w:rPr>
                <w:noProof/>
                <w:webHidden/>
              </w:rPr>
            </w:r>
            <w:r>
              <w:rPr>
                <w:noProof/>
                <w:webHidden/>
              </w:rPr>
              <w:fldChar w:fldCharType="separate"/>
            </w:r>
            <w:r>
              <w:rPr>
                <w:noProof/>
                <w:webHidden/>
              </w:rPr>
              <w:t>2</w:t>
            </w:r>
            <w:r>
              <w:rPr>
                <w:noProof/>
                <w:webHidden/>
              </w:rPr>
              <w:fldChar w:fldCharType="end"/>
            </w:r>
          </w:hyperlink>
        </w:p>
        <w:p w14:paraId="17C8678E" w14:textId="100994B8"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54" w:history="1">
            <w:r w:rsidRPr="00C000B8">
              <w:rPr>
                <w:rStyle w:val="Hyperlink"/>
                <w:noProof/>
              </w:rPr>
              <w:t>Migrants and displaced people</w:t>
            </w:r>
            <w:r>
              <w:rPr>
                <w:noProof/>
                <w:webHidden/>
              </w:rPr>
              <w:tab/>
            </w:r>
            <w:r>
              <w:rPr>
                <w:noProof/>
                <w:webHidden/>
              </w:rPr>
              <w:fldChar w:fldCharType="begin"/>
            </w:r>
            <w:r>
              <w:rPr>
                <w:noProof/>
                <w:webHidden/>
              </w:rPr>
              <w:instrText xml:space="preserve"> PAGEREF _Toc198798554 \h </w:instrText>
            </w:r>
            <w:r>
              <w:rPr>
                <w:noProof/>
                <w:webHidden/>
              </w:rPr>
            </w:r>
            <w:r>
              <w:rPr>
                <w:noProof/>
                <w:webHidden/>
              </w:rPr>
              <w:fldChar w:fldCharType="separate"/>
            </w:r>
            <w:r>
              <w:rPr>
                <w:noProof/>
                <w:webHidden/>
              </w:rPr>
              <w:t>3</w:t>
            </w:r>
            <w:r>
              <w:rPr>
                <w:noProof/>
                <w:webHidden/>
              </w:rPr>
              <w:fldChar w:fldCharType="end"/>
            </w:r>
          </w:hyperlink>
        </w:p>
        <w:p w14:paraId="7E397951" w14:textId="2DA89C52"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55" w:history="1">
            <w:r w:rsidRPr="00C000B8">
              <w:rPr>
                <w:rStyle w:val="Hyperlink"/>
                <w:noProof/>
              </w:rPr>
              <w:t>Puberty blockers</w:t>
            </w:r>
            <w:r>
              <w:rPr>
                <w:noProof/>
                <w:webHidden/>
              </w:rPr>
              <w:tab/>
            </w:r>
            <w:r>
              <w:rPr>
                <w:noProof/>
                <w:webHidden/>
              </w:rPr>
              <w:fldChar w:fldCharType="begin"/>
            </w:r>
            <w:r>
              <w:rPr>
                <w:noProof/>
                <w:webHidden/>
              </w:rPr>
              <w:instrText xml:space="preserve"> PAGEREF _Toc198798555 \h </w:instrText>
            </w:r>
            <w:r>
              <w:rPr>
                <w:noProof/>
                <w:webHidden/>
              </w:rPr>
            </w:r>
            <w:r>
              <w:rPr>
                <w:noProof/>
                <w:webHidden/>
              </w:rPr>
              <w:fldChar w:fldCharType="separate"/>
            </w:r>
            <w:r>
              <w:rPr>
                <w:noProof/>
                <w:webHidden/>
              </w:rPr>
              <w:t>3</w:t>
            </w:r>
            <w:r>
              <w:rPr>
                <w:noProof/>
                <w:webHidden/>
              </w:rPr>
              <w:fldChar w:fldCharType="end"/>
            </w:r>
          </w:hyperlink>
        </w:p>
        <w:p w14:paraId="7DF0043F" w14:textId="0505698B"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56" w:history="1">
            <w:r w:rsidRPr="00C000B8">
              <w:rPr>
                <w:rStyle w:val="Hyperlink"/>
                <w:noProof/>
              </w:rPr>
              <w:t>Community networks and forums</w:t>
            </w:r>
            <w:r>
              <w:rPr>
                <w:noProof/>
                <w:webHidden/>
              </w:rPr>
              <w:tab/>
            </w:r>
            <w:r>
              <w:rPr>
                <w:noProof/>
                <w:webHidden/>
              </w:rPr>
              <w:fldChar w:fldCharType="begin"/>
            </w:r>
            <w:r>
              <w:rPr>
                <w:noProof/>
                <w:webHidden/>
              </w:rPr>
              <w:instrText xml:space="preserve"> PAGEREF _Toc198798556 \h </w:instrText>
            </w:r>
            <w:r>
              <w:rPr>
                <w:noProof/>
                <w:webHidden/>
              </w:rPr>
            </w:r>
            <w:r>
              <w:rPr>
                <w:noProof/>
                <w:webHidden/>
              </w:rPr>
              <w:fldChar w:fldCharType="separate"/>
            </w:r>
            <w:r>
              <w:rPr>
                <w:noProof/>
                <w:webHidden/>
              </w:rPr>
              <w:t>3</w:t>
            </w:r>
            <w:r>
              <w:rPr>
                <w:noProof/>
                <w:webHidden/>
              </w:rPr>
              <w:fldChar w:fldCharType="end"/>
            </w:r>
          </w:hyperlink>
        </w:p>
        <w:p w14:paraId="7BDFCD69" w14:textId="149A4FA9"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57" w:history="1">
            <w:r w:rsidRPr="00C000B8">
              <w:rPr>
                <w:rStyle w:val="Hyperlink"/>
                <w:noProof/>
              </w:rPr>
              <w:t>Pharmacy access to interpreters</w:t>
            </w:r>
            <w:r>
              <w:rPr>
                <w:noProof/>
                <w:webHidden/>
              </w:rPr>
              <w:tab/>
            </w:r>
            <w:r>
              <w:rPr>
                <w:noProof/>
                <w:webHidden/>
              </w:rPr>
              <w:fldChar w:fldCharType="begin"/>
            </w:r>
            <w:r>
              <w:rPr>
                <w:noProof/>
                <w:webHidden/>
              </w:rPr>
              <w:instrText xml:space="preserve"> PAGEREF _Toc198798557 \h </w:instrText>
            </w:r>
            <w:r>
              <w:rPr>
                <w:noProof/>
                <w:webHidden/>
              </w:rPr>
            </w:r>
            <w:r>
              <w:rPr>
                <w:noProof/>
                <w:webHidden/>
              </w:rPr>
              <w:fldChar w:fldCharType="separate"/>
            </w:r>
            <w:r>
              <w:rPr>
                <w:noProof/>
                <w:webHidden/>
              </w:rPr>
              <w:t>4</w:t>
            </w:r>
            <w:r>
              <w:rPr>
                <w:noProof/>
                <w:webHidden/>
              </w:rPr>
              <w:fldChar w:fldCharType="end"/>
            </w:r>
          </w:hyperlink>
        </w:p>
        <w:p w14:paraId="53D81DF8" w14:textId="19CA6265" w:rsidR="009277B9" w:rsidRDefault="009277B9">
          <w:pPr>
            <w:pStyle w:val="TOC1"/>
            <w:tabs>
              <w:tab w:val="right" w:leader="dot" w:pos="9016"/>
            </w:tabs>
            <w:rPr>
              <w:rFonts w:asciiTheme="minorHAnsi" w:eastAsiaTheme="minorEastAsia" w:hAnsiTheme="minorHAnsi"/>
              <w:noProof/>
              <w:color w:val="auto"/>
              <w:sz w:val="24"/>
              <w:szCs w:val="24"/>
              <w:lang w:eastAsia="en-GB"/>
            </w:rPr>
          </w:pPr>
          <w:hyperlink w:anchor="_Toc198798558" w:history="1">
            <w:r w:rsidRPr="00C000B8">
              <w:rPr>
                <w:rStyle w:val="Hyperlink"/>
                <w:noProof/>
              </w:rPr>
              <w:t>Training</w:t>
            </w:r>
            <w:r>
              <w:rPr>
                <w:noProof/>
                <w:webHidden/>
              </w:rPr>
              <w:tab/>
            </w:r>
            <w:r>
              <w:rPr>
                <w:noProof/>
                <w:webHidden/>
              </w:rPr>
              <w:fldChar w:fldCharType="begin"/>
            </w:r>
            <w:r>
              <w:rPr>
                <w:noProof/>
                <w:webHidden/>
              </w:rPr>
              <w:instrText xml:space="preserve"> PAGEREF _Toc198798558 \h </w:instrText>
            </w:r>
            <w:r>
              <w:rPr>
                <w:noProof/>
                <w:webHidden/>
              </w:rPr>
            </w:r>
            <w:r>
              <w:rPr>
                <w:noProof/>
                <w:webHidden/>
              </w:rPr>
              <w:fldChar w:fldCharType="separate"/>
            </w:r>
            <w:r>
              <w:rPr>
                <w:noProof/>
                <w:webHidden/>
              </w:rPr>
              <w:t>5</w:t>
            </w:r>
            <w:r>
              <w:rPr>
                <w:noProof/>
                <w:webHidden/>
              </w:rPr>
              <w:fldChar w:fldCharType="end"/>
            </w:r>
          </w:hyperlink>
        </w:p>
        <w:p w14:paraId="2502916E" w14:textId="3398943B" w:rsidR="009277B9" w:rsidRDefault="009277B9">
          <w:pPr>
            <w:pStyle w:val="TOC1"/>
            <w:tabs>
              <w:tab w:val="right" w:leader="dot" w:pos="9016"/>
            </w:tabs>
            <w:rPr>
              <w:rFonts w:asciiTheme="minorHAnsi" w:eastAsiaTheme="minorEastAsia" w:hAnsiTheme="minorHAnsi"/>
              <w:noProof/>
              <w:color w:val="auto"/>
              <w:sz w:val="24"/>
              <w:szCs w:val="24"/>
              <w:lang w:eastAsia="en-GB"/>
            </w:rPr>
          </w:pPr>
          <w:hyperlink w:anchor="_Toc198798559" w:history="1">
            <w:r w:rsidRPr="00C000B8">
              <w:rPr>
                <w:rStyle w:val="Hyperlink"/>
                <w:noProof/>
              </w:rPr>
              <w:t>Equality objectives 2025-2026</w:t>
            </w:r>
            <w:r>
              <w:rPr>
                <w:noProof/>
                <w:webHidden/>
              </w:rPr>
              <w:tab/>
            </w:r>
            <w:r>
              <w:rPr>
                <w:noProof/>
                <w:webHidden/>
              </w:rPr>
              <w:fldChar w:fldCharType="begin"/>
            </w:r>
            <w:r>
              <w:rPr>
                <w:noProof/>
                <w:webHidden/>
              </w:rPr>
              <w:instrText xml:space="preserve"> PAGEREF _Toc198798559 \h </w:instrText>
            </w:r>
            <w:r>
              <w:rPr>
                <w:noProof/>
                <w:webHidden/>
              </w:rPr>
            </w:r>
            <w:r>
              <w:rPr>
                <w:noProof/>
                <w:webHidden/>
              </w:rPr>
              <w:fldChar w:fldCharType="separate"/>
            </w:r>
            <w:r>
              <w:rPr>
                <w:noProof/>
                <w:webHidden/>
              </w:rPr>
              <w:t>6</w:t>
            </w:r>
            <w:r>
              <w:rPr>
                <w:noProof/>
                <w:webHidden/>
              </w:rPr>
              <w:fldChar w:fldCharType="end"/>
            </w:r>
          </w:hyperlink>
        </w:p>
        <w:p w14:paraId="6E91F6BC" w14:textId="089C22AD"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60" w:history="1">
            <w:r w:rsidRPr="00C000B8">
              <w:rPr>
                <w:rStyle w:val="Hyperlink"/>
                <w:noProof/>
              </w:rPr>
              <w:t>Our objectives</w:t>
            </w:r>
            <w:r>
              <w:rPr>
                <w:noProof/>
                <w:webHidden/>
              </w:rPr>
              <w:tab/>
            </w:r>
            <w:r>
              <w:rPr>
                <w:noProof/>
                <w:webHidden/>
              </w:rPr>
              <w:fldChar w:fldCharType="begin"/>
            </w:r>
            <w:r>
              <w:rPr>
                <w:noProof/>
                <w:webHidden/>
              </w:rPr>
              <w:instrText xml:space="preserve"> PAGEREF _Toc198798560 \h </w:instrText>
            </w:r>
            <w:r>
              <w:rPr>
                <w:noProof/>
                <w:webHidden/>
              </w:rPr>
            </w:r>
            <w:r>
              <w:rPr>
                <w:noProof/>
                <w:webHidden/>
              </w:rPr>
              <w:fldChar w:fldCharType="separate"/>
            </w:r>
            <w:r>
              <w:rPr>
                <w:noProof/>
                <w:webHidden/>
              </w:rPr>
              <w:t>6</w:t>
            </w:r>
            <w:r>
              <w:rPr>
                <w:noProof/>
                <w:webHidden/>
              </w:rPr>
              <w:fldChar w:fldCharType="end"/>
            </w:r>
          </w:hyperlink>
        </w:p>
        <w:p w14:paraId="70B378F7" w14:textId="6145F534" w:rsidR="009277B9" w:rsidRDefault="009277B9">
          <w:pPr>
            <w:pStyle w:val="TOC1"/>
            <w:tabs>
              <w:tab w:val="right" w:leader="dot" w:pos="9016"/>
            </w:tabs>
            <w:rPr>
              <w:rFonts w:asciiTheme="minorHAnsi" w:eastAsiaTheme="minorEastAsia" w:hAnsiTheme="minorHAnsi"/>
              <w:noProof/>
              <w:color w:val="auto"/>
              <w:sz w:val="24"/>
              <w:szCs w:val="24"/>
              <w:lang w:eastAsia="en-GB"/>
            </w:rPr>
          </w:pPr>
          <w:hyperlink w:anchor="_Toc198798561" w:history="1">
            <w:r w:rsidRPr="00C000B8">
              <w:rPr>
                <w:rStyle w:val="Hyperlink"/>
                <w:noProof/>
              </w:rPr>
              <w:t>Appendices</w:t>
            </w:r>
            <w:r>
              <w:rPr>
                <w:noProof/>
                <w:webHidden/>
              </w:rPr>
              <w:tab/>
            </w:r>
            <w:r>
              <w:rPr>
                <w:noProof/>
                <w:webHidden/>
              </w:rPr>
              <w:fldChar w:fldCharType="begin"/>
            </w:r>
            <w:r>
              <w:rPr>
                <w:noProof/>
                <w:webHidden/>
              </w:rPr>
              <w:instrText xml:space="preserve"> PAGEREF _Toc198798561 \h </w:instrText>
            </w:r>
            <w:r>
              <w:rPr>
                <w:noProof/>
                <w:webHidden/>
              </w:rPr>
            </w:r>
            <w:r>
              <w:rPr>
                <w:noProof/>
                <w:webHidden/>
              </w:rPr>
              <w:fldChar w:fldCharType="separate"/>
            </w:r>
            <w:r>
              <w:rPr>
                <w:noProof/>
                <w:webHidden/>
              </w:rPr>
              <w:t>11</w:t>
            </w:r>
            <w:r>
              <w:rPr>
                <w:noProof/>
                <w:webHidden/>
              </w:rPr>
              <w:fldChar w:fldCharType="end"/>
            </w:r>
          </w:hyperlink>
        </w:p>
        <w:p w14:paraId="30348083" w14:textId="45DCE585"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62" w:history="1">
            <w:r w:rsidRPr="00C000B8">
              <w:rPr>
                <w:rStyle w:val="Hyperlink"/>
                <w:noProof/>
              </w:rPr>
              <w:t>Appendix I – Protected Characteristics</w:t>
            </w:r>
            <w:r>
              <w:rPr>
                <w:noProof/>
                <w:webHidden/>
              </w:rPr>
              <w:tab/>
            </w:r>
            <w:r>
              <w:rPr>
                <w:noProof/>
                <w:webHidden/>
              </w:rPr>
              <w:fldChar w:fldCharType="begin"/>
            </w:r>
            <w:r>
              <w:rPr>
                <w:noProof/>
                <w:webHidden/>
              </w:rPr>
              <w:instrText xml:space="preserve"> PAGEREF _Toc198798562 \h </w:instrText>
            </w:r>
            <w:r>
              <w:rPr>
                <w:noProof/>
                <w:webHidden/>
              </w:rPr>
            </w:r>
            <w:r>
              <w:rPr>
                <w:noProof/>
                <w:webHidden/>
              </w:rPr>
              <w:fldChar w:fldCharType="separate"/>
            </w:r>
            <w:r>
              <w:rPr>
                <w:noProof/>
                <w:webHidden/>
              </w:rPr>
              <w:t>11</w:t>
            </w:r>
            <w:r>
              <w:rPr>
                <w:noProof/>
                <w:webHidden/>
              </w:rPr>
              <w:fldChar w:fldCharType="end"/>
            </w:r>
          </w:hyperlink>
        </w:p>
        <w:p w14:paraId="6932E0E7" w14:textId="38B0D94E"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63" w:history="1">
            <w:r w:rsidRPr="00C000B8">
              <w:rPr>
                <w:rStyle w:val="Hyperlink"/>
                <w:noProof/>
              </w:rPr>
              <w:t>Appendix II – Prohibited conduct</w:t>
            </w:r>
            <w:r>
              <w:rPr>
                <w:noProof/>
                <w:webHidden/>
              </w:rPr>
              <w:tab/>
            </w:r>
            <w:r>
              <w:rPr>
                <w:noProof/>
                <w:webHidden/>
              </w:rPr>
              <w:fldChar w:fldCharType="begin"/>
            </w:r>
            <w:r>
              <w:rPr>
                <w:noProof/>
                <w:webHidden/>
              </w:rPr>
              <w:instrText xml:space="preserve"> PAGEREF _Toc198798563 \h </w:instrText>
            </w:r>
            <w:r>
              <w:rPr>
                <w:noProof/>
                <w:webHidden/>
              </w:rPr>
            </w:r>
            <w:r>
              <w:rPr>
                <w:noProof/>
                <w:webHidden/>
              </w:rPr>
              <w:fldChar w:fldCharType="separate"/>
            </w:r>
            <w:r>
              <w:rPr>
                <w:noProof/>
                <w:webHidden/>
              </w:rPr>
              <w:t>12</w:t>
            </w:r>
            <w:r>
              <w:rPr>
                <w:noProof/>
                <w:webHidden/>
              </w:rPr>
              <w:fldChar w:fldCharType="end"/>
            </w:r>
          </w:hyperlink>
        </w:p>
        <w:p w14:paraId="5FEAEA6A" w14:textId="5ECF873B" w:rsidR="009277B9" w:rsidRDefault="009277B9">
          <w:pPr>
            <w:pStyle w:val="TOC2"/>
            <w:tabs>
              <w:tab w:val="right" w:leader="dot" w:pos="9016"/>
            </w:tabs>
            <w:rPr>
              <w:rFonts w:asciiTheme="minorHAnsi" w:eastAsiaTheme="minorEastAsia" w:hAnsiTheme="minorHAnsi"/>
              <w:noProof/>
              <w:color w:val="auto"/>
              <w:sz w:val="24"/>
              <w:szCs w:val="24"/>
              <w:lang w:eastAsia="en-GB"/>
            </w:rPr>
          </w:pPr>
          <w:hyperlink w:anchor="_Toc198798564" w:history="1">
            <w:r w:rsidRPr="00C000B8">
              <w:rPr>
                <w:rStyle w:val="Hyperlink"/>
                <w:noProof/>
              </w:rPr>
              <w:t>Appendix III – Making adjustments</w:t>
            </w:r>
            <w:r>
              <w:rPr>
                <w:noProof/>
                <w:webHidden/>
              </w:rPr>
              <w:tab/>
            </w:r>
            <w:r>
              <w:rPr>
                <w:noProof/>
                <w:webHidden/>
              </w:rPr>
              <w:fldChar w:fldCharType="begin"/>
            </w:r>
            <w:r>
              <w:rPr>
                <w:noProof/>
                <w:webHidden/>
              </w:rPr>
              <w:instrText xml:space="preserve"> PAGEREF _Toc198798564 \h </w:instrText>
            </w:r>
            <w:r>
              <w:rPr>
                <w:noProof/>
                <w:webHidden/>
              </w:rPr>
            </w:r>
            <w:r>
              <w:rPr>
                <w:noProof/>
                <w:webHidden/>
              </w:rPr>
              <w:fldChar w:fldCharType="separate"/>
            </w:r>
            <w:r>
              <w:rPr>
                <w:noProof/>
                <w:webHidden/>
              </w:rPr>
              <w:t>13</w:t>
            </w:r>
            <w:r>
              <w:rPr>
                <w:noProof/>
                <w:webHidden/>
              </w:rPr>
              <w:fldChar w:fldCharType="end"/>
            </w:r>
          </w:hyperlink>
        </w:p>
        <w:p w14:paraId="7CDAD208" w14:textId="522FBEF2" w:rsidR="00982621" w:rsidRDefault="009E3BA0" w:rsidP="00533610">
          <w:r>
            <w:fldChar w:fldCharType="end"/>
          </w:r>
        </w:p>
      </w:sdtContent>
    </w:sdt>
    <w:p w14:paraId="4AECD78E" w14:textId="77777777" w:rsidR="007867AA" w:rsidRDefault="007867AA" w:rsidP="00533610"/>
    <w:p w14:paraId="7D6998C4" w14:textId="77777777" w:rsidR="007867AA" w:rsidRDefault="007867AA" w:rsidP="00533610">
      <w:pPr>
        <w:sectPr w:rsidR="007867AA" w:rsidSect="00C777B5">
          <w:headerReference w:type="default" r:id="rId15"/>
          <w:footerReference w:type="default" r:id="rId16"/>
          <w:pgSz w:w="11906" w:h="16838"/>
          <w:pgMar w:top="1440" w:right="1440" w:bottom="1440" w:left="1440" w:header="708" w:footer="708" w:gutter="0"/>
          <w:cols w:space="708"/>
          <w:docGrid w:linePitch="360"/>
        </w:sectPr>
      </w:pPr>
    </w:p>
    <w:p w14:paraId="1D205BAC" w14:textId="3D9B3FB7" w:rsidR="007867AA" w:rsidRDefault="00982621" w:rsidP="00533610">
      <w:pPr>
        <w:pStyle w:val="Heading1"/>
      </w:pPr>
      <w:bookmarkStart w:id="0" w:name="_Toc198798551"/>
      <w:r>
        <w:lastRenderedPageBreak/>
        <w:t>Introduction</w:t>
      </w:r>
      <w:bookmarkEnd w:id="0"/>
    </w:p>
    <w:p w14:paraId="6FDBB35B" w14:textId="77777777" w:rsidR="000C10C6" w:rsidRDefault="000C10C6" w:rsidP="00533610">
      <w:pPr>
        <w:sectPr w:rsidR="000C10C6" w:rsidSect="000C10C6">
          <w:headerReference w:type="default" r:id="rId17"/>
          <w:footerReference w:type="default" r:id="rId18"/>
          <w:pgSz w:w="11906" w:h="16838"/>
          <w:pgMar w:top="1440" w:right="1080" w:bottom="1440" w:left="1080" w:header="708" w:footer="708" w:gutter="0"/>
          <w:pgNumType w:start="1"/>
          <w:cols w:space="720"/>
          <w:docGrid w:linePitch="381"/>
        </w:sectPr>
      </w:pPr>
    </w:p>
    <w:p w14:paraId="6C27203A" w14:textId="5FC95D4B" w:rsidR="00982621" w:rsidRDefault="00982621" w:rsidP="00533610">
      <w:r>
        <w:t>Public Sector Equality Duty implemented in 2011 requires all public sector bodies to publish an annual report in respect of its adherence to matters of equality, diversity, and inclusion.</w:t>
      </w:r>
    </w:p>
    <w:p w14:paraId="66550977" w14:textId="7C3D7F74" w:rsidR="00982621" w:rsidRDefault="00982621" w:rsidP="00533610">
      <w:r>
        <w:t>Public Sector Equality Duty has two main areas.</w:t>
      </w:r>
    </w:p>
    <w:p w14:paraId="02BD15D5" w14:textId="7C495019" w:rsidR="00982621" w:rsidRDefault="00982621" w:rsidP="00533610">
      <w:r w:rsidRPr="00F66E55">
        <w:rPr>
          <w:rStyle w:val="Highlight"/>
        </w:rPr>
        <w:t>General Equality Duties</w:t>
      </w:r>
      <w:r>
        <w:t xml:space="preserve"> ha</w:t>
      </w:r>
      <w:r w:rsidR="000C10C6">
        <w:t>ve</w:t>
      </w:r>
      <w:r>
        <w:t xml:space="preserve"> three aims to which organisations need to pay due regard, namely:</w:t>
      </w:r>
    </w:p>
    <w:p w14:paraId="6541FE9E" w14:textId="6C668BBA" w:rsidR="00982621" w:rsidRDefault="00533610" w:rsidP="00533610">
      <w:pPr>
        <w:pStyle w:val="ListParagraph"/>
        <w:numPr>
          <w:ilvl w:val="0"/>
          <w:numId w:val="1"/>
        </w:numPr>
      </w:pPr>
      <w:r>
        <w:t>P</w:t>
      </w:r>
      <w:r w:rsidR="00982621">
        <w:t xml:space="preserve">ut an end to unlawful behaviour that is banned by the Equality Act 2010, including discrimination, </w:t>
      </w:r>
      <w:r w:rsidR="000C10C6">
        <w:t>harassment,</w:t>
      </w:r>
      <w:r w:rsidR="00982621">
        <w:t xml:space="preserve"> and victimisation</w:t>
      </w:r>
      <w:r w:rsidR="000C10C6">
        <w:t>.</w:t>
      </w:r>
    </w:p>
    <w:p w14:paraId="3384D288" w14:textId="547E481E" w:rsidR="00982621" w:rsidRDefault="00533610" w:rsidP="00533610">
      <w:pPr>
        <w:pStyle w:val="ListParagraph"/>
        <w:numPr>
          <w:ilvl w:val="0"/>
          <w:numId w:val="1"/>
        </w:numPr>
      </w:pPr>
      <w:r>
        <w:t>A</w:t>
      </w:r>
      <w:r w:rsidR="00982621" w:rsidRPr="00982621">
        <w:t>dvance equal opportunities</w:t>
      </w:r>
      <w:r w:rsidR="00982621">
        <w:t xml:space="preserve"> between people who have a protected characteristic and those who do not</w:t>
      </w:r>
      <w:r w:rsidR="000C10C6">
        <w:t>.</w:t>
      </w:r>
    </w:p>
    <w:p w14:paraId="3E987084" w14:textId="3CB227AB" w:rsidR="00982621" w:rsidRDefault="00533610" w:rsidP="00533610">
      <w:pPr>
        <w:pStyle w:val="ListParagraph"/>
        <w:numPr>
          <w:ilvl w:val="0"/>
          <w:numId w:val="1"/>
        </w:numPr>
      </w:pPr>
      <w:r>
        <w:t>F</w:t>
      </w:r>
      <w:r w:rsidR="00982621">
        <w:t>oster good relations between people who have a protected characteristic and those who do not</w:t>
      </w:r>
      <w:r w:rsidR="000C10C6">
        <w:t>.</w:t>
      </w:r>
    </w:p>
    <w:p w14:paraId="164A5778" w14:textId="411658EA" w:rsidR="00982621" w:rsidRDefault="00982621" w:rsidP="00533610">
      <w:r w:rsidRPr="00F66E55">
        <w:rPr>
          <w:rStyle w:val="Highlight"/>
        </w:rPr>
        <w:t>Specific Equality Duties</w:t>
      </w:r>
      <w:r>
        <w:t xml:space="preserve"> ha</w:t>
      </w:r>
      <w:r w:rsidR="00367D11">
        <w:t>ve</w:t>
      </w:r>
      <w:r>
        <w:t xml:space="preserve"> three parts, namely, to publish:</w:t>
      </w:r>
    </w:p>
    <w:p w14:paraId="04D9C2D0" w14:textId="019337F8" w:rsidR="00982621" w:rsidRDefault="00533610" w:rsidP="00533610">
      <w:pPr>
        <w:pStyle w:val="ListParagraph"/>
        <w:numPr>
          <w:ilvl w:val="0"/>
          <w:numId w:val="2"/>
        </w:numPr>
      </w:pPr>
      <w:r>
        <w:t>E</w:t>
      </w:r>
      <w:r w:rsidR="00982621">
        <w:t>quality information</w:t>
      </w:r>
      <w:r w:rsidR="008B1E88">
        <w:t>.</w:t>
      </w:r>
    </w:p>
    <w:p w14:paraId="640EE1D2" w14:textId="2B479F5C" w:rsidR="00982621" w:rsidRDefault="00533610" w:rsidP="00533610">
      <w:pPr>
        <w:pStyle w:val="ListParagraph"/>
        <w:numPr>
          <w:ilvl w:val="0"/>
          <w:numId w:val="2"/>
        </w:numPr>
      </w:pPr>
      <w:r>
        <w:t>O</w:t>
      </w:r>
      <w:r w:rsidR="00982621">
        <w:t>ne or more equality objectives</w:t>
      </w:r>
      <w:r w:rsidR="008B1E88">
        <w:t>.</w:t>
      </w:r>
    </w:p>
    <w:p w14:paraId="494B1C37" w14:textId="6DBB8C27" w:rsidR="00982621" w:rsidRDefault="00533610" w:rsidP="00533610">
      <w:pPr>
        <w:pStyle w:val="ListParagraph"/>
        <w:numPr>
          <w:ilvl w:val="0"/>
          <w:numId w:val="2"/>
        </w:numPr>
      </w:pPr>
      <w:r>
        <w:t>G</w:t>
      </w:r>
      <w:r w:rsidR="00982621">
        <w:t xml:space="preserve">ender </w:t>
      </w:r>
      <w:proofErr w:type="gramStart"/>
      <w:r w:rsidR="00982621">
        <w:t>pay</w:t>
      </w:r>
      <w:proofErr w:type="gramEnd"/>
      <w:r w:rsidR="00982621">
        <w:t xml:space="preserve"> gap information</w:t>
      </w:r>
      <w:r w:rsidR="008B1E88">
        <w:t>.</w:t>
      </w:r>
    </w:p>
    <w:p w14:paraId="7ABE442A" w14:textId="1559EE64" w:rsidR="00982621" w:rsidRPr="00533610" w:rsidRDefault="00367D11" w:rsidP="00533610">
      <w:r w:rsidRPr="00533610">
        <w:t>This report combines</w:t>
      </w:r>
      <w:r w:rsidR="008B1E88" w:rsidRPr="00533610">
        <w:t xml:space="preserve"> both the General and Specific Equality Duties.</w:t>
      </w:r>
    </w:p>
    <w:p w14:paraId="3247C016" w14:textId="7AE8ECF2" w:rsidR="00533610" w:rsidRDefault="00DC2CC9" w:rsidP="00533610">
      <w:r>
        <w:t>The Equality Act 2010 defines nine protected characteristics.  Protected characteristics are things about a person that they may or may not identify with.  These are defined as:</w:t>
      </w:r>
    </w:p>
    <w:p w14:paraId="545DB0FA" w14:textId="4E5181D0" w:rsidR="00DC2CC9" w:rsidRDefault="00DC2CC9" w:rsidP="00DC2CC9">
      <w:pPr>
        <w:pStyle w:val="ListParagraph"/>
        <w:numPr>
          <w:ilvl w:val="0"/>
          <w:numId w:val="3"/>
        </w:numPr>
      </w:pPr>
      <w:r>
        <w:t>Age</w:t>
      </w:r>
    </w:p>
    <w:p w14:paraId="6CA034C0" w14:textId="7B445D60" w:rsidR="00DC2CC9" w:rsidRDefault="00DC2CC9" w:rsidP="00DC2CC9">
      <w:pPr>
        <w:pStyle w:val="ListParagraph"/>
        <w:numPr>
          <w:ilvl w:val="0"/>
          <w:numId w:val="3"/>
        </w:numPr>
      </w:pPr>
      <w:r>
        <w:t>Disability</w:t>
      </w:r>
    </w:p>
    <w:p w14:paraId="297AE80C" w14:textId="0D8E1FA0" w:rsidR="00DC2CC9" w:rsidRDefault="00DC2CC9" w:rsidP="00DC2CC9">
      <w:pPr>
        <w:pStyle w:val="ListParagraph"/>
        <w:numPr>
          <w:ilvl w:val="0"/>
          <w:numId w:val="3"/>
        </w:numPr>
      </w:pPr>
      <w:r>
        <w:t>Gender reassignment</w:t>
      </w:r>
    </w:p>
    <w:p w14:paraId="1B7B972C" w14:textId="6AEE542A" w:rsidR="00DC2CC9" w:rsidRDefault="00DC2CC9" w:rsidP="00DC2CC9">
      <w:pPr>
        <w:pStyle w:val="ListParagraph"/>
        <w:numPr>
          <w:ilvl w:val="0"/>
          <w:numId w:val="3"/>
        </w:numPr>
      </w:pPr>
      <w:r>
        <w:t>Marriage and civil partnership</w:t>
      </w:r>
    </w:p>
    <w:p w14:paraId="5E5C0DC1" w14:textId="6314D22C" w:rsidR="00DC2CC9" w:rsidRDefault="00DC2CC9" w:rsidP="00DC2CC9">
      <w:pPr>
        <w:pStyle w:val="ListParagraph"/>
        <w:numPr>
          <w:ilvl w:val="0"/>
          <w:numId w:val="3"/>
        </w:numPr>
      </w:pPr>
      <w:r>
        <w:t>Pregnancy and maternity</w:t>
      </w:r>
    </w:p>
    <w:p w14:paraId="3125489F" w14:textId="755673F4" w:rsidR="00DC2CC9" w:rsidRDefault="0039538F" w:rsidP="00DC2CC9">
      <w:pPr>
        <w:pStyle w:val="ListParagraph"/>
        <w:numPr>
          <w:ilvl w:val="0"/>
          <w:numId w:val="3"/>
        </w:numPr>
      </w:pPr>
      <w:r>
        <w:t>Race and ethnicity</w:t>
      </w:r>
    </w:p>
    <w:p w14:paraId="34566B6B" w14:textId="0A177860" w:rsidR="0039538F" w:rsidRDefault="0039538F" w:rsidP="00DC2CC9">
      <w:pPr>
        <w:pStyle w:val="ListParagraph"/>
        <w:numPr>
          <w:ilvl w:val="0"/>
          <w:numId w:val="3"/>
        </w:numPr>
      </w:pPr>
      <w:r>
        <w:t>Religion or belief</w:t>
      </w:r>
    </w:p>
    <w:p w14:paraId="3FDBD425" w14:textId="0AE3394F" w:rsidR="0039538F" w:rsidRDefault="0039538F" w:rsidP="00DC2CC9">
      <w:pPr>
        <w:pStyle w:val="ListParagraph"/>
        <w:numPr>
          <w:ilvl w:val="0"/>
          <w:numId w:val="3"/>
        </w:numPr>
      </w:pPr>
      <w:r>
        <w:t>Sex</w:t>
      </w:r>
    </w:p>
    <w:p w14:paraId="6F016FF8" w14:textId="418F3D6D" w:rsidR="0039538F" w:rsidRDefault="0039538F" w:rsidP="00DC2CC9">
      <w:pPr>
        <w:pStyle w:val="ListParagraph"/>
        <w:numPr>
          <w:ilvl w:val="0"/>
          <w:numId w:val="3"/>
        </w:numPr>
      </w:pPr>
      <w:r>
        <w:t>Sexual orientation</w:t>
      </w:r>
    </w:p>
    <w:p w14:paraId="05CA1705" w14:textId="1E2F35B2" w:rsidR="0039538F" w:rsidRDefault="0039538F" w:rsidP="0039538F">
      <w:r>
        <w:t>It is considered good practice to define additional characteristics that have geographical relevance.  In Somerset, we have jointly agreed the following as characteristics that we wish to consider when making decision and how we provide services to residents.</w:t>
      </w:r>
    </w:p>
    <w:p w14:paraId="71AE2A33" w14:textId="118BEA23" w:rsidR="0039538F" w:rsidRDefault="0039538F" w:rsidP="0039538F">
      <w:pPr>
        <w:pStyle w:val="ListParagraph"/>
        <w:numPr>
          <w:ilvl w:val="0"/>
          <w:numId w:val="4"/>
        </w:numPr>
      </w:pPr>
      <w:r>
        <w:t>Digital confidence</w:t>
      </w:r>
    </w:p>
    <w:p w14:paraId="6B6F759D" w14:textId="4BFE3117" w:rsidR="0039538F" w:rsidRDefault="0039538F" w:rsidP="0039538F">
      <w:pPr>
        <w:pStyle w:val="ListParagraph"/>
        <w:numPr>
          <w:ilvl w:val="0"/>
          <w:numId w:val="4"/>
        </w:numPr>
      </w:pPr>
      <w:r>
        <w:t>Homelessness</w:t>
      </w:r>
    </w:p>
    <w:p w14:paraId="2ED63FF8" w14:textId="77777777" w:rsidR="0039538F" w:rsidRDefault="0039538F" w:rsidP="0039538F">
      <w:pPr>
        <w:pStyle w:val="ListParagraph"/>
        <w:numPr>
          <w:ilvl w:val="0"/>
          <w:numId w:val="4"/>
        </w:numPr>
      </w:pPr>
      <w:r>
        <w:t>Military and veterans</w:t>
      </w:r>
    </w:p>
    <w:p w14:paraId="15CC121F" w14:textId="1D21A57C" w:rsidR="0039538F" w:rsidRDefault="0039538F" w:rsidP="0039538F">
      <w:pPr>
        <w:pStyle w:val="ListParagraph"/>
        <w:numPr>
          <w:ilvl w:val="0"/>
          <w:numId w:val="4"/>
        </w:numPr>
      </w:pPr>
      <w:r>
        <w:t>Rurality and coastal communities</w:t>
      </w:r>
    </w:p>
    <w:p w14:paraId="577CEB93" w14:textId="4BC26F0C" w:rsidR="0039538F" w:rsidRDefault="0039538F" w:rsidP="00203140">
      <w:r>
        <w:t xml:space="preserve">Further information about each of the protected characteristics can be found in </w:t>
      </w:r>
      <w:r w:rsidR="008076BB">
        <w:t>‘</w:t>
      </w:r>
      <w:r w:rsidR="008076BB" w:rsidRPr="008076BB">
        <w:fldChar w:fldCharType="begin"/>
      </w:r>
      <w:r w:rsidR="008076BB" w:rsidRPr="008076BB">
        <w:instrText xml:space="preserve"> REF _Ref163643336 \h </w:instrText>
      </w:r>
      <w:r w:rsidR="008076BB">
        <w:instrText xml:space="preserve"> \* MERGEFORMAT </w:instrText>
      </w:r>
      <w:r w:rsidR="008076BB" w:rsidRPr="008076BB">
        <w:fldChar w:fldCharType="separate"/>
      </w:r>
      <w:r w:rsidR="00EA68B6">
        <w:t>Appendix I – Protected Characteristics</w:t>
      </w:r>
      <w:r w:rsidR="008076BB" w:rsidRPr="008076BB">
        <w:fldChar w:fldCharType="end"/>
      </w:r>
      <w:r w:rsidR="008076BB" w:rsidRPr="008076BB">
        <w:t>’</w:t>
      </w:r>
      <w:r>
        <w:t>.</w:t>
      </w:r>
    </w:p>
    <w:p w14:paraId="1760ACB5" w14:textId="5AFA3399" w:rsidR="00203140" w:rsidRDefault="00203140" w:rsidP="00203140">
      <w:r>
        <w:lastRenderedPageBreak/>
        <w:t xml:space="preserve">These characteristics protect people from discrimination, </w:t>
      </w:r>
      <w:r w:rsidR="00FD1036">
        <w:t>harassment,</w:t>
      </w:r>
      <w:r>
        <w:t xml:space="preserve"> and victimisation when in work or when access services.  These are referred to </w:t>
      </w:r>
      <w:r>
        <w:t>as prohibited acts and you can see more information about these in ‘</w:t>
      </w:r>
      <w:r w:rsidR="00072C71">
        <w:t>Appendix II</w:t>
      </w:r>
      <w:r w:rsidR="00D84BA3">
        <w:t xml:space="preserve"> – Prohibited Conduct’</w:t>
      </w:r>
      <w:r w:rsidR="00D24438">
        <w:t>.</w:t>
      </w:r>
    </w:p>
    <w:p w14:paraId="65B79119" w14:textId="77777777" w:rsidR="00E327DE" w:rsidRPr="00E327DE" w:rsidRDefault="00E327DE" w:rsidP="00E327DE">
      <w:pPr>
        <w:sectPr w:rsidR="00E327DE" w:rsidRPr="00E327DE" w:rsidSect="000C10C6">
          <w:type w:val="continuous"/>
          <w:pgSz w:w="11906" w:h="16838"/>
          <w:pgMar w:top="1440" w:right="1080" w:bottom="1440" w:left="1080" w:header="708" w:footer="708" w:gutter="0"/>
          <w:pgNumType w:start="1"/>
          <w:cols w:num="2" w:space="720"/>
          <w:docGrid w:linePitch="381"/>
        </w:sectPr>
      </w:pPr>
    </w:p>
    <w:p w14:paraId="5BC3FB0A" w14:textId="34026B3D" w:rsidR="00FD1036" w:rsidRDefault="00752663" w:rsidP="00533610">
      <w:pPr>
        <w:pStyle w:val="Heading1"/>
      </w:pPr>
      <w:bookmarkStart w:id="1" w:name="_Toc198798552"/>
      <w:r>
        <w:rPr>
          <w:noProof/>
        </w:rPr>
        <w:lastRenderedPageBreak/>
        <w:drawing>
          <wp:anchor distT="0" distB="0" distL="114300" distR="114300" simplePos="0" relativeHeight="251658242" behindDoc="1" locked="0" layoutInCell="1" allowOverlap="1" wp14:anchorId="5101CA25" wp14:editId="5EFD71F9">
            <wp:simplePos x="0" y="0"/>
            <wp:positionH relativeFrom="page">
              <wp:posOffset>5641975</wp:posOffset>
            </wp:positionH>
            <wp:positionV relativeFrom="page">
              <wp:posOffset>-1193800</wp:posOffset>
            </wp:positionV>
            <wp:extent cx="2929201" cy="2916000"/>
            <wp:effectExtent l="0" t="0" r="5080" b="0"/>
            <wp:wrapTight wrapText="bothSides">
              <wp:wrapPolygon edited="0">
                <wp:start x="8852" y="0"/>
                <wp:lineTo x="7166" y="564"/>
                <wp:lineTo x="3934" y="1976"/>
                <wp:lineTo x="2951" y="3387"/>
                <wp:lineTo x="1827" y="4657"/>
                <wp:lineTo x="562" y="6915"/>
                <wp:lineTo x="0" y="9031"/>
                <wp:lineTo x="0" y="11995"/>
                <wp:lineTo x="281" y="13688"/>
                <wp:lineTo x="1265" y="15946"/>
                <wp:lineTo x="2810" y="18204"/>
                <wp:lineTo x="5901" y="20462"/>
                <wp:lineTo x="6182" y="20603"/>
                <wp:lineTo x="9133" y="21449"/>
                <wp:lineTo x="9695" y="21449"/>
                <wp:lineTo x="11802" y="21449"/>
                <wp:lineTo x="12364" y="21449"/>
                <wp:lineTo x="15315" y="20603"/>
                <wp:lineTo x="15596" y="20462"/>
                <wp:lineTo x="18687" y="18204"/>
                <wp:lineTo x="20373" y="15946"/>
                <wp:lineTo x="21216" y="13688"/>
                <wp:lineTo x="21497" y="11995"/>
                <wp:lineTo x="21497" y="9031"/>
                <wp:lineTo x="20935" y="6915"/>
                <wp:lineTo x="19811" y="4657"/>
                <wp:lineTo x="18265" y="3105"/>
                <wp:lineTo x="17703" y="2117"/>
                <wp:lineTo x="14331" y="564"/>
                <wp:lineTo x="12645" y="0"/>
                <wp:lineTo x="8852" y="0"/>
              </wp:wrapPolygon>
            </wp:wrapTight>
            <wp:docPr id="1279692251" name="Picture 1" descr="A wall covered with sticky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2251" name="Picture 1279692251" descr="A wall covered with sticky notes."/>
                    <pic:cNvPicPr/>
                  </pic:nvPicPr>
                  <pic:blipFill rotWithShape="1">
                    <a:blip r:embed="rId19" cstate="print">
                      <a:duotone>
                        <a:prstClr val="black"/>
                        <a:schemeClr val="tx2">
                          <a:tint val="45000"/>
                          <a:satMod val="400000"/>
                        </a:schemeClr>
                      </a:duotone>
                      <a:extLst>
                        <a:ext uri="{28A0092B-C50C-407E-A947-70E740481C1C}">
                          <a14:useLocalDpi xmlns:a14="http://schemas.microsoft.com/office/drawing/2010/main" val="0"/>
                        </a:ext>
                      </a:extLst>
                    </a:blip>
                    <a:srcRect t="1326" r="38643"/>
                    <a:stretch/>
                  </pic:blipFill>
                  <pic:spPr bwMode="auto">
                    <a:xfrm>
                      <a:off x="0" y="0"/>
                      <a:ext cx="2929201" cy="29160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036">
        <w:t>Equality initiatives</w:t>
      </w:r>
      <w:bookmarkEnd w:id="1"/>
    </w:p>
    <w:p w14:paraId="5ACB8C27" w14:textId="0627E674" w:rsidR="004577AC" w:rsidRDefault="004577AC" w:rsidP="004577AC">
      <w:r>
        <w:t xml:space="preserve">Somerset ICB undertakes several initiatives and activities to improve access and experience of services in Somerset.  These are a combination of those which we are asked to undertake as part of national </w:t>
      </w:r>
      <w:r w:rsidR="00C27B03">
        <w:t>initiatives but</w:t>
      </w:r>
      <w:r>
        <w:t xml:space="preserve"> also include activities that we choose to undertake to address the local needs of </w:t>
      </w:r>
      <w:r w:rsidR="00C27B03">
        <w:t xml:space="preserve">our </w:t>
      </w:r>
      <w:r>
        <w:t>patients.</w:t>
      </w:r>
    </w:p>
    <w:p w14:paraId="187BA73D" w14:textId="72252068" w:rsidR="004577AC" w:rsidRPr="004577AC" w:rsidRDefault="004577AC" w:rsidP="004577AC">
      <w:r>
        <w:t xml:space="preserve">Within this section, we set out </w:t>
      </w:r>
      <w:r w:rsidR="00955CC6">
        <w:t>some</w:t>
      </w:r>
      <w:r>
        <w:t xml:space="preserve"> of the initiatives </w:t>
      </w:r>
      <w:r w:rsidR="003B2A11">
        <w:t>with which</w:t>
      </w:r>
      <w:r>
        <w:t xml:space="preserve"> </w:t>
      </w:r>
      <w:r w:rsidR="00BB7369">
        <w:t xml:space="preserve">we </w:t>
      </w:r>
      <w:r w:rsidR="00096BAA">
        <w:t>have</w:t>
      </w:r>
      <w:r>
        <w:t xml:space="preserve"> </w:t>
      </w:r>
      <w:r w:rsidR="003B2A11">
        <w:t xml:space="preserve">been involved </w:t>
      </w:r>
      <w:r w:rsidR="00096BAA">
        <w:t>over the year</w:t>
      </w:r>
      <w:r>
        <w:t>.</w:t>
      </w:r>
    </w:p>
    <w:p w14:paraId="411BCE3E" w14:textId="77777777" w:rsidR="00FD1036" w:rsidRDefault="00FD1036" w:rsidP="00FD1036">
      <w:pPr>
        <w:sectPr w:rsidR="00FD1036" w:rsidSect="00F57319">
          <w:type w:val="continuous"/>
          <w:pgSz w:w="11906" w:h="16838"/>
          <w:pgMar w:top="1440" w:right="1080" w:bottom="1440" w:left="1080" w:header="708" w:footer="708" w:gutter="0"/>
          <w:cols w:space="720"/>
          <w:docGrid w:linePitch="381"/>
        </w:sectPr>
      </w:pPr>
    </w:p>
    <w:p w14:paraId="4266CFC2" w14:textId="1482B72F" w:rsidR="004577AC" w:rsidRDefault="0099157D" w:rsidP="004577AC">
      <w:pPr>
        <w:pStyle w:val="Heading2"/>
      </w:pPr>
      <w:bookmarkStart w:id="2" w:name="_Toc198798553"/>
      <w:r>
        <w:t>Shared Care Agreements</w:t>
      </w:r>
      <w:bookmarkEnd w:id="2"/>
    </w:p>
    <w:p w14:paraId="3FDB57D3" w14:textId="2E5D773C" w:rsidR="00536CD2" w:rsidRDefault="009641CA" w:rsidP="004577AC">
      <w:r>
        <w:t xml:space="preserve">As part of the </w:t>
      </w:r>
      <w:r w:rsidR="00405A59">
        <w:t xml:space="preserve">GP Collective action, we </w:t>
      </w:r>
      <w:r w:rsidR="00C44D1F">
        <w:t>undertook an Equality Impact Assessment</w:t>
      </w:r>
      <w:r w:rsidR="006B6A4A">
        <w:t xml:space="preserve"> (</w:t>
      </w:r>
      <w:r w:rsidR="006B6A4A">
        <w:rPr>
          <w:b/>
          <w:bCs/>
        </w:rPr>
        <w:t>EIA</w:t>
      </w:r>
      <w:r w:rsidR="006B6A4A">
        <w:t>)</w:t>
      </w:r>
      <w:r w:rsidR="00C44D1F">
        <w:t xml:space="preserve"> of the proposed actions to establish any </w:t>
      </w:r>
      <w:r w:rsidR="00363A1E">
        <w:t>groups,</w:t>
      </w:r>
      <w:r w:rsidR="00C44D1F">
        <w:t xml:space="preserve"> or protected cha</w:t>
      </w:r>
      <w:r w:rsidR="00363A1E">
        <w:t xml:space="preserve">racteristics </w:t>
      </w:r>
      <w:r w:rsidR="00096BAA">
        <w:t xml:space="preserve">that </w:t>
      </w:r>
      <w:r w:rsidR="00363A1E">
        <w:t>might be impacted as a result.</w:t>
      </w:r>
    </w:p>
    <w:p w14:paraId="5833102C" w14:textId="130896F0" w:rsidR="00BD213E" w:rsidRDefault="006B6A4A" w:rsidP="004577AC">
      <w:r>
        <w:t xml:space="preserve">The EIA process highlighted that </w:t>
      </w:r>
      <w:r w:rsidR="00C6163F">
        <w:t>our transgender population who were receiving hormone therapies as part of their gender-affirming care packages</w:t>
      </w:r>
      <w:r w:rsidR="003F3A89">
        <w:t xml:space="preserve"> could potentially </w:t>
      </w:r>
      <w:r w:rsidR="00B708CB">
        <w:t>have Shared Care Agreements withdrawn or refused under the planned action.</w:t>
      </w:r>
    </w:p>
    <w:p w14:paraId="66528186" w14:textId="5CAB454C" w:rsidR="00B708CB" w:rsidRDefault="00B708CB" w:rsidP="004577AC">
      <w:r>
        <w:t xml:space="preserve">This </w:t>
      </w:r>
      <w:r w:rsidR="001D479E">
        <w:t xml:space="preserve">raised concerns in respect of the adverse impacts of not receiving gender affirming care both on the </w:t>
      </w:r>
      <w:r w:rsidR="00133C8A">
        <w:t>individual’s</w:t>
      </w:r>
      <w:r w:rsidR="001D479E">
        <w:t xml:space="preserve"> wellbeing </w:t>
      </w:r>
      <w:r w:rsidR="001D6725">
        <w:t>and</w:t>
      </w:r>
      <w:r w:rsidR="001D479E">
        <w:t xml:space="preserve"> the </w:t>
      </w:r>
      <w:r w:rsidR="0074093D">
        <w:t>alternative methods of obtaining hormone treatments, for example online purchases or drug sharing within the community.</w:t>
      </w:r>
    </w:p>
    <w:p w14:paraId="25DCB719" w14:textId="2721932D" w:rsidR="0074093D" w:rsidRDefault="001D6725" w:rsidP="004577AC">
      <w:r>
        <w:t>We worked closely with trans people and organis</w:t>
      </w:r>
      <w:r w:rsidR="001F2BFE">
        <w:t xml:space="preserve">ations supporting trans </w:t>
      </w:r>
      <w:r w:rsidR="001F2BFE">
        <w:t>communities to enhance our understanding of the impacts.</w:t>
      </w:r>
    </w:p>
    <w:p w14:paraId="5E5F9E6C" w14:textId="64C41129" w:rsidR="00B1721F" w:rsidRDefault="002C5BA8" w:rsidP="004577AC">
      <w:r>
        <w:t>To</w:t>
      </w:r>
      <w:r w:rsidR="00B1721F">
        <w:t xml:space="preserve"> address </w:t>
      </w:r>
      <w:r w:rsidR="006E09BB">
        <w:t>the concerns that were raised and our own assessment of impact</w:t>
      </w:r>
      <w:r w:rsidR="00B1721F">
        <w:t xml:space="preserve">, we have developed a partnership with </w:t>
      </w:r>
      <w:r w:rsidR="00237AC4">
        <w:t xml:space="preserve">local services and a GP practice in West Sussex who have a gender specialist clinic </w:t>
      </w:r>
      <w:r w:rsidR="003B436A">
        <w:t xml:space="preserve">to offer patients an alternative NHS route to receiving care, including </w:t>
      </w:r>
      <w:r w:rsidR="00461E1D">
        <w:t>prescribing of medication</w:t>
      </w:r>
      <w:r w:rsidR="00A73353">
        <w:t xml:space="preserve"> where appropriate.  This also ensures that essential monitoring of the </w:t>
      </w:r>
      <w:r w:rsidR="00B02CB8">
        <w:t>effects of taking medication is undertaken.</w:t>
      </w:r>
    </w:p>
    <w:p w14:paraId="3E2A3C43" w14:textId="3CC2204A" w:rsidR="002C5BA8" w:rsidRDefault="002C5BA8" w:rsidP="004577AC">
      <w:r>
        <w:t xml:space="preserve">We have </w:t>
      </w:r>
      <w:r w:rsidR="00FC48E3">
        <w:t xml:space="preserve">identified </w:t>
      </w:r>
      <w:r w:rsidR="00E54027">
        <w:t>a small group of</w:t>
      </w:r>
      <w:r w:rsidR="00FC48E3">
        <w:t xml:space="preserve"> people who were willing to pilot this partnership to test that it would be an effective and safe solution for the wider population of Somerset.</w:t>
      </w:r>
      <w:r w:rsidR="0084675D">
        <w:t xml:space="preserve">  The results of this have been overwhelmingly positive and our patient</w:t>
      </w:r>
      <w:r w:rsidR="00E54027">
        <w:t xml:space="preserve"> group</w:t>
      </w:r>
      <w:r w:rsidR="0084675D">
        <w:t xml:space="preserve"> ha</w:t>
      </w:r>
      <w:r w:rsidR="00E54027">
        <w:t>s</w:t>
      </w:r>
      <w:r w:rsidR="0084675D">
        <w:t xml:space="preserve"> </w:t>
      </w:r>
      <w:r w:rsidR="00DB5F5A">
        <w:t>provided us with some truly encouraging feedback.</w:t>
      </w:r>
    </w:p>
    <w:p w14:paraId="475A746F" w14:textId="511BA2FB" w:rsidR="00DB5F5A" w:rsidRDefault="00DB5F5A" w:rsidP="004577AC">
      <w:r>
        <w:t>We are now planning to launch this pathway to all patients who are seeking gender affirming</w:t>
      </w:r>
      <w:r w:rsidR="00133C8A">
        <w:t xml:space="preserve"> care, with the caveat </w:t>
      </w:r>
      <w:r w:rsidR="00133C8A">
        <w:lastRenderedPageBreak/>
        <w:t>that only those who are aged 16 or above and have a GP registration in Somerset.</w:t>
      </w:r>
    </w:p>
    <w:p w14:paraId="73456526" w14:textId="7A73A075" w:rsidR="00761B6C" w:rsidRDefault="00834AB1" w:rsidP="004577AC">
      <w:r>
        <w:t>T</w:t>
      </w:r>
      <w:r w:rsidR="00761B6C">
        <w:t xml:space="preserve">raining of clinicians and community providers </w:t>
      </w:r>
      <w:r w:rsidR="00096BAA">
        <w:t xml:space="preserve">is </w:t>
      </w:r>
      <w:r>
        <w:t>planned for</w:t>
      </w:r>
      <w:r w:rsidR="00EF6B7B">
        <w:t xml:space="preserve"> mid-June 2025</w:t>
      </w:r>
      <w:r w:rsidR="001450C2">
        <w:t>.  We then</w:t>
      </w:r>
      <w:r w:rsidR="00096BAA">
        <w:t xml:space="preserve"> plan to</w:t>
      </w:r>
      <w:r w:rsidR="00EF6B7B">
        <w:t xml:space="preserve"> launch this to</w:t>
      </w:r>
      <w:r w:rsidR="002F3884">
        <w:t xml:space="preserve"> the</w:t>
      </w:r>
      <w:r w:rsidR="00EF6B7B">
        <w:t xml:space="preserve"> public.</w:t>
      </w:r>
    </w:p>
    <w:p w14:paraId="339D79E5" w14:textId="6F167308" w:rsidR="00393DF5" w:rsidRDefault="00412DC2" w:rsidP="00752663">
      <w:pPr>
        <w:pStyle w:val="Heading2"/>
      </w:pPr>
      <w:bookmarkStart w:id="3" w:name="_Accessible_Information_Standard"/>
      <w:bookmarkStart w:id="4" w:name="_Toc198798554"/>
      <w:bookmarkEnd w:id="3"/>
      <w:r>
        <w:t>Migrants and displaced people</w:t>
      </w:r>
      <w:bookmarkEnd w:id="4"/>
    </w:p>
    <w:p w14:paraId="6E1271E5" w14:textId="31B6DC4A" w:rsidR="00BD213E" w:rsidRDefault="00A12832" w:rsidP="00732B1E">
      <w:r>
        <w:t xml:space="preserve">As with all parts of the country, Somerset has </w:t>
      </w:r>
      <w:r w:rsidR="0085268C">
        <w:t xml:space="preserve">welcomed several people into the county in recent years.  This includes the various government schemes, such as Homes for Ukraine, </w:t>
      </w:r>
      <w:r w:rsidR="00A57814">
        <w:t>British National (Overseas)</w:t>
      </w:r>
      <w:r w:rsidR="00EE0D61">
        <w:t xml:space="preserve">, </w:t>
      </w:r>
      <w:r w:rsidR="009F1840">
        <w:t>Afghan Relocations and Assistance Policy (</w:t>
      </w:r>
      <w:r w:rsidR="009F1840" w:rsidRPr="009F1840">
        <w:rPr>
          <w:b/>
          <w:bCs/>
        </w:rPr>
        <w:t>ARAP</w:t>
      </w:r>
      <w:r w:rsidR="009F1840">
        <w:t>)</w:t>
      </w:r>
      <w:r w:rsidR="009E3D70">
        <w:t>, Afghan Citizens Resettlement Scheme (</w:t>
      </w:r>
      <w:r w:rsidR="009E3D70">
        <w:rPr>
          <w:b/>
          <w:bCs/>
        </w:rPr>
        <w:t>ACRS</w:t>
      </w:r>
      <w:r w:rsidR="009E3D70">
        <w:t>)</w:t>
      </w:r>
      <w:r w:rsidR="00422943">
        <w:t xml:space="preserve">, to name a </w:t>
      </w:r>
      <w:r w:rsidR="00B503AC">
        <w:t>handful</w:t>
      </w:r>
      <w:r w:rsidR="00422943">
        <w:t>.</w:t>
      </w:r>
    </w:p>
    <w:p w14:paraId="453D6DA5" w14:textId="5453DF39" w:rsidR="00C72185" w:rsidRDefault="00B503AC" w:rsidP="00732B1E">
      <w:r>
        <w:t xml:space="preserve">In Somerset, </w:t>
      </w:r>
      <w:r w:rsidR="00EF7E64">
        <w:t xml:space="preserve">we </w:t>
      </w:r>
      <w:r w:rsidR="00096BAA">
        <w:t xml:space="preserve">currently </w:t>
      </w:r>
      <w:r w:rsidR="00EF7E64">
        <w:t>have one hotel accommodat</w:t>
      </w:r>
      <w:r w:rsidR="00096BAA">
        <w:t>ing</w:t>
      </w:r>
      <w:r w:rsidR="00EF7E64">
        <w:t xml:space="preserve"> asylum seekers</w:t>
      </w:r>
      <w:r w:rsidR="00404E14">
        <w:t xml:space="preserve"> and </w:t>
      </w:r>
      <w:r w:rsidR="00C72185">
        <w:t>Somerset NHS Foundation Trust is responsible for providing health services to its residents.</w:t>
      </w:r>
      <w:r w:rsidR="001C2E74">
        <w:t xml:space="preserve">  </w:t>
      </w:r>
      <w:r w:rsidR="008A4C05">
        <w:t xml:space="preserve">The ICB has increased its </w:t>
      </w:r>
      <w:r w:rsidR="001C2E74">
        <w:t>visibility during 2024/2025 offering signposting and support to residents in engaging with health.</w:t>
      </w:r>
    </w:p>
    <w:p w14:paraId="55933520" w14:textId="195B7C6D" w:rsidR="000E78AB" w:rsidRPr="009E3D70" w:rsidRDefault="005856ED" w:rsidP="00732B1E">
      <w:r>
        <w:t xml:space="preserve">Working closely with the GP assigned to hotel, we have been able to provide support </w:t>
      </w:r>
      <w:r w:rsidR="00D91E6A">
        <w:t xml:space="preserve">to ensure that residents are able to access </w:t>
      </w:r>
      <w:r w:rsidR="002D64D7">
        <w:t>personalised care to meet their needs.</w:t>
      </w:r>
    </w:p>
    <w:p w14:paraId="6892858F" w14:textId="49712688" w:rsidR="005001C4" w:rsidRDefault="00242645" w:rsidP="00242645">
      <w:pPr>
        <w:pStyle w:val="Heading2"/>
      </w:pPr>
      <w:bookmarkStart w:id="5" w:name="_Toc198798555"/>
      <w:r>
        <w:t>Puberty blockers</w:t>
      </w:r>
      <w:bookmarkEnd w:id="5"/>
    </w:p>
    <w:p w14:paraId="2FB5379C" w14:textId="0DAB1CAD" w:rsidR="001A0F67" w:rsidRDefault="00C2235A" w:rsidP="004577AC">
      <w:r>
        <w:t>C</w:t>
      </w:r>
      <w:r w:rsidR="002D64D7">
        <w:t>hanges to the law regarding the prescribing of</w:t>
      </w:r>
      <w:r w:rsidR="006208E1">
        <w:t xml:space="preserve"> GnRH Analogues (puberty blockers) </w:t>
      </w:r>
      <w:r w:rsidR="00BA3EB6">
        <w:t>in respect of gender identity</w:t>
      </w:r>
      <w:r w:rsidR="00BD0E8F">
        <w:t>,</w:t>
      </w:r>
      <w:r w:rsidR="009C2F6F">
        <w:t xml:space="preserve"> brought about by the </w:t>
      </w:r>
      <w:hyperlink r:id="rId20" w:history="1">
        <w:r w:rsidR="009C2F6F" w:rsidRPr="00520CC3">
          <w:rPr>
            <w:rStyle w:val="Hyperlink"/>
          </w:rPr>
          <w:t>Cass Review</w:t>
        </w:r>
      </w:hyperlink>
      <w:r w:rsidR="00BD0E8F">
        <w:t>, were implemented during this period</w:t>
      </w:r>
      <w:r w:rsidR="00520CC3">
        <w:t>.</w:t>
      </w:r>
      <w:r w:rsidR="00BF5A3D">
        <w:t xml:space="preserve">  This made the prescribing of puberty blockers to children and young people</w:t>
      </w:r>
      <w:r w:rsidR="00D73FF7">
        <w:t xml:space="preserve"> (</w:t>
      </w:r>
      <w:r w:rsidR="00D73FF7">
        <w:rPr>
          <w:b/>
          <w:bCs/>
        </w:rPr>
        <w:t>CYP</w:t>
      </w:r>
      <w:r w:rsidR="00D73FF7">
        <w:t>)</w:t>
      </w:r>
      <w:r w:rsidR="00BF5A3D">
        <w:t xml:space="preserve"> unlawful when being </w:t>
      </w:r>
      <w:r w:rsidR="0074499F">
        <w:t>used to address gender incongruence.</w:t>
      </w:r>
    </w:p>
    <w:p w14:paraId="47F7E7D9" w14:textId="1C86388C" w:rsidR="00BD0E8F" w:rsidRDefault="0074499F" w:rsidP="004577AC">
      <w:r>
        <w:t>The closure of NHS’s Gender Identity Development Service (</w:t>
      </w:r>
      <w:r>
        <w:rPr>
          <w:b/>
          <w:bCs/>
        </w:rPr>
        <w:t>GIDS</w:t>
      </w:r>
      <w:r>
        <w:t xml:space="preserve">) also </w:t>
      </w:r>
      <w:r w:rsidR="006A4D30">
        <w:t xml:space="preserve">changed the treatment options available to </w:t>
      </w:r>
      <w:r w:rsidR="000B2517">
        <w:t xml:space="preserve">CYP, moving services more locally to paediatric units and </w:t>
      </w:r>
      <w:r w:rsidR="009017A1">
        <w:t>Children and Adolescent Mental Health Services (</w:t>
      </w:r>
      <w:r w:rsidR="009017A1">
        <w:rPr>
          <w:b/>
          <w:bCs/>
        </w:rPr>
        <w:t>CAMHS</w:t>
      </w:r>
      <w:r w:rsidR="009017A1">
        <w:t>).</w:t>
      </w:r>
    </w:p>
    <w:p w14:paraId="3E30FCE5" w14:textId="32CB4EEC" w:rsidR="00873ED0" w:rsidRDefault="00873ED0" w:rsidP="004577AC">
      <w:r>
        <w:t>In response, our Safeguarding team and Equality Lead provided training on these changes to clinical staff</w:t>
      </w:r>
      <w:r w:rsidR="00C83A33">
        <w:t xml:space="preserve"> and safeguarding leads</w:t>
      </w:r>
      <w:r>
        <w:t xml:space="preserve"> involved in the care of this patient group</w:t>
      </w:r>
      <w:r w:rsidR="00C83A33">
        <w:t xml:space="preserve">.  This training was also </w:t>
      </w:r>
      <w:r w:rsidR="00EF307C">
        <w:t>delivered to local authority staff, including education.</w:t>
      </w:r>
    </w:p>
    <w:p w14:paraId="4DBCAC75" w14:textId="6C581555" w:rsidR="00EF307C" w:rsidRPr="009017A1" w:rsidRDefault="00FE7473" w:rsidP="004577AC">
      <w:r>
        <w:t xml:space="preserve">The training comprised </w:t>
      </w:r>
      <w:r w:rsidR="00DB77CA">
        <w:t xml:space="preserve">clinical guidance and trans awareness to support teams taking on the support of CYP experiencing gender incongruence and reached </w:t>
      </w:r>
      <w:r w:rsidR="00906230">
        <w:t xml:space="preserve">over 70 people across 4 </w:t>
      </w:r>
      <w:r w:rsidR="00561857">
        <w:t xml:space="preserve">separate </w:t>
      </w:r>
      <w:r w:rsidR="00906230">
        <w:t>workshops.</w:t>
      </w:r>
    </w:p>
    <w:p w14:paraId="2E535FAC" w14:textId="7BD22F65" w:rsidR="005001C4" w:rsidRDefault="005001C4" w:rsidP="004577AC">
      <w:pPr>
        <w:pStyle w:val="Heading2"/>
      </w:pPr>
      <w:bookmarkStart w:id="6" w:name="_Toc198798556"/>
      <w:r>
        <w:t xml:space="preserve">Community </w:t>
      </w:r>
      <w:r w:rsidR="009B6421">
        <w:t xml:space="preserve">networks and </w:t>
      </w:r>
      <w:r w:rsidR="008273B6">
        <w:t>forums</w:t>
      </w:r>
      <w:bookmarkEnd w:id="6"/>
    </w:p>
    <w:p w14:paraId="4F8A2665" w14:textId="7702C984" w:rsidR="005001C4" w:rsidRDefault="00832B62" w:rsidP="004577AC">
      <w:r>
        <w:t xml:space="preserve">We are </w:t>
      </w:r>
      <w:r w:rsidR="00631BDE">
        <w:t>core members of numerous network and forums across the county.</w:t>
      </w:r>
    </w:p>
    <w:p w14:paraId="4A93A574" w14:textId="13C803E9" w:rsidR="00631BDE" w:rsidRDefault="00631BDE" w:rsidP="004577AC">
      <w:r>
        <w:lastRenderedPageBreak/>
        <w:t xml:space="preserve">During 2024/2025 </w:t>
      </w:r>
      <w:r w:rsidR="001537DF">
        <w:t>the Somerset Equality Partnership</w:t>
      </w:r>
      <w:r>
        <w:t xml:space="preserve"> was created bringing together statutory bodies and </w:t>
      </w:r>
      <w:r w:rsidR="002607E6">
        <w:t>Voluntary, Community, Faith</w:t>
      </w:r>
      <w:r w:rsidR="00061B65">
        <w:t xml:space="preserve"> and Social Enterprise (</w:t>
      </w:r>
      <w:r w:rsidR="00061B65">
        <w:rPr>
          <w:b/>
          <w:bCs/>
        </w:rPr>
        <w:t>VCFSE</w:t>
      </w:r>
      <w:r w:rsidR="00061B65">
        <w:t>) organisations</w:t>
      </w:r>
      <w:r w:rsidR="005A7D2C">
        <w:t>. The intention of this group is to</w:t>
      </w:r>
      <w:r w:rsidR="00231149">
        <w:t xml:space="preserve"> share good practices and promote joint working in respect of equality matters.</w:t>
      </w:r>
    </w:p>
    <w:p w14:paraId="22B554B5" w14:textId="34B382EE" w:rsidR="007D46EE" w:rsidRDefault="007D46EE" w:rsidP="004577AC">
      <w:r>
        <w:t xml:space="preserve">We are also a member of the </w:t>
      </w:r>
      <w:r w:rsidR="00D954E9">
        <w:t>South West</w:t>
      </w:r>
      <w:r>
        <w:t xml:space="preserve"> </w:t>
      </w:r>
      <w:r w:rsidR="002C07AA">
        <w:t>EDI Leads meeting which is organised by NHS England (South West) to bring together good examples of EDI work across the region.</w:t>
      </w:r>
    </w:p>
    <w:p w14:paraId="0B139573" w14:textId="323470AE" w:rsidR="00604B3C" w:rsidRDefault="00074C67" w:rsidP="004577AC">
      <w:r>
        <w:t xml:space="preserve">We are members of the </w:t>
      </w:r>
      <w:r w:rsidR="00604B3C">
        <w:t>Somerset LGBTQ+ Network</w:t>
      </w:r>
      <w:r>
        <w:t xml:space="preserve"> providing information and guidance in respect of health issues</w:t>
      </w:r>
      <w:r w:rsidR="003B0037">
        <w:t xml:space="preserve"> and challenges</w:t>
      </w:r>
      <w:r>
        <w:t xml:space="preserve"> faced by</w:t>
      </w:r>
      <w:r w:rsidR="00CA1579">
        <w:t xml:space="preserve"> Lesbian, Gay, Bisexual, Trans, Queer/Questioning (LGBTQ) populations</w:t>
      </w:r>
      <w:r w:rsidR="00522C28">
        <w:t xml:space="preserve">.  </w:t>
      </w:r>
      <w:r w:rsidR="008B030B">
        <w:t>This network provides the opportunity to work closely with VCFSE and statutory functions to improve the experiences of LGBTQ+ people living within Somerset.</w:t>
      </w:r>
    </w:p>
    <w:p w14:paraId="3750E6A0" w14:textId="4C5B3F77" w:rsidR="005C298A" w:rsidRPr="0030083A" w:rsidRDefault="009B4D68" w:rsidP="004577AC">
      <w:r>
        <w:t xml:space="preserve">We are members of the </w:t>
      </w:r>
      <w:r w:rsidR="001537DF">
        <w:t>Somerset Gypsy/Traveller Forum</w:t>
      </w:r>
      <w:r>
        <w:t xml:space="preserve">.  Led by Somerset Council’s Gypsy Liaison Officer, this network </w:t>
      </w:r>
      <w:r w:rsidR="001428AF">
        <w:t>enables us to improve our understanding of the challenges faced in accessing health care for the Gypsy, Roma and Traveller</w:t>
      </w:r>
      <w:r w:rsidR="0030083A">
        <w:t xml:space="preserve"> (</w:t>
      </w:r>
      <w:r w:rsidR="0030083A">
        <w:rPr>
          <w:b/>
          <w:bCs/>
        </w:rPr>
        <w:t>GRT</w:t>
      </w:r>
      <w:r w:rsidR="0030083A">
        <w:t xml:space="preserve">) communities and to share work that is being undertaken within </w:t>
      </w:r>
      <w:r w:rsidR="0030083A">
        <w:t>Somerset’s health services to improve these.</w:t>
      </w:r>
    </w:p>
    <w:p w14:paraId="5FF9B5D4" w14:textId="714F0027" w:rsidR="005001C4" w:rsidRDefault="00D70CC9" w:rsidP="004577AC">
      <w:pPr>
        <w:pStyle w:val="Heading2"/>
      </w:pPr>
      <w:bookmarkStart w:id="7" w:name="_Toc198798557"/>
      <w:r>
        <w:t>Pharmacy access to interpreters</w:t>
      </w:r>
      <w:bookmarkEnd w:id="7"/>
    </w:p>
    <w:p w14:paraId="1889FF9F" w14:textId="45F81AB1" w:rsidR="005D7D9B" w:rsidRDefault="00C43518" w:rsidP="005D7D9B">
      <w:r>
        <w:t xml:space="preserve">In response to patient feedback, </w:t>
      </w:r>
      <w:r w:rsidR="00D93E0B">
        <w:t xml:space="preserve">we have undertaken a project to provide greater support to community pharmacy in the </w:t>
      </w:r>
      <w:r w:rsidR="00D05089">
        <w:t>provision of interpreting and translation services.</w:t>
      </w:r>
    </w:p>
    <w:p w14:paraId="4EF53F66" w14:textId="3B443CB8" w:rsidR="00D05089" w:rsidRDefault="00D05089" w:rsidP="005D7D9B">
      <w:r>
        <w:t xml:space="preserve">Feedback suggests that </w:t>
      </w:r>
      <w:r w:rsidR="006B7986">
        <w:t>interpreters are not routinely provided to patients accessing community pharmacy services</w:t>
      </w:r>
      <w:r w:rsidR="00E52A1E">
        <w:t xml:space="preserve">, which can lead to confusion over medication </w:t>
      </w:r>
      <w:r w:rsidR="00981AFC">
        <w:t>dosage and potential side-effects.</w:t>
      </w:r>
    </w:p>
    <w:p w14:paraId="26589C44" w14:textId="3F98D4D1" w:rsidR="00981AFC" w:rsidRDefault="00981AFC" w:rsidP="005D7D9B">
      <w:r>
        <w:t xml:space="preserve">We have </w:t>
      </w:r>
      <w:r w:rsidR="00D57375">
        <w:t>run awareness campaigns including training to community pharmacy in respect of the importance of using professional interpreters</w:t>
      </w:r>
      <w:r w:rsidR="00D57C3D">
        <w:t xml:space="preserve"> when dealing with people who do not have English as a first language.</w:t>
      </w:r>
    </w:p>
    <w:p w14:paraId="74FE07B2" w14:textId="18088ADD" w:rsidR="00D57C3D" w:rsidRDefault="006E4C4E" w:rsidP="005D7D9B">
      <w:r>
        <w:t>Information packs for all pharmacies in Somerset</w:t>
      </w:r>
      <w:r w:rsidR="00576A2B">
        <w:t xml:space="preserve"> are in development </w:t>
      </w:r>
      <w:r>
        <w:t xml:space="preserve">which include posters for display in patient areas advising of the </w:t>
      </w:r>
      <w:r w:rsidR="00470D2F">
        <w:t>opportunity to request and interpreter.  These packs also contain:</w:t>
      </w:r>
    </w:p>
    <w:p w14:paraId="4DC1F990" w14:textId="6FF347AC" w:rsidR="00470D2F" w:rsidRDefault="00470D2F" w:rsidP="00470D2F">
      <w:pPr>
        <w:pStyle w:val="ListParagraph"/>
        <w:numPr>
          <w:ilvl w:val="0"/>
          <w:numId w:val="10"/>
        </w:numPr>
      </w:pPr>
      <w:r>
        <w:t xml:space="preserve">Prompt cards for patients to use </w:t>
      </w:r>
      <w:r w:rsidR="000B1A3E">
        <w:t>to request an interpreter in their preferred language.</w:t>
      </w:r>
    </w:p>
    <w:p w14:paraId="32908FF6" w14:textId="7ADB6053" w:rsidR="000B1A3E" w:rsidRDefault="000B1A3E" w:rsidP="00470D2F">
      <w:pPr>
        <w:pStyle w:val="ListParagraph"/>
        <w:numPr>
          <w:ilvl w:val="0"/>
          <w:numId w:val="10"/>
        </w:numPr>
      </w:pPr>
      <w:r>
        <w:t>Guidance for pharmacy staff to arrange for interpreters.</w:t>
      </w:r>
    </w:p>
    <w:p w14:paraId="431147AB" w14:textId="359F3179" w:rsidR="000B1A3E" w:rsidRPr="005D7D9B" w:rsidRDefault="00BB774A" w:rsidP="00BB774A">
      <w:r>
        <w:lastRenderedPageBreak/>
        <w:t xml:space="preserve">Once the roll out to pharmacy has been completed, we aim to replicate this </w:t>
      </w:r>
      <w:r>
        <w:t>with dentistry and optometry</w:t>
      </w:r>
      <w:r w:rsidR="005A7D2C">
        <w:t xml:space="preserve"> practices</w:t>
      </w:r>
      <w:r>
        <w:t xml:space="preserve"> across the county.</w:t>
      </w:r>
    </w:p>
    <w:p w14:paraId="62C3F3D8" w14:textId="77777777" w:rsidR="00FD1036" w:rsidRDefault="00FD1036" w:rsidP="00533610">
      <w:pPr>
        <w:pStyle w:val="Heading1"/>
        <w:sectPr w:rsidR="00FD1036" w:rsidSect="00FD1036">
          <w:type w:val="continuous"/>
          <w:pgSz w:w="11906" w:h="16838"/>
          <w:pgMar w:top="1440" w:right="1080" w:bottom="1440" w:left="1080" w:header="708" w:footer="708" w:gutter="0"/>
          <w:cols w:num="2" w:space="720"/>
          <w:docGrid w:linePitch="381"/>
        </w:sectPr>
      </w:pPr>
    </w:p>
    <w:p w14:paraId="5EA34B84" w14:textId="3CB69A11" w:rsidR="00393DF5" w:rsidRDefault="00203140" w:rsidP="009D3293">
      <w:pPr>
        <w:pStyle w:val="Heading1"/>
      </w:pPr>
      <w:bookmarkStart w:id="8" w:name="_Toc198798558"/>
      <w:r>
        <w:rPr>
          <w:noProof/>
        </w:rPr>
        <w:lastRenderedPageBreak/>
        <w:drawing>
          <wp:anchor distT="0" distB="0" distL="114300" distR="114300" simplePos="0" relativeHeight="251658241" behindDoc="1" locked="0" layoutInCell="1" allowOverlap="1" wp14:anchorId="53E37A38" wp14:editId="0412E5E1">
            <wp:simplePos x="0" y="0"/>
            <wp:positionH relativeFrom="column">
              <wp:posOffset>4552950</wp:posOffset>
            </wp:positionH>
            <wp:positionV relativeFrom="page">
              <wp:posOffset>-698500</wp:posOffset>
            </wp:positionV>
            <wp:extent cx="2884170" cy="2887294"/>
            <wp:effectExtent l="0" t="0" r="0" b="8890"/>
            <wp:wrapTight wrapText="bothSides">
              <wp:wrapPolygon edited="0">
                <wp:start x="8845" y="0"/>
                <wp:lineTo x="7133" y="570"/>
                <wp:lineTo x="3852" y="1996"/>
                <wp:lineTo x="3424" y="2851"/>
                <wp:lineTo x="1712" y="4704"/>
                <wp:lineTo x="571" y="6985"/>
                <wp:lineTo x="0" y="9123"/>
                <wp:lineTo x="0" y="11974"/>
                <wp:lineTo x="285" y="13827"/>
                <wp:lineTo x="1284" y="16107"/>
                <wp:lineTo x="2853" y="18388"/>
                <wp:lineTo x="6420" y="20811"/>
                <wp:lineTo x="9416" y="21524"/>
                <wp:lineTo x="9701" y="21524"/>
                <wp:lineTo x="11699" y="21524"/>
                <wp:lineTo x="12127" y="21524"/>
                <wp:lineTo x="14980" y="20811"/>
                <wp:lineTo x="18547" y="18388"/>
                <wp:lineTo x="20259" y="16107"/>
                <wp:lineTo x="21115" y="13827"/>
                <wp:lineTo x="21400" y="11974"/>
                <wp:lineTo x="21400" y="9123"/>
                <wp:lineTo x="20830" y="6985"/>
                <wp:lineTo x="19688" y="4704"/>
                <wp:lineTo x="17976" y="2851"/>
                <wp:lineTo x="17691" y="2138"/>
                <wp:lineTo x="14267" y="570"/>
                <wp:lineTo x="12555" y="0"/>
                <wp:lineTo x="8845" y="0"/>
              </wp:wrapPolygon>
            </wp:wrapTight>
            <wp:docPr id="1576973835" name="Picture 2" descr="People in meet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73835" name="Picture 1576973835" descr="People in meeting room"/>
                    <pic:cNvPicPr/>
                  </pic:nvPicPr>
                  <pic:blipFill rotWithShape="1">
                    <a:blip r:embed="rId21" cstate="print">
                      <a:duotone>
                        <a:prstClr val="black"/>
                        <a:schemeClr val="tx2">
                          <a:tint val="45000"/>
                          <a:satMod val="400000"/>
                        </a:schemeClr>
                      </a:duotone>
                      <a:extLst>
                        <a:ext uri="{28A0092B-C50C-407E-A947-70E740481C1C}">
                          <a14:useLocalDpi xmlns:a14="http://schemas.microsoft.com/office/drawing/2010/main" val="0"/>
                        </a:ext>
                      </a:extLst>
                    </a:blip>
                    <a:srcRect l="15186" r="18222"/>
                    <a:stretch/>
                  </pic:blipFill>
                  <pic:spPr bwMode="auto">
                    <a:xfrm>
                      <a:off x="0" y="0"/>
                      <a:ext cx="2884170" cy="2887294"/>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175B">
        <w:t>Training</w:t>
      </w:r>
      <w:bookmarkEnd w:id="8"/>
    </w:p>
    <w:p w14:paraId="21A2E338" w14:textId="50F7CC85" w:rsidR="005C079E" w:rsidRDefault="005C079E" w:rsidP="005C079E">
      <w:r>
        <w:t>During 2024-2025, we continued to provide training to ICB staff</w:t>
      </w:r>
      <w:r w:rsidR="007912FE">
        <w:t>, NHS trusts,</w:t>
      </w:r>
      <w:r w:rsidR="00CA14A5">
        <w:t xml:space="preserve"> GP practices</w:t>
      </w:r>
      <w:r w:rsidR="007912FE">
        <w:t xml:space="preserve"> and local authority colleagues</w:t>
      </w:r>
      <w:r w:rsidR="00CA14A5">
        <w:t xml:space="preserve"> covering various topics</w:t>
      </w:r>
      <w:r w:rsidR="007912FE">
        <w:t xml:space="preserve"> related to equality, diversity and inclusion.</w:t>
      </w:r>
    </w:p>
    <w:p w14:paraId="0E82C56D" w14:textId="4E2418EC" w:rsidR="007912FE" w:rsidRDefault="00ED53F8" w:rsidP="005C079E">
      <w:r>
        <w:t>Table 1 b</w:t>
      </w:r>
      <w:r w:rsidR="007912FE">
        <w:t>elow is a summary of the training delivered</w:t>
      </w:r>
      <w:r w:rsidR="00B005A9">
        <w:t xml:space="preserve"> show</w:t>
      </w:r>
      <w:r w:rsidR="005A7D2C">
        <w:t>ing</w:t>
      </w:r>
      <w:r w:rsidR="00B005A9">
        <w:t xml:space="preserve"> the total number of EDI specific training sessions offered by the ICB was 24, which hosted </w:t>
      </w:r>
      <w:r w:rsidR="00283932">
        <w:t xml:space="preserve">347 delegates.  This equates to a total commitment of 533 hours of EDI training </w:t>
      </w:r>
      <w:r w:rsidR="00004108">
        <w:t>supported</w:t>
      </w:r>
      <w:r w:rsidR="00283932">
        <w:t xml:space="preserve"> during </w:t>
      </w:r>
      <w:r w:rsidR="00C70170">
        <w:t xml:space="preserve">the </w:t>
      </w:r>
      <w:r w:rsidR="00283932">
        <w:t>2024/2025</w:t>
      </w:r>
      <w:r w:rsidR="00C70170">
        <w:t xml:space="preserve"> period</w:t>
      </w:r>
      <w:r w:rsidR="00283932">
        <w:t>.</w:t>
      </w:r>
    </w:p>
    <w:p w14:paraId="208055AA" w14:textId="4FB51B54" w:rsidR="00EB5306" w:rsidRDefault="00EB5306" w:rsidP="00EB5306">
      <w:pPr>
        <w:pStyle w:val="Caption"/>
        <w:keepNext/>
      </w:pPr>
      <w:r>
        <w:t xml:space="preserve">Table </w:t>
      </w:r>
      <w:r>
        <w:fldChar w:fldCharType="begin"/>
      </w:r>
      <w:r>
        <w:instrText xml:space="preserve"> SEQ Table \* ARABIC </w:instrText>
      </w:r>
      <w:r>
        <w:fldChar w:fldCharType="separate"/>
      </w:r>
      <w:r w:rsidR="00EA68B6">
        <w:rPr>
          <w:noProof/>
        </w:rPr>
        <w:t>1</w:t>
      </w:r>
      <w:r>
        <w:fldChar w:fldCharType="end"/>
      </w:r>
      <w:r>
        <w:t xml:space="preserve"> - Training delivered to ICB staff and partner agencies 2024.2025</w:t>
      </w:r>
    </w:p>
    <w:tbl>
      <w:tblPr>
        <w:tblStyle w:val="TableGrid"/>
        <w:tblW w:w="0" w:type="auto"/>
        <w:tblBorders>
          <w:top w:val="single" w:sz="4" w:space="0" w:color="0072C6" w:themeColor="text2"/>
          <w:left w:val="single" w:sz="4" w:space="0" w:color="0072C6" w:themeColor="text2"/>
          <w:bottom w:val="single" w:sz="4" w:space="0" w:color="0072C6" w:themeColor="text2"/>
          <w:right w:val="single" w:sz="4" w:space="0" w:color="0072C6" w:themeColor="text2"/>
          <w:insideH w:val="single" w:sz="4" w:space="0" w:color="0072C6" w:themeColor="text2"/>
          <w:insideV w:val="single" w:sz="4" w:space="0" w:color="0072C6" w:themeColor="text2"/>
        </w:tblBorders>
        <w:tblLook w:val="0420" w:firstRow="1" w:lastRow="0" w:firstColumn="0" w:lastColumn="0" w:noHBand="0" w:noVBand="1"/>
      </w:tblPr>
      <w:tblGrid>
        <w:gridCol w:w="4106"/>
        <w:gridCol w:w="1418"/>
        <w:gridCol w:w="1417"/>
        <w:gridCol w:w="1306"/>
        <w:gridCol w:w="1489"/>
      </w:tblGrid>
      <w:tr w:rsidR="00690812" w:rsidRPr="000A0CEC" w14:paraId="61798228" w14:textId="71857E0F" w:rsidTr="00EB5306">
        <w:tc>
          <w:tcPr>
            <w:tcW w:w="4106" w:type="dxa"/>
            <w:shd w:val="clear" w:color="auto" w:fill="0072C6" w:themeFill="text2"/>
          </w:tcPr>
          <w:p w14:paraId="7269F074" w14:textId="77777777" w:rsidR="00690812" w:rsidRPr="000A0CEC" w:rsidRDefault="00690812" w:rsidP="005A7D2C">
            <w:pPr>
              <w:spacing w:before="40" w:after="40"/>
              <w:rPr>
                <w:b/>
                <w:bCs/>
                <w:color w:val="FFFFFF" w:themeColor="background1"/>
              </w:rPr>
            </w:pPr>
            <w:r>
              <w:rPr>
                <w:b/>
                <w:bCs/>
                <w:color w:val="FFFFFF" w:themeColor="background1"/>
              </w:rPr>
              <w:t>Training session</w:t>
            </w:r>
          </w:p>
        </w:tc>
        <w:tc>
          <w:tcPr>
            <w:tcW w:w="1418" w:type="dxa"/>
            <w:shd w:val="clear" w:color="auto" w:fill="0072C6" w:themeFill="text2"/>
          </w:tcPr>
          <w:p w14:paraId="653A798A" w14:textId="77777777" w:rsidR="00690812" w:rsidRPr="000A0CEC" w:rsidRDefault="00690812" w:rsidP="005A7D2C">
            <w:pPr>
              <w:spacing w:before="40" w:after="40"/>
              <w:jc w:val="center"/>
              <w:rPr>
                <w:b/>
                <w:bCs/>
                <w:color w:val="FFFFFF" w:themeColor="background1"/>
              </w:rPr>
            </w:pPr>
            <w:r>
              <w:rPr>
                <w:b/>
                <w:bCs/>
                <w:color w:val="FFFFFF" w:themeColor="background1"/>
              </w:rPr>
              <w:t>Number delivered</w:t>
            </w:r>
          </w:p>
        </w:tc>
        <w:tc>
          <w:tcPr>
            <w:tcW w:w="1417" w:type="dxa"/>
            <w:shd w:val="clear" w:color="auto" w:fill="0072C6" w:themeFill="text2"/>
          </w:tcPr>
          <w:p w14:paraId="0F559673" w14:textId="77777777" w:rsidR="00690812" w:rsidRPr="000A0CEC" w:rsidRDefault="00690812" w:rsidP="005A7D2C">
            <w:pPr>
              <w:spacing w:before="40" w:after="40"/>
              <w:jc w:val="center"/>
              <w:rPr>
                <w:b/>
                <w:bCs/>
                <w:color w:val="FFFFFF" w:themeColor="background1"/>
              </w:rPr>
            </w:pPr>
            <w:r>
              <w:rPr>
                <w:b/>
                <w:bCs/>
                <w:color w:val="FFFFFF" w:themeColor="background1"/>
              </w:rPr>
              <w:t>Total delegates</w:t>
            </w:r>
          </w:p>
        </w:tc>
        <w:tc>
          <w:tcPr>
            <w:tcW w:w="1306" w:type="dxa"/>
            <w:shd w:val="clear" w:color="auto" w:fill="0072C6" w:themeFill="text2"/>
          </w:tcPr>
          <w:p w14:paraId="6A510E2E" w14:textId="78F5CC0A" w:rsidR="00690812" w:rsidRDefault="00690812" w:rsidP="005A7D2C">
            <w:pPr>
              <w:spacing w:before="40" w:after="40"/>
              <w:jc w:val="center"/>
              <w:rPr>
                <w:b/>
                <w:bCs/>
                <w:color w:val="FFFFFF" w:themeColor="background1"/>
              </w:rPr>
            </w:pPr>
            <w:r>
              <w:rPr>
                <w:b/>
                <w:bCs/>
                <w:color w:val="FFFFFF" w:themeColor="background1"/>
              </w:rPr>
              <w:t>Session duration (hours)</w:t>
            </w:r>
          </w:p>
        </w:tc>
        <w:tc>
          <w:tcPr>
            <w:tcW w:w="1489" w:type="dxa"/>
            <w:shd w:val="clear" w:color="auto" w:fill="0072C6" w:themeFill="text2"/>
          </w:tcPr>
          <w:p w14:paraId="29420A60" w14:textId="4EFCEB41" w:rsidR="00690812" w:rsidRDefault="00690812" w:rsidP="005A7D2C">
            <w:pPr>
              <w:spacing w:before="40" w:after="40"/>
              <w:jc w:val="center"/>
              <w:rPr>
                <w:b/>
                <w:bCs/>
                <w:color w:val="FFFFFF" w:themeColor="background1"/>
              </w:rPr>
            </w:pPr>
            <w:r>
              <w:rPr>
                <w:b/>
                <w:bCs/>
                <w:color w:val="FFFFFF" w:themeColor="background1"/>
              </w:rPr>
              <w:t xml:space="preserve">Total </w:t>
            </w:r>
            <w:r w:rsidR="00A77E83">
              <w:rPr>
                <w:b/>
                <w:bCs/>
                <w:color w:val="FFFFFF" w:themeColor="background1"/>
              </w:rPr>
              <w:t>training</w:t>
            </w:r>
            <w:r>
              <w:rPr>
                <w:b/>
                <w:bCs/>
                <w:color w:val="FFFFFF" w:themeColor="background1"/>
              </w:rPr>
              <w:t xml:space="preserve"> hours</w:t>
            </w:r>
          </w:p>
        </w:tc>
      </w:tr>
      <w:tr w:rsidR="00072F2F" w14:paraId="1E127B37" w14:textId="61DB606A" w:rsidTr="00EB5306">
        <w:tc>
          <w:tcPr>
            <w:tcW w:w="4106" w:type="dxa"/>
          </w:tcPr>
          <w:p w14:paraId="71A5A0F2" w14:textId="77777777" w:rsidR="00072F2F" w:rsidRDefault="00072F2F" w:rsidP="005A7D2C">
            <w:pPr>
              <w:spacing w:before="40" w:after="40"/>
            </w:pPr>
            <w:r>
              <w:t>Equality Impact Assessments Workshop</w:t>
            </w:r>
          </w:p>
        </w:tc>
        <w:tc>
          <w:tcPr>
            <w:tcW w:w="1418" w:type="dxa"/>
          </w:tcPr>
          <w:p w14:paraId="7A1C5893" w14:textId="77777777" w:rsidR="00072F2F" w:rsidRDefault="00072F2F" w:rsidP="005A7D2C">
            <w:pPr>
              <w:spacing w:before="40" w:after="40"/>
              <w:jc w:val="center"/>
            </w:pPr>
            <w:r>
              <w:t>11</w:t>
            </w:r>
          </w:p>
        </w:tc>
        <w:tc>
          <w:tcPr>
            <w:tcW w:w="1417" w:type="dxa"/>
          </w:tcPr>
          <w:p w14:paraId="2C7EF890" w14:textId="77777777" w:rsidR="00072F2F" w:rsidRDefault="00072F2F" w:rsidP="005A7D2C">
            <w:pPr>
              <w:spacing w:before="40" w:after="40"/>
              <w:jc w:val="center"/>
            </w:pPr>
            <w:r>
              <w:t>56</w:t>
            </w:r>
          </w:p>
        </w:tc>
        <w:tc>
          <w:tcPr>
            <w:tcW w:w="1306" w:type="dxa"/>
          </w:tcPr>
          <w:p w14:paraId="76C9C668" w14:textId="2DB10FD4" w:rsidR="00072F2F" w:rsidRDefault="00072F2F" w:rsidP="005A7D2C">
            <w:pPr>
              <w:spacing w:before="40" w:after="40"/>
              <w:jc w:val="center"/>
            </w:pPr>
            <w:r>
              <w:t>1.5</w:t>
            </w:r>
          </w:p>
        </w:tc>
        <w:tc>
          <w:tcPr>
            <w:tcW w:w="1489" w:type="dxa"/>
          </w:tcPr>
          <w:p w14:paraId="380EBDB1" w14:textId="5252772A" w:rsidR="00072F2F" w:rsidRDefault="00072F2F" w:rsidP="005A7D2C">
            <w:pPr>
              <w:spacing w:before="40" w:after="40"/>
              <w:jc w:val="center"/>
            </w:pPr>
            <w:r w:rsidRPr="001347BD">
              <w:t>84</w:t>
            </w:r>
          </w:p>
        </w:tc>
      </w:tr>
      <w:tr w:rsidR="00072F2F" w14:paraId="5A12B1AA" w14:textId="1D9E3B92" w:rsidTr="00EB5306">
        <w:tc>
          <w:tcPr>
            <w:tcW w:w="4106" w:type="dxa"/>
          </w:tcPr>
          <w:p w14:paraId="460DAAB9" w14:textId="77777777" w:rsidR="00072F2F" w:rsidRDefault="00072F2F" w:rsidP="005A7D2C">
            <w:pPr>
              <w:spacing w:before="40" w:after="40"/>
            </w:pPr>
            <w:r>
              <w:t>GP EDI Workshop</w:t>
            </w:r>
          </w:p>
        </w:tc>
        <w:tc>
          <w:tcPr>
            <w:tcW w:w="1418" w:type="dxa"/>
          </w:tcPr>
          <w:p w14:paraId="155B4876" w14:textId="77777777" w:rsidR="00072F2F" w:rsidRDefault="00072F2F" w:rsidP="005A7D2C">
            <w:pPr>
              <w:spacing w:before="40" w:after="40"/>
              <w:jc w:val="center"/>
            </w:pPr>
            <w:r>
              <w:t>1</w:t>
            </w:r>
          </w:p>
        </w:tc>
        <w:tc>
          <w:tcPr>
            <w:tcW w:w="1417" w:type="dxa"/>
          </w:tcPr>
          <w:p w14:paraId="69F794C1" w14:textId="77777777" w:rsidR="00072F2F" w:rsidRDefault="00072F2F" w:rsidP="005A7D2C">
            <w:pPr>
              <w:spacing w:before="40" w:after="40"/>
              <w:jc w:val="center"/>
            </w:pPr>
            <w:r>
              <w:t>20</w:t>
            </w:r>
          </w:p>
        </w:tc>
        <w:tc>
          <w:tcPr>
            <w:tcW w:w="1306" w:type="dxa"/>
          </w:tcPr>
          <w:p w14:paraId="30B934F4" w14:textId="7CB90CC2" w:rsidR="00072F2F" w:rsidRDefault="00072F2F" w:rsidP="005A7D2C">
            <w:pPr>
              <w:spacing w:before="40" w:after="40"/>
              <w:jc w:val="center"/>
            </w:pPr>
            <w:r>
              <w:t>2</w:t>
            </w:r>
          </w:p>
        </w:tc>
        <w:tc>
          <w:tcPr>
            <w:tcW w:w="1489" w:type="dxa"/>
          </w:tcPr>
          <w:p w14:paraId="5A60218F" w14:textId="40B27A19" w:rsidR="00072F2F" w:rsidRDefault="00072F2F" w:rsidP="005A7D2C">
            <w:pPr>
              <w:spacing w:before="40" w:after="40"/>
              <w:jc w:val="center"/>
            </w:pPr>
            <w:r w:rsidRPr="001347BD">
              <w:t>40</w:t>
            </w:r>
          </w:p>
        </w:tc>
      </w:tr>
      <w:tr w:rsidR="00072F2F" w14:paraId="7075FC77" w14:textId="5D220E7C" w:rsidTr="00EB5306">
        <w:tc>
          <w:tcPr>
            <w:tcW w:w="4106" w:type="dxa"/>
          </w:tcPr>
          <w:p w14:paraId="1A36A2C6" w14:textId="77777777" w:rsidR="00072F2F" w:rsidRDefault="00072F2F" w:rsidP="005A7D2C">
            <w:pPr>
              <w:spacing w:before="40" w:after="40"/>
            </w:pPr>
            <w:r>
              <w:t>Gypsy Roma and Traveller health workshop</w:t>
            </w:r>
          </w:p>
        </w:tc>
        <w:tc>
          <w:tcPr>
            <w:tcW w:w="1418" w:type="dxa"/>
          </w:tcPr>
          <w:p w14:paraId="3D0F3B81" w14:textId="77777777" w:rsidR="00072F2F" w:rsidRDefault="00072F2F" w:rsidP="005A7D2C">
            <w:pPr>
              <w:spacing w:before="40" w:after="40"/>
              <w:jc w:val="center"/>
            </w:pPr>
            <w:r>
              <w:t>1</w:t>
            </w:r>
          </w:p>
        </w:tc>
        <w:tc>
          <w:tcPr>
            <w:tcW w:w="1417" w:type="dxa"/>
          </w:tcPr>
          <w:p w14:paraId="0C6A98D6" w14:textId="77777777" w:rsidR="00072F2F" w:rsidRDefault="00072F2F" w:rsidP="005A7D2C">
            <w:pPr>
              <w:spacing w:before="40" w:after="40"/>
              <w:jc w:val="center"/>
            </w:pPr>
            <w:r>
              <w:t>20</w:t>
            </w:r>
          </w:p>
        </w:tc>
        <w:tc>
          <w:tcPr>
            <w:tcW w:w="1306" w:type="dxa"/>
          </w:tcPr>
          <w:p w14:paraId="1142A8ED" w14:textId="622B5906" w:rsidR="00072F2F" w:rsidRDefault="00072F2F" w:rsidP="005A7D2C">
            <w:pPr>
              <w:spacing w:before="40" w:after="40"/>
              <w:jc w:val="center"/>
            </w:pPr>
            <w:r>
              <w:t>2</w:t>
            </w:r>
          </w:p>
        </w:tc>
        <w:tc>
          <w:tcPr>
            <w:tcW w:w="1489" w:type="dxa"/>
          </w:tcPr>
          <w:p w14:paraId="7E92A46D" w14:textId="1A02E3E1" w:rsidR="00072F2F" w:rsidRDefault="00072F2F" w:rsidP="005A7D2C">
            <w:pPr>
              <w:spacing w:before="40" w:after="40"/>
              <w:jc w:val="center"/>
            </w:pPr>
            <w:r w:rsidRPr="001347BD">
              <w:t>40</w:t>
            </w:r>
          </w:p>
        </w:tc>
      </w:tr>
      <w:tr w:rsidR="00072F2F" w14:paraId="2A4407AD" w14:textId="5E76F144" w:rsidTr="00EB5306">
        <w:tc>
          <w:tcPr>
            <w:tcW w:w="4106" w:type="dxa"/>
          </w:tcPr>
          <w:p w14:paraId="7963604E" w14:textId="77777777" w:rsidR="00072F2F" w:rsidRDefault="00072F2F" w:rsidP="005A7D2C">
            <w:pPr>
              <w:spacing w:before="40" w:after="40"/>
            </w:pPr>
            <w:r>
              <w:t>Infection Prevention and Control EDI Workshop</w:t>
            </w:r>
          </w:p>
        </w:tc>
        <w:tc>
          <w:tcPr>
            <w:tcW w:w="1418" w:type="dxa"/>
          </w:tcPr>
          <w:p w14:paraId="747292EF" w14:textId="77777777" w:rsidR="00072F2F" w:rsidRDefault="00072F2F" w:rsidP="005A7D2C">
            <w:pPr>
              <w:spacing w:before="40" w:after="40"/>
              <w:jc w:val="center"/>
            </w:pPr>
            <w:r>
              <w:t>1</w:t>
            </w:r>
          </w:p>
        </w:tc>
        <w:tc>
          <w:tcPr>
            <w:tcW w:w="1417" w:type="dxa"/>
          </w:tcPr>
          <w:p w14:paraId="6A7BCBBD" w14:textId="77777777" w:rsidR="00072F2F" w:rsidRDefault="00072F2F" w:rsidP="005A7D2C">
            <w:pPr>
              <w:spacing w:before="40" w:after="40"/>
              <w:jc w:val="center"/>
            </w:pPr>
            <w:r>
              <w:t>42</w:t>
            </w:r>
          </w:p>
        </w:tc>
        <w:tc>
          <w:tcPr>
            <w:tcW w:w="1306" w:type="dxa"/>
          </w:tcPr>
          <w:p w14:paraId="0B680701" w14:textId="34032069" w:rsidR="00072F2F" w:rsidRDefault="00072F2F" w:rsidP="005A7D2C">
            <w:pPr>
              <w:spacing w:before="40" w:after="40"/>
              <w:jc w:val="center"/>
            </w:pPr>
            <w:r>
              <w:t>1</w:t>
            </w:r>
          </w:p>
        </w:tc>
        <w:tc>
          <w:tcPr>
            <w:tcW w:w="1489" w:type="dxa"/>
          </w:tcPr>
          <w:p w14:paraId="1412B943" w14:textId="7BECFD8F" w:rsidR="00072F2F" w:rsidRDefault="00072F2F" w:rsidP="005A7D2C">
            <w:pPr>
              <w:spacing w:before="40" w:after="40"/>
              <w:jc w:val="center"/>
            </w:pPr>
            <w:r w:rsidRPr="001347BD">
              <w:t>42</w:t>
            </w:r>
          </w:p>
        </w:tc>
      </w:tr>
      <w:tr w:rsidR="00072F2F" w14:paraId="61C464F0" w14:textId="78A4C48F" w:rsidTr="00EB5306">
        <w:tc>
          <w:tcPr>
            <w:tcW w:w="4106" w:type="dxa"/>
          </w:tcPr>
          <w:p w14:paraId="0EE72E8C" w14:textId="77777777" w:rsidR="00072F2F" w:rsidRDefault="00072F2F" w:rsidP="005A7D2C">
            <w:pPr>
              <w:spacing w:before="40" w:after="40"/>
            </w:pPr>
            <w:r>
              <w:t>Making your services accessible</w:t>
            </w:r>
          </w:p>
        </w:tc>
        <w:tc>
          <w:tcPr>
            <w:tcW w:w="1418" w:type="dxa"/>
          </w:tcPr>
          <w:p w14:paraId="55F17B43" w14:textId="77777777" w:rsidR="00072F2F" w:rsidRDefault="00072F2F" w:rsidP="005A7D2C">
            <w:pPr>
              <w:spacing w:before="40" w:after="40"/>
              <w:jc w:val="center"/>
            </w:pPr>
            <w:r>
              <w:t>1</w:t>
            </w:r>
          </w:p>
        </w:tc>
        <w:tc>
          <w:tcPr>
            <w:tcW w:w="1417" w:type="dxa"/>
          </w:tcPr>
          <w:p w14:paraId="2C12A158" w14:textId="77777777" w:rsidR="00072F2F" w:rsidRDefault="00072F2F" w:rsidP="005A7D2C">
            <w:pPr>
              <w:spacing w:before="40" w:after="40"/>
              <w:jc w:val="center"/>
            </w:pPr>
            <w:r>
              <w:t>23</w:t>
            </w:r>
          </w:p>
        </w:tc>
        <w:tc>
          <w:tcPr>
            <w:tcW w:w="1306" w:type="dxa"/>
          </w:tcPr>
          <w:p w14:paraId="3361152A" w14:textId="76FF1ED4" w:rsidR="00072F2F" w:rsidRDefault="00072F2F" w:rsidP="005A7D2C">
            <w:pPr>
              <w:spacing w:before="40" w:after="40"/>
              <w:jc w:val="center"/>
            </w:pPr>
            <w:r>
              <w:t>1</w:t>
            </w:r>
          </w:p>
        </w:tc>
        <w:tc>
          <w:tcPr>
            <w:tcW w:w="1489" w:type="dxa"/>
          </w:tcPr>
          <w:p w14:paraId="64158860" w14:textId="4DC85A73" w:rsidR="00072F2F" w:rsidRDefault="00072F2F" w:rsidP="005A7D2C">
            <w:pPr>
              <w:spacing w:before="40" w:after="40"/>
              <w:jc w:val="center"/>
            </w:pPr>
            <w:r w:rsidRPr="001347BD">
              <w:t>23</w:t>
            </w:r>
          </w:p>
        </w:tc>
      </w:tr>
      <w:tr w:rsidR="00072F2F" w14:paraId="796763E8" w14:textId="2B278281" w:rsidTr="00EB5306">
        <w:tc>
          <w:tcPr>
            <w:tcW w:w="4106" w:type="dxa"/>
          </w:tcPr>
          <w:p w14:paraId="46613F54" w14:textId="77777777" w:rsidR="00072F2F" w:rsidRDefault="00072F2F" w:rsidP="005A7D2C">
            <w:pPr>
              <w:spacing w:before="40" w:after="40"/>
            </w:pPr>
            <w:r>
              <w:t>Practice Managers’ Development Day</w:t>
            </w:r>
          </w:p>
        </w:tc>
        <w:tc>
          <w:tcPr>
            <w:tcW w:w="1418" w:type="dxa"/>
          </w:tcPr>
          <w:p w14:paraId="1BC741D3" w14:textId="77777777" w:rsidR="00072F2F" w:rsidRDefault="00072F2F" w:rsidP="005A7D2C">
            <w:pPr>
              <w:spacing w:before="40" w:after="40"/>
              <w:jc w:val="center"/>
            </w:pPr>
            <w:r>
              <w:t>1</w:t>
            </w:r>
          </w:p>
        </w:tc>
        <w:tc>
          <w:tcPr>
            <w:tcW w:w="1417" w:type="dxa"/>
          </w:tcPr>
          <w:p w14:paraId="4634F9FE" w14:textId="42F9E637" w:rsidR="00072F2F" w:rsidRDefault="00072F2F" w:rsidP="005A7D2C">
            <w:pPr>
              <w:spacing w:before="40" w:after="40"/>
              <w:jc w:val="center"/>
            </w:pPr>
            <w:r>
              <w:t>14</w:t>
            </w:r>
          </w:p>
        </w:tc>
        <w:tc>
          <w:tcPr>
            <w:tcW w:w="1306" w:type="dxa"/>
          </w:tcPr>
          <w:p w14:paraId="1589986F" w14:textId="5C01696A" w:rsidR="00072F2F" w:rsidRDefault="00072F2F" w:rsidP="005A7D2C">
            <w:pPr>
              <w:spacing w:before="40" w:after="40"/>
              <w:jc w:val="center"/>
            </w:pPr>
            <w:r>
              <w:t>2</w:t>
            </w:r>
          </w:p>
        </w:tc>
        <w:tc>
          <w:tcPr>
            <w:tcW w:w="1489" w:type="dxa"/>
          </w:tcPr>
          <w:p w14:paraId="25C64AE2" w14:textId="1A42BF3A" w:rsidR="00072F2F" w:rsidRDefault="00072F2F" w:rsidP="005A7D2C">
            <w:pPr>
              <w:spacing w:before="40" w:after="40"/>
              <w:jc w:val="center"/>
            </w:pPr>
            <w:r w:rsidRPr="001347BD">
              <w:t>28</w:t>
            </w:r>
          </w:p>
        </w:tc>
      </w:tr>
      <w:tr w:rsidR="00072F2F" w14:paraId="03E04BC6" w14:textId="3091366A" w:rsidTr="00EB5306">
        <w:tc>
          <w:tcPr>
            <w:tcW w:w="4106" w:type="dxa"/>
          </w:tcPr>
          <w:p w14:paraId="0E70A4EF" w14:textId="77777777" w:rsidR="00072F2F" w:rsidRDefault="00072F2F" w:rsidP="005A7D2C">
            <w:pPr>
              <w:spacing w:before="40" w:after="40"/>
            </w:pPr>
            <w:r>
              <w:t>Supporting Children and Young People Questioning their Gender</w:t>
            </w:r>
          </w:p>
        </w:tc>
        <w:tc>
          <w:tcPr>
            <w:tcW w:w="1418" w:type="dxa"/>
          </w:tcPr>
          <w:p w14:paraId="12741CCC" w14:textId="77777777" w:rsidR="00072F2F" w:rsidRDefault="00072F2F" w:rsidP="005A7D2C">
            <w:pPr>
              <w:spacing w:before="40" w:after="40"/>
              <w:jc w:val="center"/>
            </w:pPr>
            <w:r>
              <w:t>3</w:t>
            </w:r>
          </w:p>
        </w:tc>
        <w:tc>
          <w:tcPr>
            <w:tcW w:w="1417" w:type="dxa"/>
          </w:tcPr>
          <w:p w14:paraId="0B818BE3" w14:textId="77777777" w:rsidR="00072F2F" w:rsidRDefault="00072F2F" w:rsidP="005A7D2C">
            <w:pPr>
              <w:spacing w:before="40" w:after="40"/>
              <w:jc w:val="center"/>
            </w:pPr>
            <w:r>
              <w:t>37</w:t>
            </w:r>
          </w:p>
        </w:tc>
        <w:tc>
          <w:tcPr>
            <w:tcW w:w="1306" w:type="dxa"/>
          </w:tcPr>
          <w:p w14:paraId="02EB8F85" w14:textId="68AEC644" w:rsidR="00072F2F" w:rsidRDefault="00072F2F" w:rsidP="005A7D2C">
            <w:pPr>
              <w:spacing w:before="40" w:after="40"/>
              <w:jc w:val="center"/>
            </w:pPr>
            <w:r>
              <w:t>2</w:t>
            </w:r>
          </w:p>
        </w:tc>
        <w:tc>
          <w:tcPr>
            <w:tcW w:w="1489" w:type="dxa"/>
          </w:tcPr>
          <w:p w14:paraId="4DE160CA" w14:textId="0DAED88F" w:rsidR="00072F2F" w:rsidRDefault="00072F2F" w:rsidP="005A7D2C">
            <w:pPr>
              <w:spacing w:before="40" w:after="40"/>
              <w:jc w:val="center"/>
            </w:pPr>
            <w:r w:rsidRPr="001347BD">
              <w:t>74</w:t>
            </w:r>
          </w:p>
        </w:tc>
      </w:tr>
      <w:tr w:rsidR="00072F2F" w14:paraId="21C60109" w14:textId="292778C7" w:rsidTr="00EB5306">
        <w:tc>
          <w:tcPr>
            <w:tcW w:w="4106" w:type="dxa"/>
          </w:tcPr>
          <w:p w14:paraId="4EC7A945" w14:textId="77777777" w:rsidR="00072F2F" w:rsidRDefault="00072F2F" w:rsidP="005A7D2C">
            <w:pPr>
              <w:spacing w:before="40" w:after="40"/>
            </w:pPr>
            <w:r>
              <w:t>Trans children and young people safeguarding workshop</w:t>
            </w:r>
          </w:p>
        </w:tc>
        <w:tc>
          <w:tcPr>
            <w:tcW w:w="1418" w:type="dxa"/>
          </w:tcPr>
          <w:p w14:paraId="5CB59AB3" w14:textId="77777777" w:rsidR="00072F2F" w:rsidRDefault="00072F2F" w:rsidP="005A7D2C">
            <w:pPr>
              <w:spacing w:before="40" w:after="40"/>
              <w:jc w:val="center"/>
            </w:pPr>
            <w:r>
              <w:t>1</w:t>
            </w:r>
          </w:p>
        </w:tc>
        <w:tc>
          <w:tcPr>
            <w:tcW w:w="1417" w:type="dxa"/>
          </w:tcPr>
          <w:p w14:paraId="3DFCAEAD" w14:textId="77777777" w:rsidR="00072F2F" w:rsidRDefault="00072F2F" w:rsidP="005A7D2C">
            <w:pPr>
              <w:spacing w:before="40" w:after="40"/>
              <w:jc w:val="center"/>
            </w:pPr>
            <w:r>
              <w:t>36</w:t>
            </w:r>
          </w:p>
        </w:tc>
        <w:tc>
          <w:tcPr>
            <w:tcW w:w="1306" w:type="dxa"/>
          </w:tcPr>
          <w:p w14:paraId="7D78DED4" w14:textId="13F8FDA4" w:rsidR="00072F2F" w:rsidRDefault="00072F2F" w:rsidP="005A7D2C">
            <w:pPr>
              <w:spacing w:before="40" w:after="40"/>
              <w:jc w:val="center"/>
            </w:pPr>
            <w:r>
              <w:t>1</w:t>
            </w:r>
          </w:p>
        </w:tc>
        <w:tc>
          <w:tcPr>
            <w:tcW w:w="1489" w:type="dxa"/>
          </w:tcPr>
          <w:p w14:paraId="6A513A17" w14:textId="07B69A2E" w:rsidR="00072F2F" w:rsidRDefault="00072F2F" w:rsidP="005A7D2C">
            <w:pPr>
              <w:spacing w:before="40" w:after="40"/>
              <w:jc w:val="center"/>
            </w:pPr>
            <w:r w:rsidRPr="001347BD">
              <w:t>36</w:t>
            </w:r>
          </w:p>
        </w:tc>
      </w:tr>
      <w:tr w:rsidR="00072F2F" w14:paraId="4A1335F0" w14:textId="6D122517" w:rsidTr="00EB5306">
        <w:tc>
          <w:tcPr>
            <w:tcW w:w="4106" w:type="dxa"/>
          </w:tcPr>
          <w:p w14:paraId="4422761C" w14:textId="77777777" w:rsidR="00072F2F" w:rsidRDefault="00072F2F" w:rsidP="005A7D2C">
            <w:pPr>
              <w:spacing w:before="40" w:after="40"/>
            </w:pPr>
            <w:r>
              <w:t>Trans health workshop</w:t>
            </w:r>
          </w:p>
        </w:tc>
        <w:tc>
          <w:tcPr>
            <w:tcW w:w="1418" w:type="dxa"/>
          </w:tcPr>
          <w:p w14:paraId="7919E0B7" w14:textId="77777777" w:rsidR="00072F2F" w:rsidRDefault="00072F2F" w:rsidP="005A7D2C">
            <w:pPr>
              <w:spacing w:before="40" w:after="40"/>
              <w:jc w:val="center"/>
            </w:pPr>
            <w:r>
              <w:t>2</w:t>
            </w:r>
          </w:p>
        </w:tc>
        <w:tc>
          <w:tcPr>
            <w:tcW w:w="1417" w:type="dxa"/>
          </w:tcPr>
          <w:p w14:paraId="70CED6CC" w14:textId="77777777" w:rsidR="00072F2F" w:rsidRDefault="00072F2F" w:rsidP="005A7D2C">
            <w:pPr>
              <w:spacing w:before="40" w:after="40"/>
              <w:jc w:val="center"/>
            </w:pPr>
            <w:r>
              <w:t>64</w:t>
            </w:r>
          </w:p>
        </w:tc>
        <w:tc>
          <w:tcPr>
            <w:tcW w:w="1306" w:type="dxa"/>
          </w:tcPr>
          <w:p w14:paraId="1BE58427" w14:textId="7B0CFC1A" w:rsidR="00072F2F" w:rsidRDefault="00072F2F" w:rsidP="005A7D2C">
            <w:pPr>
              <w:spacing w:before="40" w:after="40"/>
              <w:jc w:val="center"/>
            </w:pPr>
            <w:r>
              <w:t>1.5</w:t>
            </w:r>
          </w:p>
        </w:tc>
        <w:tc>
          <w:tcPr>
            <w:tcW w:w="1489" w:type="dxa"/>
          </w:tcPr>
          <w:p w14:paraId="6C25E102" w14:textId="03457AFB" w:rsidR="00072F2F" w:rsidRDefault="00072F2F" w:rsidP="005A7D2C">
            <w:pPr>
              <w:spacing w:before="40" w:after="40"/>
              <w:jc w:val="center"/>
            </w:pPr>
            <w:r w:rsidRPr="001347BD">
              <w:t>96</w:t>
            </w:r>
          </w:p>
        </w:tc>
      </w:tr>
      <w:tr w:rsidR="00072F2F" w14:paraId="778D3E53" w14:textId="4DB60843" w:rsidTr="00720CA3">
        <w:tc>
          <w:tcPr>
            <w:tcW w:w="4106" w:type="dxa"/>
            <w:tcBorders>
              <w:bottom w:val="thinThickMediumGap" w:sz="24" w:space="0" w:color="0072C6" w:themeColor="text2"/>
            </w:tcBorders>
          </w:tcPr>
          <w:p w14:paraId="5E090C55" w14:textId="77777777" w:rsidR="00072F2F" w:rsidRDefault="00072F2F" w:rsidP="005A7D2C">
            <w:pPr>
              <w:spacing w:before="40" w:after="40"/>
            </w:pPr>
            <w:r>
              <w:t>Using professional interpreters and translators</w:t>
            </w:r>
          </w:p>
        </w:tc>
        <w:tc>
          <w:tcPr>
            <w:tcW w:w="1418" w:type="dxa"/>
            <w:tcBorders>
              <w:bottom w:val="thinThickMediumGap" w:sz="24" w:space="0" w:color="0072C6" w:themeColor="text2"/>
            </w:tcBorders>
          </w:tcPr>
          <w:p w14:paraId="1C2AF20C" w14:textId="77777777" w:rsidR="00072F2F" w:rsidRDefault="00072F2F" w:rsidP="005A7D2C">
            <w:pPr>
              <w:spacing w:before="40" w:after="40"/>
              <w:jc w:val="center"/>
            </w:pPr>
            <w:r>
              <w:t>2</w:t>
            </w:r>
          </w:p>
        </w:tc>
        <w:tc>
          <w:tcPr>
            <w:tcW w:w="1417" w:type="dxa"/>
            <w:tcBorders>
              <w:bottom w:val="thinThickMediumGap" w:sz="24" w:space="0" w:color="0072C6" w:themeColor="text2"/>
            </w:tcBorders>
          </w:tcPr>
          <w:p w14:paraId="36946FAE" w14:textId="77777777" w:rsidR="00072F2F" w:rsidRDefault="00072F2F" w:rsidP="005A7D2C">
            <w:pPr>
              <w:spacing w:before="40" w:after="40"/>
              <w:jc w:val="center"/>
            </w:pPr>
            <w:r>
              <w:t>35</w:t>
            </w:r>
          </w:p>
        </w:tc>
        <w:tc>
          <w:tcPr>
            <w:tcW w:w="1306" w:type="dxa"/>
            <w:tcBorders>
              <w:bottom w:val="thinThickMediumGap" w:sz="24" w:space="0" w:color="0072C6" w:themeColor="text2"/>
            </w:tcBorders>
          </w:tcPr>
          <w:p w14:paraId="520B29EF" w14:textId="3C305A45" w:rsidR="00072F2F" w:rsidRDefault="00072F2F" w:rsidP="005A7D2C">
            <w:pPr>
              <w:spacing w:before="40" w:after="40"/>
              <w:jc w:val="center"/>
            </w:pPr>
            <w:r>
              <w:t>2</w:t>
            </w:r>
          </w:p>
        </w:tc>
        <w:tc>
          <w:tcPr>
            <w:tcW w:w="1489" w:type="dxa"/>
            <w:tcBorders>
              <w:bottom w:val="thinThickMediumGap" w:sz="24" w:space="0" w:color="0072C6" w:themeColor="text2"/>
            </w:tcBorders>
          </w:tcPr>
          <w:p w14:paraId="5B67BEFD" w14:textId="1B8B9F5D" w:rsidR="00072F2F" w:rsidRDefault="00072F2F" w:rsidP="005A7D2C">
            <w:pPr>
              <w:spacing w:before="40" w:after="40"/>
              <w:jc w:val="center"/>
            </w:pPr>
            <w:r w:rsidRPr="001347BD">
              <w:t>70</w:t>
            </w:r>
          </w:p>
        </w:tc>
      </w:tr>
      <w:tr w:rsidR="00A77E83" w:rsidRPr="00720CA3" w14:paraId="75398926" w14:textId="77777777" w:rsidTr="00720CA3">
        <w:tc>
          <w:tcPr>
            <w:tcW w:w="4106" w:type="dxa"/>
            <w:tcBorders>
              <w:top w:val="thinThickMediumGap" w:sz="24" w:space="0" w:color="0072C6" w:themeColor="text2"/>
              <w:left w:val="dashSmallGap" w:sz="4" w:space="0" w:color="0072C6" w:themeColor="text2"/>
              <w:bottom w:val="dashSmallGap" w:sz="4" w:space="0" w:color="0072C6" w:themeColor="text2"/>
              <w:right w:val="dashSmallGap" w:sz="4" w:space="0" w:color="0072C6" w:themeColor="text2"/>
            </w:tcBorders>
          </w:tcPr>
          <w:p w14:paraId="10CD116C" w14:textId="5FD6491E" w:rsidR="00A77E83" w:rsidRPr="00720CA3" w:rsidRDefault="00A77E83" w:rsidP="005A7D2C">
            <w:pPr>
              <w:spacing w:before="40" w:after="40"/>
              <w:rPr>
                <w:b/>
                <w:bCs/>
                <w:sz w:val="32"/>
                <w:szCs w:val="24"/>
              </w:rPr>
            </w:pPr>
            <w:r w:rsidRPr="00720CA3">
              <w:rPr>
                <w:b/>
                <w:bCs/>
                <w:sz w:val="32"/>
                <w:szCs w:val="24"/>
              </w:rPr>
              <w:t>Totals</w:t>
            </w:r>
          </w:p>
        </w:tc>
        <w:tc>
          <w:tcPr>
            <w:tcW w:w="1418" w:type="dxa"/>
            <w:tcBorders>
              <w:top w:val="thinThickMediumGap" w:sz="24" w:space="0" w:color="0072C6" w:themeColor="text2"/>
              <w:left w:val="dashSmallGap" w:sz="4" w:space="0" w:color="0072C6" w:themeColor="text2"/>
              <w:bottom w:val="dashSmallGap" w:sz="4" w:space="0" w:color="0072C6" w:themeColor="text2"/>
              <w:right w:val="dashSmallGap" w:sz="4" w:space="0" w:color="0072C6" w:themeColor="text2"/>
            </w:tcBorders>
          </w:tcPr>
          <w:p w14:paraId="262212EF" w14:textId="6EEF3EB7" w:rsidR="00A77E83" w:rsidRPr="00720CA3" w:rsidRDefault="00A77E83" w:rsidP="005A7D2C">
            <w:pPr>
              <w:spacing w:before="40" w:after="40"/>
              <w:jc w:val="center"/>
              <w:rPr>
                <w:b/>
                <w:bCs/>
                <w:sz w:val="32"/>
                <w:szCs w:val="24"/>
              </w:rPr>
            </w:pPr>
            <w:r w:rsidRPr="00720CA3">
              <w:rPr>
                <w:b/>
                <w:bCs/>
                <w:sz w:val="32"/>
                <w:szCs w:val="24"/>
              </w:rPr>
              <w:t>24</w:t>
            </w:r>
          </w:p>
        </w:tc>
        <w:tc>
          <w:tcPr>
            <w:tcW w:w="1417" w:type="dxa"/>
            <w:tcBorders>
              <w:top w:val="thinThickMediumGap" w:sz="24" w:space="0" w:color="0072C6" w:themeColor="text2"/>
              <w:left w:val="dashSmallGap" w:sz="4" w:space="0" w:color="0072C6" w:themeColor="text2"/>
              <w:bottom w:val="dashSmallGap" w:sz="4" w:space="0" w:color="0072C6" w:themeColor="text2"/>
              <w:right w:val="dashSmallGap" w:sz="4" w:space="0" w:color="0072C6" w:themeColor="text2"/>
            </w:tcBorders>
          </w:tcPr>
          <w:p w14:paraId="043D253B" w14:textId="04543184" w:rsidR="00A77E83" w:rsidRPr="00720CA3" w:rsidRDefault="00A77E83" w:rsidP="005A7D2C">
            <w:pPr>
              <w:spacing w:before="40" w:after="40"/>
              <w:jc w:val="center"/>
              <w:rPr>
                <w:b/>
                <w:bCs/>
                <w:sz w:val="32"/>
                <w:szCs w:val="24"/>
              </w:rPr>
            </w:pPr>
            <w:r w:rsidRPr="00720CA3">
              <w:rPr>
                <w:b/>
                <w:bCs/>
                <w:sz w:val="32"/>
                <w:szCs w:val="24"/>
              </w:rPr>
              <w:t>347</w:t>
            </w:r>
          </w:p>
        </w:tc>
        <w:tc>
          <w:tcPr>
            <w:tcW w:w="1306" w:type="dxa"/>
            <w:tcBorders>
              <w:top w:val="thinThickMediumGap" w:sz="24" w:space="0" w:color="0072C6" w:themeColor="text2"/>
              <w:left w:val="dashSmallGap" w:sz="4" w:space="0" w:color="0072C6" w:themeColor="text2"/>
              <w:bottom w:val="dashSmallGap" w:sz="4" w:space="0" w:color="0072C6" w:themeColor="text2"/>
              <w:right w:val="dashSmallGap" w:sz="4" w:space="0" w:color="0072C6" w:themeColor="text2"/>
            </w:tcBorders>
          </w:tcPr>
          <w:p w14:paraId="38CA0A12" w14:textId="77516F9D" w:rsidR="00A77E83" w:rsidRPr="00720CA3" w:rsidRDefault="00A77E83" w:rsidP="005A7D2C">
            <w:pPr>
              <w:spacing w:before="40" w:after="40"/>
              <w:jc w:val="center"/>
              <w:rPr>
                <w:b/>
                <w:bCs/>
                <w:sz w:val="32"/>
                <w:szCs w:val="24"/>
              </w:rPr>
            </w:pPr>
          </w:p>
        </w:tc>
        <w:tc>
          <w:tcPr>
            <w:tcW w:w="1489" w:type="dxa"/>
            <w:tcBorders>
              <w:top w:val="thinThickMediumGap" w:sz="24" w:space="0" w:color="0072C6" w:themeColor="text2"/>
              <w:left w:val="dashSmallGap" w:sz="4" w:space="0" w:color="0072C6" w:themeColor="text2"/>
              <w:bottom w:val="dashSmallGap" w:sz="4" w:space="0" w:color="0072C6" w:themeColor="text2"/>
              <w:right w:val="dashSmallGap" w:sz="4" w:space="0" w:color="0072C6" w:themeColor="text2"/>
            </w:tcBorders>
          </w:tcPr>
          <w:p w14:paraId="39F132E0" w14:textId="63B42D8E" w:rsidR="00A77E83" w:rsidRPr="00720CA3" w:rsidRDefault="00720CA3" w:rsidP="005A7D2C">
            <w:pPr>
              <w:spacing w:before="40" w:after="40"/>
              <w:jc w:val="center"/>
              <w:rPr>
                <w:b/>
                <w:bCs/>
                <w:sz w:val="32"/>
                <w:szCs w:val="24"/>
              </w:rPr>
            </w:pPr>
            <w:r w:rsidRPr="00720CA3">
              <w:rPr>
                <w:b/>
                <w:bCs/>
                <w:sz w:val="32"/>
                <w:szCs w:val="24"/>
              </w:rPr>
              <w:t>533</w:t>
            </w:r>
          </w:p>
        </w:tc>
      </w:tr>
    </w:tbl>
    <w:p w14:paraId="0082F407" w14:textId="44415ACA" w:rsidR="001658B0" w:rsidRDefault="001E4460" w:rsidP="001658B0">
      <w:pPr>
        <w:pStyle w:val="Heading1"/>
      </w:pPr>
      <w:bookmarkStart w:id="9" w:name="_Toc198798559"/>
      <w:r>
        <w:rPr>
          <w:noProof/>
        </w:rPr>
        <w:lastRenderedPageBreak/>
        <w:drawing>
          <wp:anchor distT="0" distB="0" distL="114300" distR="114300" simplePos="0" relativeHeight="251660290" behindDoc="1" locked="0" layoutInCell="1" allowOverlap="1" wp14:anchorId="1799DC2A" wp14:editId="5DBA675E">
            <wp:simplePos x="0" y="0"/>
            <wp:positionH relativeFrom="column">
              <wp:posOffset>5035550</wp:posOffset>
            </wp:positionH>
            <wp:positionV relativeFrom="page">
              <wp:posOffset>-508000</wp:posOffset>
            </wp:positionV>
            <wp:extent cx="2588260" cy="2590800"/>
            <wp:effectExtent l="0" t="0" r="2540" b="0"/>
            <wp:wrapTight wrapText="bothSides">
              <wp:wrapPolygon edited="0">
                <wp:start x="8744" y="0"/>
                <wp:lineTo x="7313" y="476"/>
                <wp:lineTo x="3498" y="2382"/>
                <wp:lineTo x="1431" y="5241"/>
                <wp:lineTo x="159" y="7782"/>
                <wp:lineTo x="0" y="10165"/>
                <wp:lineTo x="0" y="12865"/>
                <wp:lineTo x="954" y="15406"/>
                <wp:lineTo x="2544" y="17947"/>
                <wp:lineTo x="5882" y="20488"/>
                <wp:lineTo x="6200" y="20647"/>
                <wp:lineTo x="9221" y="21441"/>
                <wp:lineTo x="9698" y="21441"/>
                <wp:lineTo x="11764" y="21441"/>
                <wp:lineTo x="12241" y="21441"/>
                <wp:lineTo x="15262" y="20647"/>
                <wp:lineTo x="15580" y="20488"/>
                <wp:lineTo x="18919" y="17947"/>
                <wp:lineTo x="20508" y="15406"/>
                <wp:lineTo x="21462" y="12865"/>
                <wp:lineTo x="21462" y="10006"/>
                <wp:lineTo x="21303" y="7782"/>
                <wp:lineTo x="20031" y="5241"/>
                <wp:lineTo x="18442" y="3176"/>
                <wp:lineTo x="18124" y="2382"/>
                <wp:lineTo x="14149" y="476"/>
                <wp:lineTo x="12718" y="0"/>
                <wp:lineTo x="8744" y="0"/>
              </wp:wrapPolygon>
            </wp:wrapTight>
            <wp:docPr id="2027609228" name="Picture 2" descr="An arrow hitting a bull's eye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09228" name="Picture 2" descr="An arrow hitting a bull's eye target"/>
                    <pic:cNvPicPr/>
                  </pic:nvPicPr>
                  <pic:blipFill>
                    <a:blip r:embed="rId22" cstate="print">
                      <a:duotone>
                        <a:prstClr val="black"/>
                        <a:schemeClr val="tx2">
                          <a:tint val="45000"/>
                          <a:satMod val="400000"/>
                        </a:schemeClr>
                      </a:duotone>
                      <a:extLst>
                        <a:ext uri="{28A0092B-C50C-407E-A947-70E740481C1C}">
                          <a14:useLocalDpi xmlns:a14="http://schemas.microsoft.com/office/drawing/2010/main" val="0"/>
                        </a:ext>
                      </a:extLst>
                    </a:blip>
                    <a:srcRect l="73" r="73"/>
                    <a:stretch>
                      <a:fillRect/>
                    </a:stretch>
                  </pic:blipFill>
                  <pic:spPr bwMode="auto">
                    <a:xfrm>
                      <a:off x="0" y="0"/>
                      <a:ext cx="2588260" cy="25908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58B0">
        <w:t>Equality objectives 202</w:t>
      </w:r>
      <w:r w:rsidR="00C237FC">
        <w:t>5</w:t>
      </w:r>
      <w:r w:rsidR="001658B0">
        <w:t>-202</w:t>
      </w:r>
      <w:r w:rsidR="00C237FC">
        <w:t>6</w:t>
      </w:r>
      <w:bookmarkEnd w:id="9"/>
    </w:p>
    <w:p w14:paraId="3735ADF4" w14:textId="71E65442" w:rsidR="00C237FC" w:rsidRDefault="00C237FC" w:rsidP="00C237FC">
      <w:r>
        <w:t>In line with Public Sector Equality Duty (</w:t>
      </w:r>
      <w:r w:rsidRPr="00C237FC">
        <w:rPr>
          <w:b/>
          <w:bCs/>
        </w:rPr>
        <w:t>PSED</w:t>
      </w:r>
      <w:r>
        <w:t xml:space="preserve">) we have published our objectives for the coming year.  These are available on our website:  </w:t>
      </w:r>
      <w:hyperlink r:id="rId23" w:history="1">
        <w:r w:rsidR="003E39F1" w:rsidRPr="00AA0FA5">
          <w:rPr>
            <w:rStyle w:val="Hyperlink"/>
          </w:rPr>
          <w:t>https://nhssomerset.nhs.uk/news/document/equality-objectives-2025-2026/</w:t>
        </w:r>
      </w:hyperlink>
    </w:p>
    <w:p w14:paraId="3342F8C4" w14:textId="77777777" w:rsidR="00E45FCC" w:rsidRDefault="00E45FCC" w:rsidP="0099572D">
      <w:pPr>
        <w:pStyle w:val="Heading2"/>
      </w:pPr>
      <w:bookmarkStart w:id="10" w:name="_Toc198798560"/>
      <w:r>
        <w:t xml:space="preserve">Our </w:t>
      </w:r>
      <w:r w:rsidRPr="0099572D">
        <w:t>objectives</w:t>
      </w:r>
      <w:bookmarkEnd w:id="10"/>
    </w:p>
    <w:p w14:paraId="5A332152" w14:textId="28CDB6D6" w:rsidR="00D06101" w:rsidRPr="00D06101" w:rsidRDefault="00D06101" w:rsidP="00D06101">
      <w:r>
        <w:t>There are the following four objectives we plan to achieve during the forthcoming period:</w:t>
      </w:r>
    </w:p>
    <w:p w14:paraId="2B4E39F7" w14:textId="77777777" w:rsidR="00E45FCC" w:rsidRDefault="00E45FCC" w:rsidP="00E45FCC">
      <w:pPr>
        <w:pStyle w:val="Objective"/>
      </w:pPr>
      <w:r>
        <w:t>Equality training programme</w:t>
      </w:r>
    </w:p>
    <w:tbl>
      <w:tblPr>
        <w:tblStyle w:val="TableGrid"/>
        <w:tblW w:w="5000" w:type="pct"/>
        <w:tblLook w:val="04A0" w:firstRow="1" w:lastRow="0" w:firstColumn="1" w:lastColumn="0" w:noHBand="0" w:noVBand="1"/>
      </w:tblPr>
      <w:tblGrid>
        <w:gridCol w:w="2138"/>
        <w:gridCol w:w="1225"/>
        <w:gridCol w:w="3127"/>
        <w:gridCol w:w="3246"/>
      </w:tblGrid>
      <w:tr w:rsidR="00E45FCC" w14:paraId="5191C3FD" w14:textId="77777777" w:rsidTr="0099572D">
        <w:trPr>
          <w:cantSplit/>
        </w:trPr>
        <w:tc>
          <w:tcPr>
            <w:tcW w:w="1098" w:type="pct"/>
            <w:shd w:val="clear" w:color="auto" w:fill="0072C6" w:themeFill="text2"/>
          </w:tcPr>
          <w:p w14:paraId="73128C7F" w14:textId="77777777" w:rsidR="00E45FCC" w:rsidRPr="007001FA" w:rsidRDefault="00E45FCC" w:rsidP="0073674F">
            <w:pPr>
              <w:rPr>
                <w:color w:val="FFFFFF" w:themeColor="background1"/>
              </w:rPr>
            </w:pPr>
            <w:r w:rsidRPr="007001FA">
              <w:rPr>
                <w:color w:val="FFFFFF" w:themeColor="background1"/>
              </w:rPr>
              <w:t>Summary</w:t>
            </w:r>
            <w:r>
              <w:rPr>
                <w:color w:val="FFFFFF" w:themeColor="background1"/>
              </w:rPr>
              <w:t>:</w:t>
            </w:r>
          </w:p>
        </w:tc>
        <w:tc>
          <w:tcPr>
            <w:tcW w:w="3902" w:type="pct"/>
            <w:gridSpan w:val="3"/>
          </w:tcPr>
          <w:p w14:paraId="29A4E730" w14:textId="77777777" w:rsidR="00E45FCC" w:rsidRDefault="00E45FCC" w:rsidP="00DC3901">
            <w:r>
              <w:t>NHS Somerset ICB has a long-established training programme in respect of all areas of equality, diversity and inclusion.  These take on various forms, such as online mandatory training which is complemented by:</w:t>
            </w:r>
          </w:p>
          <w:p w14:paraId="3645EA70" w14:textId="77777777" w:rsidR="00E45FCC" w:rsidRDefault="00E45FCC" w:rsidP="00E45FCC">
            <w:pPr>
              <w:pStyle w:val="ListParagraph"/>
              <w:numPr>
                <w:ilvl w:val="0"/>
                <w:numId w:val="14"/>
              </w:numPr>
              <w:spacing w:before="120" w:after="120"/>
            </w:pPr>
            <w:r>
              <w:t>General equality training</w:t>
            </w:r>
          </w:p>
          <w:p w14:paraId="333FA7E6" w14:textId="77777777" w:rsidR="00E45FCC" w:rsidRDefault="00E45FCC" w:rsidP="00E45FCC">
            <w:pPr>
              <w:pStyle w:val="ListParagraph"/>
              <w:numPr>
                <w:ilvl w:val="0"/>
                <w:numId w:val="14"/>
              </w:numPr>
              <w:spacing w:before="120" w:after="120"/>
            </w:pPr>
            <w:r>
              <w:t>Tailored workshops in health settings</w:t>
            </w:r>
          </w:p>
          <w:p w14:paraId="2C18FAE6" w14:textId="77777777" w:rsidR="00E45FCC" w:rsidRDefault="00E45FCC" w:rsidP="00E45FCC">
            <w:pPr>
              <w:pStyle w:val="ListParagraph"/>
              <w:numPr>
                <w:ilvl w:val="0"/>
                <w:numId w:val="14"/>
              </w:numPr>
              <w:spacing w:before="120" w:after="120"/>
            </w:pPr>
            <w:r>
              <w:t>Topic-based workshops and online sessions</w:t>
            </w:r>
          </w:p>
          <w:p w14:paraId="555E02F3" w14:textId="77777777" w:rsidR="00E45FCC" w:rsidRDefault="00E45FCC" w:rsidP="00E45FCC">
            <w:pPr>
              <w:pStyle w:val="ListParagraph"/>
              <w:numPr>
                <w:ilvl w:val="0"/>
                <w:numId w:val="14"/>
              </w:numPr>
              <w:spacing w:before="120" w:after="120"/>
            </w:pPr>
            <w:r>
              <w:t>Introductory sessions to various topics (Lunch and Learn)</w:t>
            </w:r>
          </w:p>
          <w:p w14:paraId="12A4035D" w14:textId="77777777" w:rsidR="00E45FCC" w:rsidRDefault="00E45FCC" w:rsidP="00E45FCC">
            <w:pPr>
              <w:pStyle w:val="ListParagraph"/>
              <w:numPr>
                <w:ilvl w:val="0"/>
                <w:numId w:val="14"/>
              </w:numPr>
              <w:spacing w:before="120" w:after="120"/>
            </w:pPr>
            <w:r>
              <w:t>Bespoke training by request</w:t>
            </w:r>
          </w:p>
          <w:p w14:paraId="3921CD85" w14:textId="77777777" w:rsidR="00E45FCC" w:rsidRDefault="00E45FCC" w:rsidP="00E45FCC">
            <w:pPr>
              <w:pStyle w:val="ListParagraph"/>
              <w:numPr>
                <w:ilvl w:val="0"/>
                <w:numId w:val="14"/>
              </w:numPr>
              <w:spacing w:before="120" w:after="120"/>
            </w:pPr>
            <w:r>
              <w:t>Oliver McGowan training</w:t>
            </w:r>
          </w:p>
          <w:p w14:paraId="60D62CC6" w14:textId="77777777" w:rsidR="00E45FCC" w:rsidRDefault="00E45FCC" w:rsidP="0073674F">
            <w:r>
              <w:t>In 2025, we will extend this training package to include in-depth workshops looking at specific topics which fall under the heading of Equality, Diversity and Inclusion.  The topics that we consider to be a priority (listed alphabetically) are:</w:t>
            </w:r>
          </w:p>
          <w:p w14:paraId="13809062" w14:textId="77777777" w:rsidR="00E45FCC" w:rsidRDefault="00E45FCC" w:rsidP="00E45FCC">
            <w:pPr>
              <w:pStyle w:val="ListParagraph"/>
              <w:numPr>
                <w:ilvl w:val="0"/>
                <w:numId w:val="15"/>
              </w:numPr>
              <w:spacing w:before="120" w:after="120"/>
            </w:pPr>
            <w:r>
              <w:t>Accessible Information Standard (</w:t>
            </w:r>
            <w:hyperlink w:anchor="Objective_3_AIS" w:history="1">
              <w:r w:rsidRPr="008A7D8B">
                <w:rPr>
                  <w:rStyle w:val="Hyperlink"/>
                </w:rPr>
                <w:t>see Objective 3 – Accessible Information Standard</w:t>
              </w:r>
            </w:hyperlink>
            <w:r>
              <w:t>)</w:t>
            </w:r>
          </w:p>
          <w:p w14:paraId="462FBB05" w14:textId="77777777" w:rsidR="00E45FCC" w:rsidRDefault="00E45FCC" w:rsidP="00E45FCC">
            <w:pPr>
              <w:pStyle w:val="ListParagraph"/>
              <w:numPr>
                <w:ilvl w:val="0"/>
                <w:numId w:val="15"/>
              </w:numPr>
              <w:spacing w:before="120" w:after="120"/>
            </w:pPr>
            <w:r>
              <w:t>Provision and use of BSL/English Interpreters</w:t>
            </w:r>
          </w:p>
          <w:p w14:paraId="30268A3B" w14:textId="77777777" w:rsidR="00E45FCC" w:rsidRDefault="00E45FCC" w:rsidP="00E45FCC">
            <w:pPr>
              <w:pStyle w:val="ListParagraph"/>
              <w:numPr>
                <w:ilvl w:val="0"/>
                <w:numId w:val="15"/>
              </w:numPr>
              <w:spacing w:before="120" w:after="120"/>
            </w:pPr>
            <w:r>
              <w:t>Trans Health and trans awareness</w:t>
            </w:r>
          </w:p>
        </w:tc>
      </w:tr>
      <w:tr w:rsidR="00E45FCC" w14:paraId="269AA3E6" w14:textId="77777777" w:rsidTr="0099572D">
        <w:trPr>
          <w:cantSplit/>
        </w:trPr>
        <w:tc>
          <w:tcPr>
            <w:tcW w:w="1098" w:type="pct"/>
            <w:shd w:val="clear" w:color="auto" w:fill="0072C6" w:themeFill="text2"/>
          </w:tcPr>
          <w:p w14:paraId="6018907B" w14:textId="77777777" w:rsidR="00E45FCC" w:rsidRPr="007001FA" w:rsidRDefault="00E45FCC" w:rsidP="0073674F">
            <w:pPr>
              <w:rPr>
                <w:color w:val="FFFFFF" w:themeColor="background1"/>
              </w:rPr>
            </w:pPr>
            <w:r w:rsidRPr="007001FA">
              <w:rPr>
                <w:color w:val="FFFFFF" w:themeColor="background1"/>
              </w:rPr>
              <w:t>Measures</w:t>
            </w:r>
            <w:r>
              <w:rPr>
                <w:color w:val="FFFFFF" w:themeColor="background1"/>
              </w:rPr>
              <w:t>:</w:t>
            </w:r>
          </w:p>
        </w:tc>
        <w:tc>
          <w:tcPr>
            <w:tcW w:w="3902" w:type="pct"/>
            <w:gridSpan w:val="3"/>
          </w:tcPr>
          <w:p w14:paraId="296BBB24" w14:textId="77777777" w:rsidR="00E45FCC" w:rsidRDefault="00E45FCC" w:rsidP="00E45FCC">
            <w:pPr>
              <w:pStyle w:val="ListParagraph"/>
              <w:numPr>
                <w:ilvl w:val="0"/>
                <w:numId w:val="16"/>
              </w:numPr>
              <w:spacing w:before="120" w:after="120"/>
            </w:pPr>
            <w:r>
              <w:t>Offer at least one training opportunity per month throughout 2025</w:t>
            </w:r>
          </w:p>
          <w:p w14:paraId="24F7229B" w14:textId="77777777" w:rsidR="00E45FCC" w:rsidRDefault="00E45FCC" w:rsidP="00E45FCC">
            <w:pPr>
              <w:pStyle w:val="ListParagraph"/>
              <w:numPr>
                <w:ilvl w:val="0"/>
                <w:numId w:val="16"/>
              </w:numPr>
              <w:spacing w:before="120" w:after="120"/>
            </w:pPr>
            <w:r>
              <w:t>Gather feedback from each session and report this quarterly to relevant committees.</w:t>
            </w:r>
          </w:p>
          <w:p w14:paraId="37F75592" w14:textId="77777777" w:rsidR="00E45FCC" w:rsidRDefault="00E45FCC" w:rsidP="00E45FCC">
            <w:pPr>
              <w:pStyle w:val="ListParagraph"/>
              <w:numPr>
                <w:ilvl w:val="0"/>
                <w:numId w:val="16"/>
              </w:numPr>
              <w:spacing w:before="120" w:after="120"/>
            </w:pPr>
            <w:r>
              <w:t>Respond to requests for ad-hoc training requests in an appropriate and timely manner.</w:t>
            </w:r>
          </w:p>
        </w:tc>
      </w:tr>
      <w:tr w:rsidR="00E45FCC" w14:paraId="7BA3774B" w14:textId="77777777" w:rsidTr="0099572D">
        <w:trPr>
          <w:cantSplit/>
        </w:trPr>
        <w:tc>
          <w:tcPr>
            <w:tcW w:w="1098" w:type="pct"/>
            <w:shd w:val="clear" w:color="auto" w:fill="0072C6" w:themeFill="text2"/>
          </w:tcPr>
          <w:p w14:paraId="158E6A93" w14:textId="77777777" w:rsidR="00E45FCC" w:rsidRPr="007001FA" w:rsidRDefault="00E45FCC" w:rsidP="0073674F">
            <w:pPr>
              <w:rPr>
                <w:color w:val="FFFFFF" w:themeColor="background1"/>
              </w:rPr>
            </w:pPr>
            <w:r>
              <w:rPr>
                <w:color w:val="FFFFFF" w:themeColor="background1"/>
              </w:rPr>
              <w:lastRenderedPageBreak/>
              <w:t>Related actions:</w:t>
            </w:r>
          </w:p>
        </w:tc>
        <w:tc>
          <w:tcPr>
            <w:tcW w:w="3902" w:type="pct"/>
            <w:gridSpan w:val="3"/>
          </w:tcPr>
          <w:p w14:paraId="139B4FD7" w14:textId="77777777" w:rsidR="00E45FCC" w:rsidRDefault="00E45FCC" w:rsidP="00E45FCC">
            <w:pPr>
              <w:pStyle w:val="ListParagraph"/>
              <w:numPr>
                <w:ilvl w:val="0"/>
                <w:numId w:val="13"/>
              </w:numPr>
              <w:spacing w:before="120"/>
            </w:pPr>
            <w:r>
              <w:t>Create course content for the additional training highlighted above.</w:t>
            </w:r>
          </w:p>
          <w:p w14:paraId="485294B1" w14:textId="77777777" w:rsidR="00E45FCC" w:rsidRDefault="00E45FCC" w:rsidP="00E45FCC">
            <w:pPr>
              <w:pStyle w:val="ListParagraph"/>
              <w:numPr>
                <w:ilvl w:val="0"/>
                <w:numId w:val="13"/>
              </w:numPr>
              <w:spacing w:before="120"/>
            </w:pPr>
            <w:r>
              <w:t>Update the current Equality, Diversity and Inclusion Course Catalogue and calendar of training events.</w:t>
            </w:r>
          </w:p>
          <w:p w14:paraId="231F1CE0" w14:textId="77777777" w:rsidR="00E45FCC" w:rsidRDefault="00E45FCC" w:rsidP="00E45FCC">
            <w:pPr>
              <w:pStyle w:val="ListParagraph"/>
              <w:numPr>
                <w:ilvl w:val="0"/>
                <w:numId w:val="13"/>
              </w:numPr>
              <w:spacing w:before="120"/>
            </w:pPr>
            <w:r>
              <w:t>Publish the updated catalogue to ICB staff, and partner organisations, including primary care.</w:t>
            </w:r>
          </w:p>
        </w:tc>
      </w:tr>
      <w:tr w:rsidR="00E45FCC" w14:paraId="47D9B14C" w14:textId="77777777" w:rsidTr="0099572D">
        <w:trPr>
          <w:cantSplit/>
        </w:trPr>
        <w:tc>
          <w:tcPr>
            <w:tcW w:w="1098" w:type="pct"/>
            <w:shd w:val="clear" w:color="auto" w:fill="0072C6" w:themeFill="text2"/>
          </w:tcPr>
          <w:p w14:paraId="492461BF" w14:textId="77777777" w:rsidR="00E45FCC" w:rsidRDefault="00E45FCC" w:rsidP="0073674F">
            <w:pPr>
              <w:rPr>
                <w:color w:val="FFFFFF" w:themeColor="background1"/>
              </w:rPr>
            </w:pPr>
            <w:r>
              <w:rPr>
                <w:color w:val="FFFFFF" w:themeColor="background1"/>
              </w:rPr>
              <w:t>Delivery date:</w:t>
            </w:r>
          </w:p>
        </w:tc>
        <w:sdt>
          <w:sdtPr>
            <w:id w:val="-226384350"/>
            <w:placeholder>
              <w:docPart w:val="98068097FCB5433C9871C5F6D7FB6B5E"/>
            </w:placeholder>
            <w:date w:fullDate="2025-04-30T00:00:00Z">
              <w:dateFormat w:val="dddd, dd MMMM yyyy"/>
              <w:lid w:val="en-GB"/>
              <w:storeMappedDataAs w:val="dateTime"/>
              <w:calendar w:val="gregorian"/>
            </w:date>
          </w:sdtPr>
          <w:sdtEndPr/>
          <w:sdtContent>
            <w:tc>
              <w:tcPr>
                <w:tcW w:w="3902" w:type="pct"/>
                <w:gridSpan w:val="3"/>
              </w:tcPr>
              <w:p w14:paraId="13C6ACA3" w14:textId="77777777" w:rsidR="00E45FCC" w:rsidRDefault="00E45FCC" w:rsidP="0073674F">
                <w:r>
                  <w:t>Wednesday, 30 April 2025</w:t>
                </w:r>
              </w:p>
            </w:tc>
          </w:sdtContent>
        </w:sdt>
      </w:tr>
      <w:tr w:rsidR="00E45FCC" w14:paraId="3B1200C8" w14:textId="77777777" w:rsidTr="0099572D">
        <w:trPr>
          <w:cantSplit/>
        </w:trPr>
        <w:tc>
          <w:tcPr>
            <w:tcW w:w="5000" w:type="pct"/>
            <w:gridSpan w:val="4"/>
            <w:shd w:val="clear" w:color="auto" w:fill="0072C6" w:themeFill="text2"/>
          </w:tcPr>
          <w:p w14:paraId="05738069" w14:textId="77777777" w:rsidR="00E45FCC" w:rsidRDefault="00E45FCC" w:rsidP="0073674F">
            <w:r w:rsidRPr="000F4866">
              <w:rPr>
                <w:color w:val="FFFFFF" w:themeColor="background1"/>
              </w:rPr>
              <w:t>Relevant</w:t>
            </w:r>
            <w:r>
              <w:rPr>
                <w:color w:val="FFFFFF" w:themeColor="background1"/>
              </w:rPr>
              <w:t xml:space="preserve"> protected characteristic(s)</w:t>
            </w:r>
          </w:p>
        </w:tc>
      </w:tr>
      <w:tr w:rsidR="00E45FCC" w:rsidRPr="008C393C" w14:paraId="2AA29015" w14:textId="77777777" w:rsidTr="0099572D">
        <w:trPr>
          <w:cantSplit/>
        </w:trPr>
        <w:tc>
          <w:tcPr>
            <w:tcW w:w="1727" w:type="pct"/>
            <w:gridSpan w:val="2"/>
            <w:shd w:val="clear" w:color="auto" w:fill="5BBF21" w:themeFill="accent3"/>
          </w:tcPr>
          <w:p w14:paraId="3CB4BAD2" w14:textId="77777777" w:rsidR="00E45FCC" w:rsidRPr="008C393C" w:rsidRDefault="00E45FCC" w:rsidP="0073674F">
            <w:pPr>
              <w:rPr>
                <w:color w:val="FFFFFF" w:themeColor="background1"/>
              </w:rPr>
            </w:pPr>
            <w:r w:rsidRPr="008C393C">
              <w:rPr>
                <w:color w:val="FFFFFF" w:themeColor="background1"/>
              </w:rPr>
              <w:t>Age</w:t>
            </w:r>
          </w:p>
        </w:tc>
        <w:tc>
          <w:tcPr>
            <w:tcW w:w="1606" w:type="pct"/>
            <w:shd w:val="clear" w:color="auto" w:fill="5BBF21" w:themeFill="accent3"/>
          </w:tcPr>
          <w:p w14:paraId="7C6FCCAC" w14:textId="77777777" w:rsidR="00E45FCC" w:rsidRPr="008C393C" w:rsidRDefault="00E45FCC" w:rsidP="0073674F">
            <w:pPr>
              <w:rPr>
                <w:color w:val="FFFFFF" w:themeColor="background1"/>
              </w:rPr>
            </w:pPr>
            <w:r w:rsidRPr="008C393C">
              <w:rPr>
                <w:color w:val="FFFFFF" w:themeColor="background1"/>
              </w:rPr>
              <w:t>Disability</w:t>
            </w:r>
          </w:p>
        </w:tc>
        <w:tc>
          <w:tcPr>
            <w:tcW w:w="1667" w:type="pct"/>
            <w:shd w:val="clear" w:color="auto" w:fill="5BBF21" w:themeFill="accent3"/>
          </w:tcPr>
          <w:p w14:paraId="680BE023" w14:textId="77777777" w:rsidR="00E45FCC" w:rsidRPr="008C393C" w:rsidRDefault="00E45FCC" w:rsidP="0073674F">
            <w:pPr>
              <w:rPr>
                <w:color w:val="FFFFFF" w:themeColor="background1"/>
              </w:rPr>
            </w:pPr>
            <w:r w:rsidRPr="008C393C">
              <w:rPr>
                <w:color w:val="FFFFFF" w:themeColor="background1"/>
              </w:rPr>
              <w:t>Gender reassignment</w:t>
            </w:r>
          </w:p>
        </w:tc>
      </w:tr>
      <w:tr w:rsidR="00E45FCC" w:rsidRPr="008C393C" w14:paraId="1782067F" w14:textId="77777777" w:rsidTr="0099572D">
        <w:trPr>
          <w:cantSplit/>
        </w:trPr>
        <w:tc>
          <w:tcPr>
            <w:tcW w:w="1727" w:type="pct"/>
            <w:gridSpan w:val="2"/>
            <w:shd w:val="clear" w:color="auto" w:fill="5BBF21" w:themeFill="accent3"/>
          </w:tcPr>
          <w:p w14:paraId="397E48A6" w14:textId="77777777" w:rsidR="00E45FCC" w:rsidRPr="008C393C" w:rsidRDefault="00E45FCC" w:rsidP="0073674F">
            <w:pPr>
              <w:rPr>
                <w:color w:val="FFFFFF" w:themeColor="background1"/>
              </w:rPr>
            </w:pPr>
            <w:r w:rsidRPr="008C393C">
              <w:rPr>
                <w:color w:val="FFFFFF" w:themeColor="background1"/>
              </w:rPr>
              <w:t>Marriage and civil partnership</w:t>
            </w:r>
          </w:p>
        </w:tc>
        <w:tc>
          <w:tcPr>
            <w:tcW w:w="1606" w:type="pct"/>
            <w:shd w:val="clear" w:color="auto" w:fill="5BBF21" w:themeFill="accent3"/>
          </w:tcPr>
          <w:p w14:paraId="3CB5EC09" w14:textId="77777777" w:rsidR="00E45FCC" w:rsidRPr="008C393C" w:rsidRDefault="00E45FCC" w:rsidP="0073674F">
            <w:pPr>
              <w:rPr>
                <w:color w:val="FFFFFF" w:themeColor="background1"/>
              </w:rPr>
            </w:pPr>
            <w:r w:rsidRPr="008C393C">
              <w:rPr>
                <w:color w:val="FFFFFF" w:themeColor="background1"/>
              </w:rPr>
              <w:t>Pregnancy and maternity</w:t>
            </w:r>
          </w:p>
        </w:tc>
        <w:tc>
          <w:tcPr>
            <w:tcW w:w="1667" w:type="pct"/>
            <w:shd w:val="clear" w:color="auto" w:fill="5BBF21" w:themeFill="accent3"/>
          </w:tcPr>
          <w:p w14:paraId="2A2CE60B" w14:textId="77777777" w:rsidR="00E45FCC" w:rsidRPr="008C393C" w:rsidRDefault="00E45FCC" w:rsidP="0073674F">
            <w:pPr>
              <w:rPr>
                <w:color w:val="FFFFFF" w:themeColor="background1"/>
              </w:rPr>
            </w:pPr>
            <w:r w:rsidRPr="008C393C">
              <w:rPr>
                <w:color w:val="FFFFFF" w:themeColor="background1"/>
              </w:rPr>
              <w:t>Race and ethnicity</w:t>
            </w:r>
          </w:p>
        </w:tc>
      </w:tr>
      <w:tr w:rsidR="00E45FCC" w:rsidRPr="008C393C" w14:paraId="5143221E" w14:textId="77777777" w:rsidTr="0099572D">
        <w:trPr>
          <w:cantSplit/>
        </w:trPr>
        <w:tc>
          <w:tcPr>
            <w:tcW w:w="1727" w:type="pct"/>
            <w:gridSpan w:val="2"/>
            <w:shd w:val="clear" w:color="auto" w:fill="5BBF21" w:themeFill="accent3"/>
          </w:tcPr>
          <w:p w14:paraId="723FE916" w14:textId="77777777" w:rsidR="00E45FCC" w:rsidRPr="008C393C" w:rsidRDefault="00E45FCC" w:rsidP="0073674F">
            <w:pPr>
              <w:rPr>
                <w:color w:val="FFFFFF" w:themeColor="background1"/>
              </w:rPr>
            </w:pPr>
            <w:r w:rsidRPr="008C393C">
              <w:rPr>
                <w:color w:val="FFFFFF" w:themeColor="background1"/>
              </w:rPr>
              <w:t>Religion or belief</w:t>
            </w:r>
          </w:p>
        </w:tc>
        <w:tc>
          <w:tcPr>
            <w:tcW w:w="1606" w:type="pct"/>
            <w:shd w:val="clear" w:color="auto" w:fill="5BBF21" w:themeFill="accent3"/>
          </w:tcPr>
          <w:p w14:paraId="18DDDE9D" w14:textId="77777777" w:rsidR="00E45FCC" w:rsidRPr="008C393C" w:rsidRDefault="00E45FCC" w:rsidP="0073674F">
            <w:pPr>
              <w:rPr>
                <w:color w:val="FFFFFF" w:themeColor="background1"/>
              </w:rPr>
            </w:pPr>
            <w:r w:rsidRPr="008C393C">
              <w:rPr>
                <w:color w:val="FFFFFF" w:themeColor="background1"/>
              </w:rPr>
              <w:t>Sex</w:t>
            </w:r>
          </w:p>
        </w:tc>
        <w:tc>
          <w:tcPr>
            <w:tcW w:w="1667" w:type="pct"/>
            <w:shd w:val="clear" w:color="auto" w:fill="5BBF21" w:themeFill="accent3"/>
          </w:tcPr>
          <w:p w14:paraId="12B1FCFD" w14:textId="77777777" w:rsidR="00E45FCC" w:rsidRPr="008C393C" w:rsidRDefault="00E45FCC" w:rsidP="0073674F">
            <w:pPr>
              <w:rPr>
                <w:color w:val="FFFFFF" w:themeColor="background1"/>
              </w:rPr>
            </w:pPr>
            <w:r w:rsidRPr="008C393C">
              <w:rPr>
                <w:color w:val="FFFFFF" w:themeColor="background1"/>
              </w:rPr>
              <w:t>Sexual orientation</w:t>
            </w:r>
          </w:p>
        </w:tc>
      </w:tr>
    </w:tbl>
    <w:p w14:paraId="1780B92F" w14:textId="77777777" w:rsidR="00E45FCC" w:rsidRDefault="00E45FCC" w:rsidP="00E45FCC">
      <w:pPr>
        <w:pStyle w:val="Objective"/>
      </w:pPr>
      <w:r>
        <w:t>Combined Impact Assessment</w:t>
      </w:r>
    </w:p>
    <w:tbl>
      <w:tblPr>
        <w:tblStyle w:val="TableGrid"/>
        <w:tblW w:w="0" w:type="auto"/>
        <w:tblLook w:val="04A0" w:firstRow="1" w:lastRow="0" w:firstColumn="1" w:lastColumn="0" w:noHBand="0" w:noVBand="1"/>
      </w:tblPr>
      <w:tblGrid>
        <w:gridCol w:w="2122"/>
        <w:gridCol w:w="3694"/>
        <w:gridCol w:w="3920"/>
      </w:tblGrid>
      <w:tr w:rsidR="00E45FCC" w14:paraId="20BE52BB" w14:textId="77777777" w:rsidTr="0013533B">
        <w:trPr>
          <w:cantSplit/>
        </w:trPr>
        <w:tc>
          <w:tcPr>
            <w:tcW w:w="2122" w:type="dxa"/>
            <w:shd w:val="clear" w:color="auto" w:fill="0072C6" w:themeFill="text2"/>
          </w:tcPr>
          <w:p w14:paraId="404D0336" w14:textId="77777777" w:rsidR="00E45FCC" w:rsidRPr="007001FA" w:rsidRDefault="00E45FCC" w:rsidP="0073674F">
            <w:pPr>
              <w:rPr>
                <w:color w:val="FFFFFF" w:themeColor="background1"/>
              </w:rPr>
            </w:pPr>
            <w:r w:rsidRPr="007001FA">
              <w:rPr>
                <w:color w:val="FFFFFF" w:themeColor="background1"/>
              </w:rPr>
              <w:t>Summary</w:t>
            </w:r>
            <w:r>
              <w:rPr>
                <w:color w:val="FFFFFF" w:themeColor="background1"/>
              </w:rPr>
              <w:t>:</w:t>
            </w:r>
          </w:p>
        </w:tc>
        <w:tc>
          <w:tcPr>
            <w:tcW w:w="7614" w:type="dxa"/>
            <w:gridSpan w:val="2"/>
          </w:tcPr>
          <w:p w14:paraId="6580FEDD" w14:textId="77777777" w:rsidR="00E45FCC" w:rsidRPr="004B223F" w:rsidRDefault="00E45FCC" w:rsidP="0073674F">
            <w:r>
              <w:t>We have an Equality Impact Assessment (</w:t>
            </w:r>
            <w:r w:rsidRPr="006F4ED3">
              <w:rPr>
                <w:b/>
                <w:bCs/>
              </w:rPr>
              <w:t>EIA</w:t>
            </w:r>
            <w:r>
              <w:t xml:space="preserve">) process embedded for some years.  This is now due for review </w:t>
            </w:r>
            <w:proofErr w:type="gramStart"/>
            <w:r>
              <w:t>in order to</w:t>
            </w:r>
            <w:proofErr w:type="gramEnd"/>
            <w:r>
              <w:t xml:space="preserve"> incorporate additional duties and requirements, including areas, such as Core20Plus5 (health inequalities).  It is also an opportunity to combine other assessments, such as Quality Impact Assessment (</w:t>
            </w:r>
            <w:r>
              <w:rPr>
                <w:b/>
                <w:bCs/>
              </w:rPr>
              <w:t>QIA</w:t>
            </w:r>
            <w:r>
              <w:t>) process and to consider the inclusion of areas such as environmental impacts.</w:t>
            </w:r>
          </w:p>
        </w:tc>
      </w:tr>
      <w:tr w:rsidR="00E45FCC" w14:paraId="5D11EDBC" w14:textId="77777777" w:rsidTr="0013533B">
        <w:trPr>
          <w:cantSplit/>
        </w:trPr>
        <w:tc>
          <w:tcPr>
            <w:tcW w:w="2122" w:type="dxa"/>
            <w:shd w:val="clear" w:color="auto" w:fill="0072C6" w:themeFill="text2"/>
          </w:tcPr>
          <w:p w14:paraId="40789FBC" w14:textId="77777777" w:rsidR="00E45FCC" w:rsidRPr="007001FA" w:rsidRDefault="00E45FCC" w:rsidP="0073674F">
            <w:pPr>
              <w:rPr>
                <w:color w:val="FFFFFF" w:themeColor="background1"/>
              </w:rPr>
            </w:pPr>
            <w:r w:rsidRPr="007001FA">
              <w:rPr>
                <w:color w:val="FFFFFF" w:themeColor="background1"/>
              </w:rPr>
              <w:t>Measures</w:t>
            </w:r>
            <w:r>
              <w:rPr>
                <w:color w:val="FFFFFF" w:themeColor="background1"/>
              </w:rPr>
              <w:t>:</w:t>
            </w:r>
          </w:p>
        </w:tc>
        <w:tc>
          <w:tcPr>
            <w:tcW w:w="7614" w:type="dxa"/>
            <w:gridSpan w:val="2"/>
          </w:tcPr>
          <w:p w14:paraId="6E94B3EE" w14:textId="77777777" w:rsidR="00E45FCC" w:rsidRDefault="00E45FCC" w:rsidP="00E45FCC">
            <w:pPr>
              <w:pStyle w:val="ListParagraph"/>
              <w:numPr>
                <w:ilvl w:val="0"/>
                <w:numId w:val="16"/>
              </w:numPr>
              <w:spacing w:before="120" w:after="120"/>
            </w:pPr>
            <w:r>
              <w:t>Revised template published to incorporate additional areas of assessment</w:t>
            </w:r>
          </w:p>
          <w:p w14:paraId="59C799FC" w14:textId="77777777" w:rsidR="00E45FCC" w:rsidRDefault="00E45FCC" w:rsidP="00E45FCC">
            <w:pPr>
              <w:pStyle w:val="ListParagraph"/>
              <w:numPr>
                <w:ilvl w:val="0"/>
                <w:numId w:val="16"/>
              </w:numPr>
              <w:spacing w:before="120" w:after="120"/>
            </w:pPr>
            <w:r>
              <w:t>Internal communication to all staff at NHS Somerset Integrated Care Board relating to the revised templates and processes, and a reminder of the legal duties underpinning these</w:t>
            </w:r>
          </w:p>
          <w:p w14:paraId="596B415F" w14:textId="77777777" w:rsidR="00E45FCC" w:rsidRDefault="00E45FCC" w:rsidP="00E45FCC">
            <w:pPr>
              <w:pStyle w:val="ListParagraph"/>
              <w:numPr>
                <w:ilvl w:val="0"/>
                <w:numId w:val="16"/>
              </w:numPr>
              <w:spacing w:before="120" w:after="120"/>
            </w:pPr>
            <w:r>
              <w:t xml:space="preserve">Training available to all staff on completing and reviewing assessments, including the </w:t>
            </w:r>
            <w:proofErr w:type="gramStart"/>
            <w:r>
              <w:t>sometimes overlooked</w:t>
            </w:r>
            <w:proofErr w:type="gramEnd"/>
            <w:r>
              <w:t xml:space="preserve"> characteristics of carers (Disability – </w:t>
            </w:r>
            <w:r w:rsidRPr="005F3C70">
              <w:rPr>
                <w:i/>
                <w:iCs/>
              </w:rPr>
              <w:t>discrimination</w:t>
            </w:r>
            <w:r>
              <w:rPr>
                <w:i/>
                <w:iCs/>
              </w:rPr>
              <w:t xml:space="preserve"> by association</w:t>
            </w:r>
            <w:r>
              <w:t>), travelling communities (Race and Ethnicity), and named disabilities within the Equality Act 2010 (Disability – e.g. Cancer, HIV, Multiple Sclerosis, Severe Disfigurement, etc.)</w:t>
            </w:r>
          </w:p>
          <w:p w14:paraId="02B7B7C7" w14:textId="77777777" w:rsidR="00E45FCC" w:rsidRDefault="00E45FCC" w:rsidP="00E45FCC">
            <w:pPr>
              <w:pStyle w:val="ListParagraph"/>
              <w:numPr>
                <w:ilvl w:val="0"/>
                <w:numId w:val="16"/>
              </w:numPr>
              <w:spacing w:before="120" w:after="120"/>
            </w:pPr>
            <w:r>
              <w:t>Auditing process of completion and quality of Combined Impact Assessments (</w:t>
            </w:r>
            <w:r>
              <w:rPr>
                <w:b/>
                <w:bCs/>
              </w:rPr>
              <w:t>CIAs</w:t>
            </w:r>
            <w:r>
              <w:t>)</w:t>
            </w:r>
          </w:p>
        </w:tc>
      </w:tr>
      <w:tr w:rsidR="00E45FCC" w14:paraId="19D9CA9C" w14:textId="77777777" w:rsidTr="0013533B">
        <w:trPr>
          <w:cantSplit/>
        </w:trPr>
        <w:tc>
          <w:tcPr>
            <w:tcW w:w="2122" w:type="dxa"/>
            <w:shd w:val="clear" w:color="auto" w:fill="0072C6" w:themeFill="text2"/>
          </w:tcPr>
          <w:p w14:paraId="13DA3818" w14:textId="77777777" w:rsidR="00E45FCC" w:rsidRPr="007001FA" w:rsidRDefault="00E45FCC" w:rsidP="0073674F">
            <w:pPr>
              <w:rPr>
                <w:color w:val="FFFFFF" w:themeColor="background1"/>
              </w:rPr>
            </w:pPr>
            <w:r>
              <w:rPr>
                <w:color w:val="FFFFFF" w:themeColor="background1"/>
              </w:rPr>
              <w:lastRenderedPageBreak/>
              <w:t>Related actions:</w:t>
            </w:r>
          </w:p>
        </w:tc>
        <w:tc>
          <w:tcPr>
            <w:tcW w:w="7614" w:type="dxa"/>
            <w:gridSpan w:val="2"/>
          </w:tcPr>
          <w:p w14:paraId="35A69F53" w14:textId="77777777" w:rsidR="00E45FCC" w:rsidRDefault="00E45FCC" w:rsidP="00E45FCC">
            <w:pPr>
              <w:pStyle w:val="ListParagraph"/>
              <w:numPr>
                <w:ilvl w:val="0"/>
                <w:numId w:val="13"/>
              </w:numPr>
              <w:spacing w:before="120"/>
            </w:pPr>
            <w:r>
              <w:t>Convene working group within NHS Somerset Integrated Care Board to fully understand experiences of the existing forms and processes</w:t>
            </w:r>
          </w:p>
          <w:p w14:paraId="543B0C3E" w14:textId="77777777" w:rsidR="00E45FCC" w:rsidRDefault="00E45FCC" w:rsidP="00E45FCC">
            <w:pPr>
              <w:pStyle w:val="ListParagraph"/>
              <w:numPr>
                <w:ilvl w:val="0"/>
                <w:numId w:val="13"/>
              </w:numPr>
              <w:spacing w:before="120"/>
            </w:pPr>
            <w:r>
              <w:t>Create proposed template for review and agreement within the organisation</w:t>
            </w:r>
          </w:p>
          <w:p w14:paraId="78517F3C" w14:textId="77777777" w:rsidR="00E45FCC" w:rsidRDefault="00E45FCC" w:rsidP="00E45FCC">
            <w:pPr>
              <w:pStyle w:val="ListParagraph"/>
              <w:numPr>
                <w:ilvl w:val="0"/>
                <w:numId w:val="13"/>
              </w:numPr>
              <w:spacing w:before="120"/>
            </w:pPr>
            <w:r>
              <w:t>Develop training workshop for all staff</w:t>
            </w:r>
          </w:p>
          <w:p w14:paraId="698B2365" w14:textId="77777777" w:rsidR="00E45FCC" w:rsidRDefault="00E45FCC" w:rsidP="00E45FCC">
            <w:pPr>
              <w:pStyle w:val="ListParagraph"/>
              <w:numPr>
                <w:ilvl w:val="0"/>
                <w:numId w:val="13"/>
              </w:numPr>
              <w:spacing w:before="120"/>
            </w:pPr>
            <w:r>
              <w:t>Generate communication plan to all staff incorporating usual internal communication methods and attendance at directorate or team meetings across the organisation</w:t>
            </w:r>
          </w:p>
        </w:tc>
      </w:tr>
      <w:tr w:rsidR="00E45FCC" w14:paraId="3C987BB5" w14:textId="77777777" w:rsidTr="0013533B">
        <w:trPr>
          <w:cantSplit/>
        </w:trPr>
        <w:tc>
          <w:tcPr>
            <w:tcW w:w="2122" w:type="dxa"/>
            <w:shd w:val="clear" w:color="auto" w:fill="0072C6" w:themeFill="text2"/>
          </w:tcPr>
          <w:p w14:paraId="533E923F" w14:textId="77777777" w:rsidR="00E45FCC" w:rsidRDefault="00E45FCC" w:rsidP="0073674F">
            <w:pPr>
              <w:rPr>
                <w:color w:val="FFFFFF" w:themeColor="background1"/>
              </w:rPr>
            </w:pPr>
            <w:r>
              <w:rPr>
                <w:color w:val="FFFFFF" w:themeColor="background1"/>
              </w:rPr>
              <w:t>Delivery date:</w:t>
            </w:r>
          </w:p>
        </w:tc>
        <w:sdt>
          <w:sdtPr>
            <w:id w:val="1835647423"/>
            <w:placeholder>
              <w:docPart w:val="757AA134FB7B4BF1AD686C6293AA6738"/>
            </w:placeholder>
            <w:date w:fullDate="2026-03-31T00:00:00Z">
              <w:dateFormat w:val="dddd, dd MMMM yyyy"/>
              <w:lid w:val="en-GB"/>
              <w:storeMappedDataAs w:val="dateTime"/>
              <w:calendar w:val="gregorian"/>
            </w:date>
          </w:sdtPr>
          <w:sdtEndPr/>
          <w:sdtContent>
            <w:tc>
              <w:tcPr>
                <w:tcW w:w="7614" w:type="dxa"/>
                <w:gridSpan w:val="2"/>
              </w:tcPr>
              <w:p w14:paraId="227D50FB" w14:textId="77777777" w:rsidR="00E45FCC" w:rsidRDefault="00E45FCC" w:rsidP="0073674F">
                <w:r>
                  <w:t>Tuesday, 31 March 2026</w:t>
                </w:r>
              </w:p>
            </w:tc>
          </w:sdtContent>
        </w:sdt>
      </w:tr>
      <w:tr w:rsidR="00E45FCC" w14:paraId="55378918" w14:textId="77777777" w:rsidTr="0099572D">
        <w:trPr>
          <w:cantSplit/>
        </w:trPr>
        <w:tc>
          <w:tcPr>
            <w:tcW w:w="0" w:type="auto"/>
            <w:gridSpan w:val="3"/>
            <w:shd w:val="clear" w:color="auto" w:fill="0072C6" w:themeFill="text2"/>
          </w:tcPr>
          <w:p w14:paraId="40CEB661" w14:textId="77777777" w:rsidR="00E45FCC" w:rsidRDefault="00E45FCC" w:rsidP="0073674F">
            <w:r w:rsidRPr="000F4866">
              <w:rPr>
                <w:color w:val="FFFFFF" w:themeColor="background1"/>
              </w:rPr>
              <w:t>Relevant</w:t>
            </w:r>
            <w:r>
              <w:rPr>
                <w:color w:val="FFFFFF" w:themeColor="background1"/>
              </w:rPr>
              <w:t xml:space="preserve"> protected characteristic(s)</w:t>
            </w:r>
          </w:p>
        </w:tc>
      </w:tr>
      <w:tr w:rsidR="00E45FCC" w14:paraId="594DC082" w14:textId="77777777" w:rsidTr="0013533B">
        <w:trPr>
          <w:cantSplit/>
        </w:trPr>
        <w:tc>
          <w:tcPr>
            <w:tcW w:w="2122" w:type="dxa"/>
            <w:shd w:val="clear" w:color="auto" w:fill="5BBF21" w:themeFill="accent3"/>
          </w:tcPr>
          <w:p w14:paraId="4E934019" w14:textId="77777777" w:rsidR="00E45FCC" w:rsidRPr="008C393C" w:rsidRDefault="00E45FCC" w:rsidP="0073674F">
            <w:pPr>
              <w:rPr>
                <w:color w:val="FFFFFF" w:themeColor="background1"/>
              </w:rPr>
            </w:pPr>
            <w:r w:rsidRPr="008C393C">
              <w:rPr>
                <w:color w:val="FFFFFF" w:themeColor="background1"/>
              </w:rPr>
              <w:t>Age</w:t>
            </w:r>
          </w:p>
        </w:tc>
        <w:tc>
          <w:tcPr>
            <w:tcW w:w="3694" w:type="dxa"/>
            <w:shd w:val="clear" w:color="auto" w:fill="5BBF21" w:themeFill="accent3"/>
          </w:tcPr>
          <w:p w14:paraId="020EEBE2" w14:textId="77777777" w:rsidR="00E45FCC" w:rsidRPr="008C393C" w:rsidRDefault="00E45FCC" w:rsidP="0073674F">
            <w:pPr>
              <w:rPr>
                <w:color w:val="FFFFFF" w:themeColor="background1"/>
              </w:rPr>
            </w:pPr>
            <w:r w:rsidRPr="008C393C">
              <w:rPr>
                <w:color w:val="FFFFFF" w:themeColor="background1"/>
              </w:rPr>
              <w:t>Disability</w:t>
            </w:r>
          </w:p>
        </w:tc>
        <w:tc>
          <w:tcPr>
            <w:tcW w:w="0" w:type="auto"/>
            <w:shd w:val="clear" w:color="auto" w:fill="5BBF21" w:themeFill="accent3"/>
          </w:tcPr>
          <w:p w14:paraId="117BE6B1" w14:textId="77777777" w:rsidR="00E45FCC" w:rsidRPr="008C393C" w:rsidRDefault="00E45FCC" w:rsidP="0073674F">
            <w:pPr>
              <w:rPr>
                <w:color w:val="FFFFFF" w:themeColor="background1"/>
              </w:rPr>
            </w:pPr>
            <w:r w:rsidRPr="008C393C">
              <w:rPr>
                <w:color w:val="FFFFFF" w:themeColor="background1"/>
              </w:rPr>
              <w:t>Gender reassignment</w:t>
            </w:r>
          </w:p>
        </w:tc>
      </w:tr>
      <w:tr w:rsidR="00E45FCC" w14:paraId="4A280C9E" w14:textId="77777777" w:rsidTr="0013533B">
        <w:trPr>
          <w:cantSplit/>
        </w:trPr>
        <w:tc>
          <w:tcPr>
            <w:tcW w:w="2122" w:type="dxa"/>
            <w:shd w:val="clear" w:color="auto" w:fill="5BBF21" w:themeFill="accent3"/>
          </w:tcPr>
          <w:p w14:paraId="16DF3284" w14:textId="77777777" w:rsidR="00E45FCC" w:rsidRPr="008C393C" w:rsidRDefault="00E45FCC" w:rsidP="0073674F">
            <w:pPr>
              <w:rPr>
                <w:color w:val="FFFFFF" w:themeColor="background1"/>
              </w:rPr>
            </w:pPr>
            <w:r w:rsidRPr="008C393C">
              <w:rPr>
                <w:color w:val="FFFFFF" w:themeColor="background1"/>
              </w:rPr>
              <w:t>Marriage and civil partnership</w:t>
            </w:r>
          </w:p>
        </w:tc>
        <w:tc>
          <w:tcPr>
            <w:tcW w:w="3694" w:type="dxa"/>
            <w:shd w:val="clear" w:color="auto" w:fill="5BBF21" w:themeFill="accent3"/>
          </w:tcPr>
          <w:p w14:paraId="0BA1AC07" w14:textId="77777777" w:rsidR="00E45FCC" w:rsidRPr="008C393C" w:rsidRDefault="00E45FCC" w:rsidP="0073674F">
            <w:pPr>
              <w:rPr>
                <w:color w:val="FFFFFF" w:themeColor="background1"/>
              </w:rPr>
            </w:pPr>
            <w:r w:rsidRPr="008C393C">
              <w:rPr>
                <w:color w:val="FFFFFF" w:themeColor="background1"/>
              </w:rPr>
              <w:t>Pregnancy and maternity</w:t>
            </w:r>
          </w:p>
        </w:tc>
        <w:tc>
          <w:tcPr>
            <w:tcW w:w="0" w:type="auto"/>
            <w:shd w:val="clear" w:color="auto" w:fill="5BBF21" w:themeFill="accent3"/>
          </w:tcPr>
          <w:p w14:paraId="54513340" w14:textId="77777777" w:rsidR="00E45FCC" w:rsidRPr="008C393C" w:rsidRDefault="00E45FCC" w:rsidP="0073674F">
            <w:pPr>
              <w:rPr>
                <w:color w:val="FFFFFF" w:themeColor="background1"/>
              </w:rPr>
            </w:pPr>
            <w:r w:rsidRPr="008C393C">
              <w:rPr>
                <w:color w:val="FFFFFF" w:themeColor="background1"/>
              </w:rPr>
              <w:t>Race and ethnicity</w:t>
            </w:r>
          </w:p>
        </w:tc>
      </w:tr>
      <w:tr w:rsidR="00E45FCC" w14:paraId="0E507D74" w14:textId="77777777" w:rsidTr="0013533B">
        <w:trPr>
          <w:cantSplit/>
        </w:trPr>
        <w:tc>
          <w:tcPr>
            <w:tcW w:w="2122" w:type="dxa"/>
            <w:shd w:val="clear" w:color="auto" w:fill="5BBF21" w:themeFill="accent3"/>
          </w:tcPr>
          <w:p w14:paraId="7D78F897" w14:textId="77777777" w:rsidR="00E45FCC" w:rsidRPr="008C393C" w:rsidRDefault="00E45FCC" w:rsidP="0073674F">
            <w:pPr>
              <w:rPr>
                <w:color w:val="FFFFFF" w:themeColor="background1"/>
              </w:rPr>
            </w:pPr>
            <w:r w:rsidRPr="008C393C">
              <w:rPr>
                <w:color w:val="FFFFFF" w:themeColor="background1"/>
              </w:rPr>
              <w:t>Religion or belief</w:t>
            </w:r>
          </w:p>
        </w:tc>
        <w:tc>
          <w:tcPr>
            <w:tcW w:w="3694" w:type="dxa"/>
            <w:shd w:val="clear" w:color="auto" w:fill="5BBF21" w:themeFill="accent3"/>
          </w:tcPr>
          <w:p w14:paraId="24E5A7FA" w14:textId="77777777" w:rsidR="00E45FCC" w:rsidRPr="008C393C" w:rsidRDefault="00E45FCC" w:rsidP="0073674F">
            <w:pPr>
              <w:rPr>
                <w:color w:val="FFFFFF" w:themeColor="background1"/>
              </w:rPr>
            </w:pPr>
            <w:r w:rsidRPr="008C393C">
              <w:rPr>
                <w:color w:val="FFFFFF" w:themeColor="background1"/>
              </w:rPr>
              <w:t>Sex</w:t>
            </w:r>
          </w:p>
        </w:tc>
        <w:tc>
          <w:tcPr>
            <w:tcW w:w="0" w:type="auto"/>
            <w:shd w:val="clear" w:color="auto" w:fill="5BBF21" w:themeFill="accent3"/>
          </w:tcPr>
          <w:p w14:paraId="1969E3AF" w14:textId="77777777" w:rsidR="00E45FCC" w:rsidRPr="008C393C" w:rsidRDefault="00E45FCC" w:rsidP="0073674F">
            <w:pPr>
              <w:rPr>
                <w:color w:val="FFFFFF" w:themeColor="background1"/>
              </w:rPr>
            </w:pPr>
            <w:r w:rsidRPr="008C393C">
              <w:rPr>
                <w:color w:val="FFFFFF" w:themeColor="background1"/>
              </w:rPr>
              <w:t>Sexual orientation</w:t>
            </w:r>
          </w:p>
        </w:tc>
      </w:tr>
    </w:tbl>
    <w:p w14:paraId="40E98C8E" w14:textId="77777777" w:rsidR="00E45FCC" w:rsidRDefault="00E45FCC" w:rsidP="00E45FCC">
      <w:pPr>
        <w:pStyle w:val="Objective"/>
      </w:pPr>
      <w:bookmarkStart w:id="11" w:name="Objective_3_AIS"/>
      <w:r>
        <w:t>Accessible Information Standard</w:t>
      </w:r>
    </w:p>
    <w:tbl>
      <w:tblPr>
        <w:tblStyle w:val="TableGrid"/>
        <w:tblW w:w="5000" w:type="pct"/>
        <w:tblLook w:val="04A0" w:firstRow="1" w:lastRow="0" w:firstColumn="1" w:lastColumn="0" w:noHBand="0" w:noVBand="1"/>
      </w:tblPr>
      <w:tblGrid>
        <w:gridCol w:w="2138"/>
        <w:gridCol w:w="1225"/>
        <w:gridCol w:w="3127"/>
        <w:gridCol w:w="3246"/>
      </w:tblGrid>
      <w:tr w:rsidR="00E45FCC" w14:paraId="5482BA53" w14:textId="77777777" w:rsidTr="0013533B">
        <w:trPr>
          <w:cantSplit/>
        </w:trPr>
        <w:tc>
          <w:tcPr>
            <w:tcW w:w="1098" w:type="pct"/>
            <w:shd w:val="clear" w:color="auto" w:fill="0072C6" w:themeFill="text2"/>
          </w:tcPr>
          <w:bookmarkEnd w:id="11"/>
          <w:p w14:paraId="5AC1ED04" w14:textId="77777777" w:rsidR="00E45FCC" w:rsidRPr="007001FA" w:rsidRDefault="00E45FCC" w:rsidP="0073674F">
            <w:pPr>
              <w:rPr>
                <w:color w:val="FFFFFF" w:themeColor="background1"/>
              </w:rPr>
            </w:pPr>
            <w:r w:rsidRPr="007001FA">
              <w:rPr>
                <w:color w:val="FFFFFF" w:themeColor="background1"/>
              </w:rPr>
              <w:t>Summary</w:t>
            </w:r>
            <w:r>
              <w:rPr>
                <w:color w:val="FFFFFF" w:themeColor="background1"/>
              </w:rPr>
              <w:t>:</w:t>
            </w:r>
          </w:p>
        </w:tc>
        <w:tc>
          <w:tcPr>
            <w:tcW w:w="3902" w:type="pct"/>
            <w:gridSpan w:val="3"/>
          </w:tcPr>
          <w:p w14:paraId="090CA051" w14:textId="3470D4F8" w:rsidR="008429A0" w:rsidRDefault="00E45FCC" w:rsidP="00DC3901">
            <w:r>
              <w:t>The Accessible Information Standard (</w:t>
            </w:r>
            <w:r>
              <w:rPr>
                <w:b/>
                <w:bCs/>
              </w:rPr>
              <w:t>AIS</w:t>
            </w:r>
            <w:r>
              <w:t xml:space="preserve">) is </w:t>
            </w:r>
            <w:proofErr w:type="gramStart"/>
            <w:r>
              <w:t>a</w:t>
            </w:r>
            <w:proofErr w:type="gramEnd"/>
            <w:r>
              <w:t xml:space="preserve"> NHS mandated requirement for all providers of NHS services to ensure that it has a standard way of gathering, recording and sharing details of patient needs, including reasonable adjustments.  This does not apply to Integrated Care Boards, however in Somerset we have elected to adopt this where patient records are maintained, for example Continuing Healthcare (</w:t>
            </w:r>
            <w:r>
              <w:rPr>
                <w:b/>
                <w:bCs/>
              </w:rPr>
              <w:t>CHC</w:t>
            </w:r>
            <w:r>
              <w:t>).</w:t>
            </w:r>
          </w:p>
          <w:p w14:paraId="2F546A67" w14:textId="77777777" w:rsidR="00E45FCC" w:rsidRPr="001A39D9" w:rsidRDefault="00E45FCC" w:rsidP="00DC3901">
            <w:r>
              <w:t>The AIS relates specifically to the protected characteristic of Disability but in NHS Somerset Integrated Care Board, the same processes are applied to capture other access needs, for example spoken language and other cultural considerations.</w:t>
            </w:r>
          </w:p>
        </w:tc>
      </w:tr>
      <w:tr w:rsidR="00E45FCC" w14:paraId="1E25AC31" w14:textId="77777777" w:rsidTr="0013533B">
        <w:trPr>
          <w:cantSplit/>
        </w:trPr>
        <w:tc>
          <w:tcPr>
            <w:tcW w:w="1098" w:type="pct"/>
            <w:shd w:val="clear" w:color="auto" w:fill="0072C6" w:themeFill="text2"/>
          </w:tcPr>
          <w:p w14:paraId="3632D1E1" w14:textId="77777777" w:rsidR="00E45FCC" w:rsidRPr="007001FA" w:rsidRDefault="00E45FCC" w:rsidP="0073674F">
            <w:pPr>
              <w:rPr>
                <w:color w:val="FFFFFF" w:themeColor="background1"/>
              </w:rPr>
            </w:pPr>
            <w:r w:rsidRPr="007001FA">
              <w:rPr>
                <w:color w:val="FFFFFF" w:themeColor="background1"/>
              </w:rPr>
              <w:t>Measures</w:t>
            </w:r>
            <w:r>
              <w:rPr>
                <w:color w:val="FFFFFF" w:themeColor="background1"/>
              </w:rPr>
              <w:t>:</w:t>
            </w:r>
          </w:p>
        </w:tc>
        <w:tc>
          <w:tcPr>
            <w:tcW w:w="3902" w:type="pct"/>
            <w:gridSpan w:val="3"/>
          </w:tcPr>
          <w:p w14:paraId="56AA6267" w14:textId="77777777" w:rsidR="00E45FCC" w:rsidRDefault="00E45FCC" w:rsidP="00E45FCC">
            <w:pPr>
              <w:pStyle w:val="ListParagraph"/>
              <w:numPr>
                <w:ilvl w:val="0"/>
                <w:numId w:val="13"/>
              </w:numPr>
              <w:spacing w:before="120"/>
            </w:pPr>
            <w:r>
              <w:t>Audit of existing systems that contain patient information to ensure its ability to comply with the AIS requirements</w:t>
            </w:r>
          </w:p>
          <w:p w14:paraId="618DF610" w14:textId="77777777" w:rsidR="00E45FCC" w:rsidRDefault="00E45FCC" w:rsidP="00E45FCC">
            <w:pPr>
              <w:pStyle w:val="ListParagraph"/>
              <w:numPr>
                <w:ilvl w:val="0"/>
                <w:numId w:val="13"/>
              </w:numPr>
              <w:spacing w:before="120"/>
            </w:pPr>
            <w:r>
              <w:t>Guidance available to all staff that access or maintain patient records within NHS Somerset Integrated Care Board</w:t>
            </w:r>
          </w:p>
        </w:tc>
      </w:tr>
      <w:tr w:rsidR="00E45FCC" w14:paraId="51F64075" w14:textId="77777777" w:rsidTr="0013533B">
        <w:trPr>
          <w:cantSplit/>
        </w:trPr>
        <w:tc>
          <w:tcPr>
            <w:tcW w:w="1098" w:type="pct"/>
            <w:shd w:val="clear" w:color="auto" w:fill="0072C6" w:themeFill="text2"/>
          </w:tcPr>
          <w:p w14:paraId="264B8841" w14:textId="77777777" w:rsidR="00E45FCC" w:rsidRPr="007001FA" w:rsidRDefault="00E45FCC" w:rsidP="0073674F">
            <w:pPr>
              <w:rPr>
                <w:color w:val="FFFFFF" w:themeColor="background1"/>
              </w:rPr>
            </w:pPr>
            <w:r>
              <w:rPr>
                <w:color w:val="FFFFFF" w:themeColor="background1"/>
              </w:rPr>
              <w:lastRenderedPageBreak/>
              <w:t>Related actions:</w:t>
            </w:r>
          </w:p>
        </w:tc>
        <w:tc>
          <w:tcPr>
            <w:tcW w:w="3902" w:type="pct"/>
            <w:gridSpan w:val="3"/>
          </w:tcPr>
          <w:p w14:paraId="3AB6DEC9" w14:textId="77777777" w:rsidR="00E45FCC" w:rsidRDefault="00E45FCC" w:rsidP="00E45FCC">
            <w:pPr>
              <w:pStyle w:val="ListParagraph"/>
              <w:numPr>
                <w:ilvl w:val="0"/>
                <w:numId w:val="13"/>
              </w:numPr>
              <w:spacing w:before="120"/>
            </w:pPr>
            <w:r>
              <w:t>Obtain a list of all systems within NHS Somerset Integrated Care Board that hold patient information</w:t>
            </w:r>
          </w:p>
          <w:p w14:paraId="148D8F34" w14:textId="77777777" w:rsidR="00E45FCC" w:rsidRDefault="00E45FCC" w:rsidP="00E45FCC">
            <w:pPr>
              <w:pStyle w:val="ListParagraph"/>
              <w:numPr>
                <w:ilvl w:val="0"/>
                <w:numId w:val="13"/>
              </w:numPr>
              <w:spacing w:before="120"/>
            </w:pPr>
            <w:r>
              <w:t>Identify key stakeholders in teams that process patient information</w:t>
            </w:r>
          </w:p>
          <w:p w14:paraId="15BB6AA0" w14:textId="77777777" w:rsidR="00E45FCC" w:rsidRDefault="00E45FCC" w:rsidP="00E45FCC">
            <w:pPr>
              <w:pStyle w:val="ListParagraph"/>
              <w:numPr>
                <w:ilvl w:val="0"/>
                <w:numId w:val="13"/>
              </w:numPr>
              <w:spacing w:before="120"/>
            </w:pPr>
            <w:r>
              <w:t>Create guidance around meeting the requirements of the AIS (including the extension of these to include other access requirements, such as spoken languages)</w:t>
            </w:r>
          </w:p>
        </w:tc>
      </w:tr>
      <w:tr w:rsidR="00E45FCC" w14:paraId="1F2CF762" w14:textId="77777777" w:rsidTr="0013533B">
        <w:trPr>
          <w:cantSplit/>
        </w:trPr>
        <w:tc>
          <w:tcPr>
            <w:tcW w:w="1098" w:type="pct"/>
            <w:shd w:val="clear" w:color="auto" w:fill="0072C6" w:themeFill="text2"/>
          </w:tcPr>
          <w:p w14:paraId="6F13BB84" w14:textId="77777777" w:rsidR="00E45FCC" w:rsidRDefault="00E45FCC" w:rsidP="0073674F">
            <w:pPr>
              <w:rPr>
                <w:color w:val="FFFFFF" w:themeColor="background1"/>
              </w:rPr>
            </w:pPr>
            <w:r>
              <w:rPr>
                <w:color w:val="FFFFFF" w:themeColor="background1"/>
              </w:rPr>
              <w:t>Delivery date:</w:t>
            </w:r>
          </w:p>
        </w:tc>
        <w:sdt>
          <w:sdtPr>
            <w:id w:val="-549374335"/>
            <w:placeholder>
              <w:docPart w:val="F58C130EA157490FB5B7AC3C8285DA40"/>
            </w:placeholder>
            <w:date w:fullDate="2025-10-31T00:00:00Z">
              <w:dateFormat w:val="dddd, dd MMMM yyyy"/>
              <w:lid w:val="en-GB"/>
              <w:storeMappedDataAs w:val="dateTime"/>
              <w:calendar w:val="gregorian"/>
            </w:date>
          </w:sdtPr>
          <w:sdtEndPr/>
          <w:sdtContent>
            <w:tc>
              <w:tcPr>
                <w:tcW w:w="3902" w:type="pct"/>
                <w:gridSpan w:val="3"/>
              </w:tcPr>
              <w:p w14:paraId="630DB02F" w14:textId="77777777" w:rsidR="00E45FCC" w:rsidRDefault="00E45FCC" w:rsidP="0073674F">
                <w:r>
                  <w:t>Friday, 31 October 2025</w:t>
                </w:r>
              </w:p>
            </w:tc>
          </w:sdtContent>
        </w:sdt>
      </w:tr>
      <w:tr w:rsidR="00E45FCC" w14:paraId="7C54C04D" w14:textId="77777777" w:rsidTr="0013533B">
        <w:trPr>
          <w:cantSplit/>
        </w:trPr>
        <w:tc>
          <w:tcPr>
            <w:tcW w:w="5000" w:type="pct"/>
            <w:gridSpan w:val="4"/>
            <w:shd w:val="clear" w:color="auto" w:fill="0072C6" w:themeFill="text2"/>
          </w:tcPr>
          <w:p w14:paraId="1B1B2B31" w14:textId="77777777" w:rsidR="00E45FCC" w:rsidRDefault="00E45FCC" w:rsidP="0025286E">
            <w:pPr>
              <w:keepNext/>
            </w:pPr>
            <w:r w:rsidRPr="000F4866">
              <w:rPr>
                <w:color w:val="FFFFFF" w:themeColor="background1"/>
              </w:rPr>
              <w:t>Relevant</w:t>
            </w:r>
            <w:r>
              <w:rPr>
                <w:color w:val="FFFFFF" w:themeColor="background1"/>
              </w:rPr>
              <w:t xml:space="preserve"> protected characteristic(s)</w:t>
            </w:r>
          </w:p>
        </w:tc>
      </w:tr>
      <w:tr w:rsidR="00E45FCC" w14:paraId="630D3A25" w14:textId="77777777" w:rsidTr="0013533B">
        <w:trPr>
          <w:cantSplit/>
        </w:trPr>
        <w:tc>
          <w:tcPr>
            <w:tcW w:w="1727" w:type="pct"/>
            <w:gridSpan w:val="2"/>
            <w:shd w:val="clear" w:color="auto" w:fill="D81E05" w:themeFill="accent5"/>
          </w:tcPr>
          <w:p w14:paraId="5A625171" w14:textId="77777777" w:rsidR="00E45FCC" w:rsidRPr="00A17817" w:rsidRDefault="00E45FCC" w:rsidP="0073674F">
            <w:pPr>
              <w:rPr>
                <w:strike/>
                <w:color w:val="FFFFFF" w:themeColor="background1"/>
              </w:rPr>
            </w:pPr>
            <w:r w:rsidRPr="00A17817">
              <w:rPr>
                <w:strike/>
                <w:color w:val="FFFFFF" w:themeColor="background1"/>
              </w:rPr>
              <w:t>Age</w:t>
            </w:r>
          </w:p>
        </w:tc>
        <w:tc>
          <w:tcPr>
            <w:tcW w:w="1606" w:type="pct"/>
            <w:shd w:val="clear" w:color="auto" w:fill="5BBF21" w:themeFill="accent3"/>
          </w:tcPr>
          <w:p w14:paraId="08DB457B" w14:textId="77777777" w:rsidR="00E45FCC" w:rsidRPr="008122FF" w:rsidRDefault="00E45FCC" w:rsidP="0073674F">
            <w:pPr>
              <w:rPr>
                <w:color w:val="FFFFFF" w:themeColor="background1"/>
              </w:rPr>
            </w:pPr>
            <w:r w:rsidRPr="008122FF">
              <w:rPr>
                <w:color w:val="FFFFFF" w:themeColor="background1"/>
              </w:rPr>
              <w:t>Disability</w:t>
            </w:r>
          </w:p>
        </w:tc>
        <w:tc>
          <w:tcPr>
            <w:tcW w:w="1667" w:type="pct"/>
            <w:shd w:val="clear" w:color="auto" w:fill="D81E05" w:themeFill="accent5"/>
          </w:tcPr>
          <w:p w14:paraId="5F052299" w14:textId="77777777" w:rsidR="00E45FCC" w:rsidRPr="00A17817" w:rsidRDefault="00E45FCC" w:rsidP="0073674F">
            <w:pPr>
              <w:rPr>
                <w:strike/>
                <w:color w:val="FFFFFF" w:themeColor="background1"/>
              </w:rPr>
            </w:pPr>
            <w:r w:rsidRPr="00A17817">
              <w:rPr>
                <w:strike/>
                <w:color w:val="FFFFFF" w:themeColor="background1"/>
              </w:rPr>
              <w:t>Gender reassignment</w:t>
            </w:r>
          </w:p>
        </w:tc>
      </w:tr>
      <w:tr w:rsidR="00E45FCC" w14:paraId="5554ABCA" w14:textId="77777777" w:rsidTr="0013533B">
        <w:trPr>
          <w:cantSplit/>
        </w:trPr>
        <w:tc>
          <w:tcPr>
            <w:tcW w:w="1727" w:type="pct"/>
            <w:gridSpan w:val="2"/>
            <w:shd w:val="clear" w:color="auto" w:fill="D81E05" w:themeFill="accent5"/>
          </w:tcPr>
          <w:p w14:paraId="0D7C933B" w14:textId="77777777" w:rsidR="00E45FCC" w:rsidRPr="00A17817" w:rsidRDefault="00E45FCC" w:rsidP="0073674F">
            <w:pPr>
              <w:rPr>
                <w:strike/>
                <w:color w:val="FFFFFF" w:themeColor="background1"/>
              </w:rPr>
            </w:pPr>
            <w:r w:rsidRPr="00A17817">
              <w:rPr>
                <w:strike/>
                <w:color w:val="FFFFFF" w:themeColor="background1"/>
              </w:rPr>
              <w:t>Marriage and civil partnership</w:t>
            </w:r>
          </w:p>
        </w:tc>
        <w:tc>
          <w:tcPr>
            <w:tcW w:w="1606" w:type="pct"/>
            <w:shd w:val="clear" w:color="auto" w:fill="D81E05" w:themeFill="accent5"/>
          </w:tcPr>
          <w:p w14:paraId="7F290696" w14:textId="77777777" w:rsidR="00E45FCC" w:rsidRPr="00A17817" w:rsidRDefault="00E45FCC" w:rsidP="0073674F">
            <w:pPr>
              <w:rPr>
                <w:strike/>
                <w:color w:val="FFFFFF" w:themeColor="background1"/>
              </w:rPr>
            </w:pPr>
            <w:r w:rsidRPr="00A17817">
              <w:rPr>
                <w:strike/>
                <w:color w:val="FFFFFF" w:themeColor="background1"/>
              </w:rPr>
              <w:t>Pregnancy and maternity</w:t>
            </w:r>
          </w:p>
        </w:tc>
        <w:tc>
          <w:tcPr>
            <w:tcW w:w="1667" w:type="pct"/>
            <w:shd w:val="clear" w:color="auto" w:fill="5BBF21" w:themeFill="accent3"/>
          </w:tcPr>
          <w:p w14:paraId="63EEA59F" w14:textId="77777777" w:rsidR="00E45FCC" w:rsidRPr="00222D06" w:rsidRDefault="00E45FCC" w:rsidP="0073674F">
            <w:pPr>
              <w:rPr>
                <w:color w:val="FFFFFF" w:themeColor="background1"/>
              </w:rPr>
            </w:pPr>
            <w:r w:rsidRPr="00222D06">
              <w:rPr>
                <w:color w:val="FFFFFF" w:themeColor="background1"/>
              </w:rPr>
              <w:t>Race and ethnicity</w:t>
            </w:r>
          </w:p>
        </w:tc>
      </w:tr>
      <w:tr w:rsidR="00E45FCC" w14:paraId="750DD15D" w14:textId="77777777" w:rsidTr="0013533B">
        <w:trPr>
          <w:cantSplit/>
        </w:trPr>
        <w:tc>
          <w:tcPr>
            <w:tcW w:w="1727" w:type="pct"/>
            <w:gridSpan w:val="2"/>
            <w:shd w:val="clear" w:color="auto" w:fill="5BBF21" w:themeFill="accent3"/>
          </w:tcPr>
          <w:p w14:paraId="2C4F34DB" w14:textId="77777777" w:rsidR="00E45FCC" w:rsidRPr="00222D06" w:rsidRDefault="00E45FCC" w:rsidP="0073674F">
            <w:pPr>
              <w:rPr>
                <w:color w:val="FFFFFF" w:themeColor="background1"/>
              </w:rPr>
            </w:pPr>
            <w:r w:rsidRPr="00222D06">
              <w:rPr>
                <w:color w:val="FFFFFF" w:themeColor="background1"/>
              </w:rPr>
              <w:t>Religion or belief</w:t>
            </w:r>
          </w:p>
        </w:tc>
        <w:tc>
          <w:tcPr>
            <w:tcW w:w="1606" w:type="pct"/>
            <w:shd w:val="clear" w:color="auto" w:fill="D81E05" w:themeFill="accent5"/>
          </w:tcPr>
          <w:p w14:paraId="75AB928B" w14:textId="77777777" w:rsidR="00E45FCC" w:rsidRPr="00A17817" w:rsidRDefault="00E45FCC" w:rsidP="0073674F">
            <w:pPr>
              <w:rPr>
                <w:strike/>
                <w:color w:val="FFFFFF" w:themeColor="background1"/>
              </w:rPr>
            </w:pPr>
            <w:r w:rsidRPr="00A17817">
              <w:rPr>
                <w:strike/>
                <w:color w:val="FFFFFF" w:themeColor="background1"/>
              </w:rPr>
              <w:t>Sex</w:t>
            </w:r>
          </w:p>
        </w:tc>
        <w:tc>
          <w:tcPr>
            <w:tcW w:w="1667" w:type="pct"/>
            <w:shd w:val="clear" w:color="auto" w:fill="D81E05" w:themeFill="accent5"/>
          </w:tcPr>
          <w:p w14:paraId="5221C84B" w14:textId="77777777" w:rsidR="00E45FCC" w:rsidRPr="00A17817" w:rsidRDefault="00E45FCC" w:rsidP="0073674F">
            <w:pPr>
              <w:rPr>
                <w:strike/>
                <w:color w:val="FFFFFF" w:themeColor="background1"/>
              </w:rPr>
            </w:pPr>
            <w:r w:rsidRPr="00A17817">
              <w:rPr>
                <w:strike/>
                <w:color w:val="FFFFFF" w:themeColor="background1"/>
              </w:rPr>
              <w:t>Sexual orientation</w:t>
            </w:r>
          </w:p>
        </w:tc>
      </w:tr>
    </w:tbl>
    <w:p w14:paraId="2E25E11C" w14:textId="77777777" w:rsidR="00E45FCC" w:rsidRDefault="00E45FCC" w:rsidP="00E45FCC">
      <w:pPr>
        <w:pStyle w:val="Objective"/>
      </w:pPr>
      <w:r>
        <w:t>Trans, Non-Binary and Intersex Health</w:t>
      </w:r>
    </w:p>
    <w:tbl>
      <w:tblPr>
        <w:tblStyle w:val="TableGrid"/>
        <w:tblW w:w="5000" w:type="pct"/>
        <w:tblLook w:val="04A0" w:firstRow="1" w:lastRow="0" w:firstColumn="1" w:lastColumn="0" w:noHBand="0" w:noVBand="1"/>
      </w:tblPr>
      <w:tblGrid>
        <w:gridCol w:w="2138"/>
        <w:gridCol w:w="1225"/>
        <w:gridCol w:w="3127"/>
        <w:gridCol w:w="3246"/>
      </w:tblGrid>
      <w:tr w:rsidR="00E45FCC" w14:paraId="655E9BAA" w14:textId="77777777" w:rsidTr="008429A0">
        <w:trPr>
          <w:cantSplit/>
        </w:trPr>
        <w:tc>
          <w:tcPr>
            <w:tcW w:w="1098" w:type="pct"/>
            <w:shd w:val="clear" w:color="auto" w:fill="0072C6" w:themeFill="text2"/>
          </w:tcPr>
          <w:p w14:paraId="7E39C09E" w14:textId="77777777" w:rsidR="00E45FCC" w:rsidRPr="007001FA" w:rsidRDefault="00E45FCC" w:rsidP="0073674F">
            <w:pPr>
              <w:rPr>
                <w:color w:val="FFFFFF" w:themeColor="background1"/>
              </w:rPr>
            </w:pPr>
            <w:r w:rsidRPr="007001FA">
              <w:rPr>
                <w:color w:val="FFFFFF" w:themeColor="background1"/>
              </w:rPr>
              <w:t>Summary</w:t>
            </w:r>
            <w:r>
              <w:rPr>
                <w:color w:val="FFFFFF" w:themeColor="background1"/>
              </w:rPr>
              <w:t>:</w:t>
            </w:r>
          </w:p>
        </w:tc>
        <w:tc>
          <w:tcPr>
            <w:tcW w:w="3902" w:type="pct"/>
            <w:gridSpan w:val="3"/>
          </w:tcPr>
          <w:p w14:paraId="089F5840" w14:textId="77777777" w:rsidR="00E45FCC" w:rsidRDefault="00E45FCC" w:rsidP="0073674F">
            <w:r>
              <w:t>We are aware of many challenges that are faced by our Trans, Non-Binary and Intersex (</w:t>
            </w:r>
            <w:r>
              <w:rPr>
                <w:b/>
                <w:bCs/>
              </w:rPr>
              <w:t>TNBI</w:t>
            </w:r>
            <w:r>
              <w:t xml:space="preserve">) population when accessing health care.  This is both in respect of accessing trans-affirming care </w:t>
            </w:r>
            <w:proofErr w:type="gramStart"/>
            <w:r>
              <w:t>and also</w:t>
            </w:r>
            <w:proofErr w:type="gramEnd"/>
            <w:r>
              <w:t xml:space="preserve"> wider access to general health services.</w:t>
            </w:r>
          </w:p>
          <w:p w14:paraId="6409439F" w14:textId="77777777" w:rsidR="00E45FCC" w:rsidRDefault="00E45FCC" w:rsidP="0073674F">
            <w:r>
              <w:t>The knowledge that we hold is based on a combination of national and international research and local intelligence and anecdotal evidence.</w:t>
            </w:r>
          </w:p>
          <w:p w14:paraId="527429B0" w14:textId="77777777" w:rsidR="00E45FCC" w:rsidRDefault="00E45FCC" w:rsidP="0073674F">
            <w:r>
              <w:t>We understand that these challenges to gaining equitable care are a combination of awareness, service design and commissioning gaps within the county.</w:t>
            </w:r>
          </w:p>
          <w:p w14:paraId="4D70399A" w14:textId="77777777" w:rsidR="00E45FCC" w:rsidRPr="00CA486F" w:rsidRDefault="00E45FCC" w:rsidP="0073674F">
            <w:r>
              <w:t>We aim to gain a more comprehensive and evidence-based summary of the challenges with a view to addressing these to ensure fair participation and equitable health services for our TNBI population.</w:t>
            </w:r>
          </w:p>
        </w:tc>
      </w:tr>
      <w:tr w:rsidR="00E45FCC" w14:paraId="0EA68F9C" w14:textId="77777777" w:rsidTr="008429A0">
        <w:trPr>
          <w:cantSplit/>
        </w:trPr>
        <w:tc>
          <w:tcPr>
            <w:tcW w:w="1098" w:type="pct"/>
            <w:shd w:val="clear" w:color="auto" w:fill="0072C6" w:themeFill="text2"/>
          </w:tcPr>
          <w:p w14:paraId="7986B6F9" w14:textId="77777777" w:rsidR="00E45FCC" w:rsidRPr="007001FA" w:rsidRDefault="00E45FCC" w:rsidP="0073674F">
            <w:pPr>
              <w:rPr>
                <w:color w:val="FFFFFF" w:themeColor="background1"/>
              </w:rPr>
            </w:pPr>
            <w:r w:rsidRPr="007001FA">
              <w:rPr>
                <w:color w:val="FFFFFF" w:themeColor="background1"/>
              </w:rPr>
              <w:t>Measures</w:t>
            </w:r>
            <w:r>
              <w:rPr>
                <w:color w:val="FFFFFF" w:themeColor="background1"/>
              </w:rPr>
              <w:t>:</w:t>
            </w:r>
          </w:p>
        </w:tc>
        <w:tc>
          <w:tcPr>
            <w:tcW w:w="3902" w:type="pct"/>
            <w:gridSpan w:val="3"/>
          </w:tcPr>
          <w:p w14:paraId="40267614" w14:textId="77777777" w:rsidR="00E45FCC" w:rsidRDefault="00E45FCC" w:rsidP="00E45FCC">
            <w:pPr>
              <w:pStyle w:val="ListParagraph"/>
              <w:numPr>
                <w:ilvl w:val="0"/>
                <w:numId w:val="13"/>
              </w:numPr>
              <w:spacing w:before="120"/>
            </w:pPr>
            <w:r>
              <w:t>Produce a patient experience report capturing individual stories and general themes</w:t>
            </w:r>
          </w:p>
          <w:p w14:paraId="1E8CAE6A" w14:textId="77777777" w:rsidR="00E45FCC" w:rsidRDefault="00E45FCC" w:rsidP="00E45FCC">
            <w:pPr>
              <w:pStyle w:val="ListParagraph"/>
              <w:numPr>
                <w:ilvl w:val="0"/>
                <w:numId w:val="13"/>
              </w:numPr>
              <w:spacing w:before="120"/>
            </w:pPr>
            <w:r>
              <w:t>Evidence of continued TNBI awareness training across all commissioned services and within NHS Somerset Integrated Care Board</w:t>
            </w:r>
          </w:p>
          <w:p w14:paraId="160BE77C" w14:textId="77777777" w:rsidR="00E45FCC" w:rsidRDefault="00E45FCC" w:rsidP="00E45FCC">
            <w:pPr>
              <w:pStyle w:val="ListParagraph"/>
              <w:numPr>
                <w:ilvl w:val="0"/>
                <w:numId w:val="13"/>
              </w:numPr>
              <w:spacing w:before="120"/>
            </w:pPr>
            <w:r>
              <w:t>Clearly documented shortcomings in commissioned services within Somerset with an associated action plan to address these</w:t>
            </w:r>
          </w:p>
          <w:p w14:paraId="61BC44C1" w14:textId="77777777" w:rsidR="00E45FCC" w:rsidRDefault="00E45FCC" w:rsidP="00E45FCC">
            <w:pPr>
              <w:pStyle w:val="ListParagraph"/>
              <w:numPr>
                <w:ilvl w:val="0"/>
                <w:numId w:val="13"/>
              </w:numPr>
              <w:spacing w:before="120"/>
            </w:pPr>
            <w:r>
              <w:t>Evidence of improvements to patient experience through continual engagement with our TNBI population and service providers</w:t>
            </w:r>
          </w:p>
        </w:tc>
      </w:tr>
      <w:tr w:rsidR="00E45FCC" w14:paraId="09A2879B" w14:textId="77777777" w:rsidTr="008429A0">
        <w:trPr>
          <w:cantSplit/>
        </w:trPr>
        <w:tc>
          <w:tcPr>
            <w:tcW w:w="1098" w:type="pct"/>
            <w:shd w:val="clear" w:color="auto" w:fill="0072C6" w:themeFill="text2"/>
          </w:tcPr>
          <w:p w14:paraId="26E011F0" w14:textId="77777777" w:rsidR="00E45FCC" w:rsidRPr="007001FA" w:rsidRDefault="00E45FCC" w:rsidP="0073674F">
            <w:pPr>
              <w:rPr>
                <w:color w:val="FFFFFF" w:themeColor="background1"/>
              </w:rPr>
            </w:pPr>
            <w:r>
              <w:rPr>
                <w:color w:val="FFFFFF" w:themeColor="background1"/>
              </w:rPr>
              <w:lastRenderedPageBreak/>
              <w:t>Related actions:</w:t>
            </w:r>
          </w:p>
        </w:tc>
        <w:tc>
          <w:tcPr>
            <w:tcW w:w="3902" w:type="pct"/>
            <w:gridSpan w:val="3"/>
          </w:tcPr>
          <w:p w14:paraId="7D1CFBDA" w14:textId="77777777" w:rsidR="00E45FCC" w:rsidRDefault="00E45FCC" w:rsidP="00E45FCC">
            <w:pPr>
              <w:pStyle w:val="ListParagraph"/>
              <w:numPr>
                <w:ilvl w:val="0"/>
                <w:numId w:val="13"/>
              </w:numPr>
              <w:spacing w:before="120"/>
            </w:pPr>
            <w:r>
              <w:t>Create and engagement plan to capture the views and experiences of our TNBI population and providers of services to our TNBI population</w:t>
            </w:r>
          </w:p>
          <w:p w14:paraId="5BF6C7F7" w14:textId="77777777" w:rsidR="00E45FCC" w:rsidRDefault="00E45FCC" w:rsidP="00E45FCC">
            <w:pPr>
              <w:pStyle w:val="ListParagraph"/>
              <w:numPr>
                <w:ilvl w:val="0"/>
                <w:numId w:val="13"/>
              </w:numPr>
              <w:spacing w:before="120"/>
            </w:pPr>
            <w:r>
              <w:t>Generate a report setting out the current challenges and proposed actions to address these</w:t>
            </w:r>
          </w:p>
          <w:p w14:paraId="25622C9E" w14:textId="77777777" w:rsidR="00E45FCC" w:rsidRDefault="00E45FCC" w:rsidP="00E45FCC">
            <w:pPr>
              <w:pStyle w:val="ListParagraph"/>
              <w:numPr>
                <w:ilvl w:val="0"/>
                <w:numId w:val="13"/>
              </w:numPr>
              <w:spacing w:before="120"/>
            </w:pPr>
            <w:r>
              <w:t>Implement approved and assess improved actions</w:t>
            </w:r>
          </w:p>
          <w:p w14:paraId="425673BA" w14:textId="77777777" w:rsidR="00E45FCC" w:rsidRDefault="00E45FCC" w:rsidP="00E45FCC">
            <w:pPr>
              <w:pStyle w:val="ListParagraph"/>
              <w:numPr>
                <w:ilvl w:val="0"/>
                <w:numId w:val="13"/>
              </w:numPr>
              <w:spacing w:before="120"/>
            </w:pPr>
            <w:r>
              <w:t>Provide ongoing updates to highlight improvements and other gaps that may be highlighted as part of the ongoing engagement with our TNBI population</w:t>
            </w:r>
          </w:p>
        </w:tc>
      </w:tr>
      <w:tr w:rsidR="00E45FCC" w14:paraId="79D4D91D" w14:textId="77777777" w:rsidTr="008429A0">
        <w:trPr>
          <w:cantSplit/>
        </w:trPr>
        <w:tc>
          <w:tcPr>
            <w:tcW w:w="1098" w:type="pct"/>
            <w:shd w:val="clear" w:color="auto" w:fill="0072C6" w:themeFill="text2"/>
          </w:tcPr>
          <w:p w14:paraId="3B390167" w14:textId="77777777" w:rsidR="00E45FCC" w:rsidRDefault="00E45FCC" w:rsidP="0073674F">
            <w:pPr>
              <w:rPr>
                <w:color w:val="FFFFFF" w:themeColor="background1"/>
              </w:rPr>
            </w:pPr>
            <w:r>
              <w:rPr>
                <w:color w:val="FFFFFF" w:themeColor="background1"/>
              </w:rPr>
              <w:t>Delivery date:</w:t>
            </w:r>
          </w:p>
        </w:tc>
        <w:sdt>
          <w:sdtPr>
            <w:id w:val="-122387831"/>
            <w:placeholder>
              <w:docPart w:val="B0C15ED0F65846EDBDDC90B6534427E3"/>
            </w:placeholder>
            <w:date w:fullDate="2026-03-31T00:00:00Z">
              <w:dateFormat w:val="dddd, dd MMMM yyyy"/>
              <w:lid w:val="en-GB"/>
              <w:storeMappedDataAs w:val="dateTime"/>
              <w:calendar w:val="gregorian"/>
            </w:date>
          </w:sdtPr>
          <w:sdtEndPr/>
          <w:sdtContent>
            <w:tc>
              <w:tcPr>
                <w:tcW w:w="3902" w:type="pct"/>
                <w:gridSpan w:val="3"/>
              </w:tcPr>
              <w:p w14:paraId="14F799D2" w14:textId="77777777" w:rsidR="00E45FCC" w:rsidRDefault="00E45FCC" w:rsidP="0073674F">
                <w:r>
                  <w:t>Tuesday, 31 March 2026</w:t>
                </w:r>
              </w:p>
            </w:tc>
          </w:sdtContent>
        </w:sdt>
      </w:tr>
      <w:tr w:rsidR="00E45FCC" w14:paraId="35D1094E" w14:textId="77777777" w:rsidTr="008429A0">
        <w:trPr>
          <w:cantSplit/>
        </w:trPr>
        <w:tc>
          <w:tcPr>
            <w:tcW w:w="5000" w:type="pct"/>
            <w:gridSpan w:val="4"/>
            <w:shd w:val="clear" w:color="auto" w:fill="0072C6" w:themeFill="text2"/>
          </w:tcPr>
          <w:p w14:paraId="759A26D7" w14:textId="77777777" w:rsidR="00E45FCC" w:rsidRDefault="00E45FCC" w:rsidP="0073674F">
            <w:r w:rsidRPr="000F4866">
              <w:rPr>
                <w:color w:val="FFFFFF" w:themeColor="background1"/>
              </w:rPr>
              <w:t>Relevant</w:t>
            </w:r>
            <w:r>
              <w:rPr>
                <w:color w:val="FFFFFF" w:themeColor="background1"/>
              </w:rPr>
              <w:t xml:space="preserve"> protected characteristic(s)</w:t>
            </w:r>
          </w:p>
        </w:tc>
      </w:tr>
      <w:tr w:rsidR="00E45FCC" w14:paraId="0F523529" w14:textId="77777777" w:rsidTr="008429A0">
        <w:trPr>
          <w:cantSplit/>
        </w:trPr>
        <w:tc>
          <w:tcPr>
            <w:tcW w:w="1727" w:type="pct"/>
            <w:gridSpan w:val="2"/>
            <w:shd w:val="clear" w:color="auto" w:fill="5BBF21" w:themeFill="accent3"/>
          </w:tcPr>
          <w:p w14:paraId="2F5ED146" w14:textId="77777777" w:rsidR="00E45FCC" w:rsidRPr="00CB60FD" w:rsidRDefault="00E45FCC" w:rsidP="0073674F">
            <w:pPr>
              <w:rPr>
                <w:color w:val="FFFFFF" w:themeColor="background1"/>
              </w:rPr>
            </w:pPr>
            <w:r w:rsidRPr="00CB60FD">
              <w:rPr>
                <w:color w:val="FFFFFF" w:themeColor="background1"/>
              </w:rPr>
              <w:t>Age</w:t>
            </w:r>
          </w:p>
        </w:tc>
        <w:tc>
          <w:tcPr>
            <w:tcW w:w="1606" w:type="pct"/>
            <w:shd w:val="clear" w:color="auto" w:fill="5BBF21" w:themeFill="accent3"/>
          </w:tcPr>
          <w:p w14:paraId="638F3F66" w14:textId="77777777" w:rsidR="00E45FCC" w:rsidRPr="00CB60FD" w:rsidRDefault="00E45FCC" w:rsidP="0073674F">
            <w:pPr>
              <w:rPr>
                <w:color w:val="FFFFFF" w:themeColor="background1"/>
              </w:rPr>
            </w:pPr>
            <w:r w:rsidRPr="00CB60FD">
              <w:rPr>
                <w:color w:val="FFFFFF" w:themeColor="background1"/>
              </w:rPr>
              <w:t>Disability</w:t>
            </w:r>
          </w:p>
        </w:tc>
        <w:tc>
          <w:tcPr>
            <w:tcW w:w="1667" w:type="pct"/>
            <w:shd w:val="clear" w:color="auto" w:fill="5BBF21" w:themeFill="accent3"/>
          </w:tcPr>
          <w:p w14:paraId="09800526" w14:textId="77777777" w:rsidR="00E45FCC" w:rsidRPr="00FC75AB" w:rsidRDefault="00E45FCC" w:rsidP="0073674F">
            <w:pPr>
              <w:rPr>
                <w:color w:val="FFFFFF" w:themeColor="background1"/>
              </w:rPr>
            </w:pPr>
            <w:r w:rsidRPr="00FC75AB">
              <w:rPr>
                <w:color w:val="FFFFFF" w:themeColor="background1"/>
              </w:rPr>
              <w:t>Gender reassignment</w:t>
            </w:r>
          </w:p>
        </w:tc>
      </w:tr>
      <w:tr w:rsidR="00E45FCC" w14:paraId="7FDCF8F1" w14:textId="77777777" w:rsidTr="008429A0">
        <w:trPr>
          <w:cantSplit/>
        </w:trPr>
        <w:tc>
          <w:tcPr>
            <w:tcW w:w="1727" w:type="pct"/>
            <w:gridSpan w:val="2"/>
            <w:shd w:val="clear" w:color="auto" w:fill="D81E05" w:themeFill="accent5"/>
          </w:tcPr>
          <w:p w14:paraId="5FCE1BC4" w14:textId="77777777" w:rsidR="00E45FCC" w:rsidRPr="00A17817" w:rsidRDefault="00E45FCC" w:rsidP="0073674F">
            <w:pPr>
              <w:rPr>
                <w:strike/>
                <w:color w:val="FFFFFF" w:themeColor="background1"/>
              </w:rPr>
            </w:pPr>
            <w:r w:rsidRPr="00A17817">
              <w:rPr>
                <w:strike/>
                <w:color w:val="FFFFFF" w:themeColor="background1"/>
              </w:rPr>
              <w:t>Marriage and civil partnership</w:t>
            </w:r>
          </w:p>
        </w:tc>
        <w:tc>
          <w:tcPr>
            <w:tcW w:w="1606" w:type="pct"/>
            <w:shd w:val="clear" w:color="auto" w:fill="D81E05" w:themeFill="accent5"/>
          </w:tcPr>
          <w:p w14:paraId="010C1F0D" w14:textId="77777777" w:rsidR="00E45FCC" w:rsidRPr="00A17817" w:rsidRDefault="00E45FCC" w:rsidP="0073674F">
            <w:pPr>
              <w:rPr>
                <w:strike/>
                <w:color w:val="FFFFFF" w:themeColor="background1"/>
              </w:rPr>
            </w:pPr>
            <w:r w:rsidRPr="00A17817">
              <w:rPr>
                <w:strike/>
                <w:color w:val="FFFFFF" w:themeColor="background1"/>
              </w:rPr>
              <w:t>Pregnancy and maternity</w:t>
            </w:r>
          </w:p>
        </w:tc>
        <w:tc>
          <w:tcPr>
            <w:tcW w:w="1667" w:type="pct"/>
            <w:shd w:val="clear" w:color="auto" w:fill="D81E05" w:themeFill="accent5"/>
          </w:tcPr>
          <w:p w14:paraId="490FD7F7" w14:textId="77777777" w:rsidR="00E45FCC" w:rsidRPr="009B7B33" w:rsidRDefault="00E45FCC" w:rsidP="0073674F">
            <w:pPr>
              <w:rPr>
                <w:strike/>
                <w:color w:val="FFFFFF" w:themeColor="background1"/>
              </w:rPr>
            </w:pPr>
            <w:r w:rsidRPr="009B7B33">
              <w:rPr>
                <w:strike/>
                <w:color w:val="FFFFFF" w:themeColor="background1"/>
              </w:rPr>
              <w:t>Race and ethnicity</w:t>
            </w:r>
          </w:p>
        </w:tc>
      </w:tr>
      <w:tr w:rsidR="00E45FCC" w14:paraId="10BE1FC4" w14:textId="77777777" w:rsidTr="008429A0">
        <w:trPr>
          <w:cantSplit/>
        </w:trPr>
        <w:tc>
          <w:tcPr>
            <w:tcW w:w="1727" w:type="pct"/>
            <w:gridSpan w:val="2"/>
            <w:shd w:val="clear" w:color="auto" w:fill="D81E05" w:themeFill="accent5"/>
          </w:tcPr>
          <w:p w14:paraId="5B473587" w14:textId="77777777" w:rsidR="00E45FCC" w:rsidRPr="00A17817" w:rsidRDefault="00E45FCC" w:rsidP="0073674F">
            <w:pPr>
              <w:rPr>
                <w:strike/>
                <w:color w:val="FFFFFF" w:themeColor="background1"/>
              </w:rPr>
            </w:pPr>
            <w:r w:rsidRPr="00A17817">
              <w:rPr>
                <w:strike/>
                <w:color w:val="FFFFFF" w:themeColor="background1"/>
              </w:rPr>
              <w:t>Religion or belief</w:t>
            </w:r>
          </w:p>
        </w:tc>
        <w:tc>
          <w:tcPr>
            <w:tcW w:w="1606" w:type="pct"/>
            <w:shd w:val="clear" w:color="auto" w:fill="D81E05" w:themeFill="accent5"/>
          </w:tcPr>
          <w:p w14:paraId="55DD5F2C" w14:textId="77777777" w:rsidR="00E45FCC" w:rsidRPr="00A17817" w:rsidRDefault="00E45FCC" w:rsidP="0073674F">
            <w:pPr>
              <w:rPr>
                <w:strike/>
                <w:color w:val="FFFFFF" w:themeColor="background1"/>
              </w:rPr>
            </w:pPr>
            <w:r w:rsidRPr="00A17817">
              <w:rPr>
                <w:strike/>
                <w:color w:val="FFFFFF" w:themeColor="background1"/>
              </w:rPr>
              <w:t>Sex</w:t>
            </w:r>
          </w:p>
        </w:tc>
        <w:tc>
          <w:tcPr>
            <w:tcW w:w="1667" w:type="pct"/>
            <w:shd w:val="clear" w:color="auto" w:fill="5BBF21" w:themeFill="accent3"/>
          </w:tcPr>
          <w:p w14:paraId="289900BD" w14:textId="77777777" w:rsidR="00E45FCC" w:rsidRPr="00FC75AB" w:rsidRDefault="00E45FCC" w:rsidP="0073674F">
            <w:pPr>
              <w:rPr>
                <w:color w:val="FFFFFF" w:themeColor="background1"/>
              </w:rPr>
            </w:pPr>
            <w:r w:rsidRPr="00FC75AB">
              <w:rPr>
                <w:color w:val="FFFFFF" w:themeColor="background1"/>
              </w:rPr>
              <w:t>Sexual orientation</w:t>
            </w:r>
          </w:p>
        </w:tc>
      </w:tr>
    </w:tbl>
    <w:p w14:paraId="16232E98" w14:textId="5E0456D3" w:rsidR="000775E1" w:rsidRPr="00C237FC" w:rsidRDefault="000775E1" w:rsidP="00290EE3"/>
    <w:p w14:paraId="37DC30F1" w14:textId="77777777" w:rsidR="001658B0" w:rsidRDefault="001658B0" w:rsidP="001658B0">
      <w:pPr>
        <w:sectPr w:rsidR="001658B0" w:rsidSect="001658B0">
          <w:type w:val="continuous"/>
          <w:pgSz w:w="11906" w:h="16838"/>
          <w:pgMar w:top="1440" w:right="1080" w:bottom="1440" w:left="1080" w:header="708" w:footer="708" w:gutter="0"/>
          <w:cols w:space="720"/>
          <w:docGrid w:linePitch="381"/>
        </w:sectPr>
      </w:pPr>
    </w:p>
    <w:p w14:paraId="789B8157" w14:textId="7BE0E42A" w:rsidR="00F57319" w:rsidRDefault="00FA0E18" w:rsidP="00F57319">
      <w:pPr>
        <w:pStyle w:val="Heading1"/>
      </w:pPr>
      <w:bookmarkStart w:id="12" w:name="_Toc198798561"/>
      <w:r>
        <w:lastRenderedPageBreak/>
        <w:t>Appendices</w:t>
      </w:r>
      <w:bookmarkEnd w:id="12"/>
    </w:p>
    <w:p w14:paraId="34FF0257" w14:textId="258FC53A" w:rsidR="00006D7F" w:rsidRPr="000C3942" w:rsidRDefault="000C3942" w:rsidP="00BA4CF4">
      <w:pPr>
        <w:pStyle w:val="Appendixheading"/>
      </w:pPr>
      <w:bookmarkStart w:id="13" w:name="_Ref163643336"/>
      <w:bookmarkStart w:id="14" w:name="_Ref163643340"/>
      <w:bookmarkStart w:id="15" w:name="_Toc198798562"/>
      <w:r>
        <w:t>Appendix I – Protected Characteristics</w:t>
      </w:r>
      <w:bookmarkEnd w:id="13"/>
      <w:bookmarkEnd w:id="14"/>
      <w:bookmarkEnd w:id="15"/>
    </w:p>
    <w:p w14:paraId="1B38D57D" w14:textId="77777777" w:rsidR="00FA0E18" w:rsidRDefault="00FA0E18" w:rsidP="00FA0E18">
      <w:pPr>
        <w:pStyle w:val="Heading2"/>
        <w:sectPr w:rsidR="00FA0E18" w:rsidSect="00FA0E18">
          <w:type w:val="continuous"/>
          <w:pgSz w:w="11906" w:h="16838"/>
          <w:pgMar w:top="1440" w:right="1080" w:bottom="1440" w:left="1080" w:header="708" w:footer="708" w:gutter="0"/>
          <w:cols w:space="720"/>
          <w:docGrid w:linePitch="381"/>
        </w:sectPr>
      </w:pPr>
    </w:p>
    <w:p w14:paraId="22E5FBED" w14:textId="032A0A49" w:rsidR="00FA0E18" w:rsidRDefault="00FA0E18" w:rsidP="00FA0E18">
      <w:pPr>
        <w:pStyle w:val="Heading3"/>
      </w:pPr>
      <w:r>
        <w:t>Age</w:t>
      </w:r>
    </w:p>
    <w:p w14:paraId="6E625033" w14:textId="28CD4241" w:rsidR="00FA0E18" w:rsidRDefault="00FA0E18" w:rsidP="00FA0E18">
      <w:r>
        <w:t>Age relates to a person’s actual age, or an age group, for example 18 to 25-year-olds.  It also can relate to age-related references or terms, such as teenagers, elderly, pre-schoolers, etc.</w:t>
      </w:r>
    </w:p>
    <w:p w14:paraId="10D1596E" w14:textId="32545927" w:rsidR="00FA0E18" w:rsidRDefault="00FA0E18" w:rsidP="00FA0E18">
      <w:pPr>
        <w:pStyle w:val="Heading3"/>
      </w:pPr>
      <w:bookmarkStart w:id="16" w:name="_Disability"/>
      <w:bookmarkEnd w:id="16"/>
      <w:r>
        <w:t>Disability</w:t>
      </w:r>
    </w:p>
    <w:p w14:paraId="685247F9" w14:textId="709BDCA2" w:rsidR="00FA0E18" w:rsidRDefault="00FA0E18" w:rsidP="00FA0E18">
      <w:r>
        <w:t xml:space="preserve">The Equality Act 2010 provides a legal test </w:t>
      </w:r>
      <w:r w:rsidR="009E5F1D">
        <w:t>in respect of the protected characteristic of Disability:</w:t>
      </w:r>
    </w:p>
    <w:p w14:paraId="1DC1CAED" w14:textId="64F1975C" w:rsidR="009E5F1D" w:rsidRPr="00FD6A99" w:rsidRDefault="009E2F4C" w:rsidP="00FD6A99">
      <w:pPr>
        <w:pStyle w:val="Purplehighlight"/>
      </w:pPr>
      <w:r w:rsidRPr="00FD6A99">
        <w:t>A psychological or physical condition that has a substantial and long-term impact on a person's ability to undertake day-to-day activities.</w:t>
      </w:r>
    </w:p>
    <w:p w14:paraId="31BE63E1" w14:textId="10AE96FC" w:rsidR="009E2F4C" w:rsidRDefault="009E2F4C" w:rsidP="00FA0E18">
      <w:r>
        <w:t xml:space="preserve">In addition to the legal test above, the Act also states that cancer, multiple </w:t>
      </w:r>
      <w:r w:rsidR="000C3942">
        <w:t>sclerosis,</w:t>
      </w:r>
      <w:r>
        <w:t xml:space="preserve"> and HIV are all treated as disabilities, irrespective of the impact they may or may not have on a person’s day-to-day life.</w:t>
      </w:r>
    </w:p>
    <w:p w14:paraId="0CA9E534" w14:textId="5AF78A8F" w:rsidR="009E2F4C" w:rsidRDefault="000C3942" w:rsidP="00FA0E18">
      <w:r>
        <w:t>Protection from Prohibited Conduct in respect of disability also extends to people caring for someone who is disabled.</w:t>
      </w:r>
    </w:p>
    <w:p w14:paraId="6BB09642" w14:textId="14D002CD" w:rsidR="000C3942" w:rsidRDefault="000C3942" w:rsidP="000C3942">
      <w:pPr>
        <w:pStyle w:val="Heading3"/>
      </w:pPr>
      <w:r>
        <w:t>Gender reassignment</w:t>
      </w:r>
    </w:p>
    <w:p w14:paraId="5373A3A3" w14:textId="7673F417" w:rsidR="000C3942" w:rsidRDefault="000C3942" w:rsidP="000C3942">
      <w:r>
        <w:t>This is defined as a person who is considering undergoing, is undergoing, or has undergone the process of changing from one sex to another.</w:t>
      </w:r>
    </w:p>
    <w:p w14:paraId="06FA375C" w14:textId="7C1C0DD4" w:rsidR="000C3942" w:rsidRDefault="000C3942" w:rsidP="000C3942">
      <w:pPr>
        <w:pStyle w:val="Heading3"/>
      </w:pPr>
      <w:r>
        <w:t>Marriage and civil partnership</w:t>
      </w:r>
    </w:p>
    <w:p w14:paraId="7BF947B5" w14:textId="569F0CF6" w:rsidR="000C3942" w:rsidRDefault="000C3942" w:rsidP="000C3942">
      <w:r>
        <w:t>This relates only to people who are married or have a civil partnership.  It does not extend to people who are single, in a romantic or sexual relationship, or people who are co-habiting.</w:t>
      </w:r>
    </w:p>
    <w:p w14:paraId="2A13DA00" w14:textId="74F41B84" w:rsidR="000C3942" w:rsidRDefault="000C3942" w:rsidP="000C3942">
      <w:pPr>
        <w:pStyle w:val="Heading3"/>
      </w:pPr>
      <w:r>
        <w:t>Pregnancy and maternity</w:t>
      </w:r>
    </w:p>
    <w:p w14:paraId="01978A10" w14:textId="7D17FEDB" w:rsidR="000C3942" w:rsidRDefault="000C3942" w:rsidP="000C3942">
      <w:r>
        <w:t>Protection for pregnancy starts when a person becomes pregnant.</w:t>
      </w:r>
    </w:p>
    <w:p w14:paraId="36F813C2" w14:textId="12AAB00B" w:rsidR="000C3942" w:rsidRDefault="000C3942" w:rsidP="000C3942">
      <w:r>
        <w:t>Protection for maternity starts when a person gives birth and continues for 28 weeks.  One exception to this time</w:t>
      </w:r>
      <w:r w:rsidR="00BA5D16">
        <w:t>frame relates to breast/chest feeding.  Anyone who is feeding is protected from Prohibited Conduct for however long this continues.</w:t>
      </w:r>
    </w:p>
    <w:p w14:paraId="0FA4546C" w14:textId="3EA1DAD1" w:rsidR="00BA5D16" w:rsidRDefault="008D0011" w:rsidP="000C3942">
      <w:r>
        <w:t>In the case of early termination or still birth, where a pregnancy has lasted for more than 24 weeks, the same protection from Prohibited Conduct applies.</w:t>
      </w:r>
    </w:p>
    <w:p w14:paraId="59E5E21B" w14:textId="29A36E3A" w:rsidR="008D0011" w:rsidRDefault="0093068A" w:rsidP="0093068A">
      <w:pPr>
        <w:pStyle w:val="Heading3"/>
      </w:pPr>
      <w:r>
        <w:t>Race and ethnicity</w:t>
      </w:r>
    </w:p>
    <w:p w14:paraId="1011BBCD" w14:textId="6D64CC9B" w:rsidR="0093068A" w:rsidRDefault="0093068A" w:rsidP="0093068A">
      <w:r>
        <w:t>This relates to a person’s skin colour, e.g. black, brown, white, etc.  It also relates to a person’s national identity.</w:t>
      </w:r>
    </w:p>
    <w:p w14:paraId="55E2E82B" w14:textId="64420628" w:rsidR="0093068A" w:rsidRDefault="0093068A" w:rsidP="0093068A">
      <w:r>
        <w:t>Furthermore, ethnicity relates to any ethnic identities, such as Gypsy, Roma, or other travelling communities.</w:t>
      </w:r>
    </w:p>
    <w:p w14:paraId="6CD868F7" w14:textId="67AC9053" w:rsidR="0093068A" w:rsidRDefault="0093068A" w:rsidP="0093068A">
      <w:pPr>
        <w:pStyle w:val="Heading3"/>
      </w:pPr>
      <w:r>
        <w:lastRenderedPageBreak/>
        <w:t>Religion or belief</w:t>
      </w:r>
    </w:p>
    <w:p w14:paraId="7307FFCB" w14:textId="517522EB" w:rsidR="0093068A" w:rsidRDefault="0093068A" w:rsidP="0093068A">
      <w:r>
        <w:t>This relates to a person’s religion, e.g. Christianity, Islam, Judaism, etc.</w:t>
      </w:r>
    </w:p>
    <w:p w14:paraId="55ECF9F9" w14:textId="402497DE" w:rsidR="00983F0B" w:rsidRDefault="00983F0B" w:rsidP="0093068A">
      <w:r>
        <w:t>In addition to what might be considered “organised religions”, belief extends to any commonly held values that have an impact on how someone might conduct their life.  Successful legal cases in respect of belief include veganism and environmentalism.</w:t>
      </w:r>
    </w:p>
    <w:p w14:paraId="3C670A9E" w14:textId="55A00BCE" w:rsidR="00983F0B" w:rsidRDefault="00983F0B" w:rsidP="0093068A">
      <w:r>
        <w:t>The Equality Act 2010 does not provide a defined list of religions or beliefs, however any philosophical belief that:</w:t>
      </w:r>
    </w:p>
    <w:p w14:paraId="3A6A4B65" w14:textId="7F496C2D" w:rsidR="00983F0B" w:rsidRDefault="00983F0B" w:rsidP="00983F0B">
      <w:pPr>
        <w:pStyle w:val="ListParagraph"/>
        <w:numPr>
          <w:ilvl w:val="0"/>
          <w:numId w:val="5"/>
        </w:numPr>
      </w:pPr>
      <w:r>
        <w:t>is genuinely held and more than simply an opinion.</w:t>
      </w:r>
    </w:p>
    <w:p w14:paraId="671851A6" w14:textId="25F2DE70" w:rsidR="00983F0B" w:rsidRDefault="00983F0B" w:rsidP="00983F0B">
      <w:pPr>
        <w:pStyle w:val="ListParagraph"/>
        <w:numPr>
          <w:ilvl w:val="0"/>
          <w:numId w:val="5"/>
        </w:numPr>
      </w:pPr>
      <w:r>
        <w:t xml:space="preserve">is cogent, </w:t>
      </w:r>
      <w:r w:rsidR="00E473D5">
        <w:t>serious and applies to an important aspect of human life or behaviour.</w:t>
      </w:r>
    </w:p>
    <w:p w14:paraId="11CD0B2A" w14:textId="3B9BBAE6" w:rsidR="00E473D5" w:rsidRDefault="00E473D5" w:rsidP="00983F0B">
      <w:pPr>
        <w:pStyle w:val="ListParagraph"/>
        <w:numPr>
          <w:ilvl w:val="0"/>
          <w:numId w:val="5"/>
        </w:numPr>
      </w:pPr>
      <w:r>
        <w:t>is worth of respect in a democratic society and does not affect other people’s fundamental rights.</w:t>
      </w:r>
    </w:p>
    <w:p w14:paraId="0ED4F540" w14:textId="136B0CC0" w:rsidR="00E473D5" w:rsidRDefault="00E473D5" w:rsidP="00E473D5">
      <w:r>
        <w:t>Protection also includes anyone who does not have any religion or belief.</w:t>
      </w:r>
    </w:p>
    <w:p w14:paraId="6E7AACF5" w14:textId="7D16520E" w:rsidR="00E473D5" w:rsidRDefault="00E473D5" w:rsidP="00E473D5">
      <w:pPr>
        <w:pStyle w:val="Heading3"/>
      </w:pPr>
      <w:r>
        <w:t>Sex</w:t>
      </w:r>
    </w:p>
    <w:p w14:paraId="0C070375" w14:textId="5A1E3B87" w:rsidR="00E473D5" w:rsidRDefault="00E473D5" w:rsidP="00E473D5">
      <w:r>
        <w:t>Sometimes referred to as Gender, sex is simply a man or a woman.</w:t>
      </w:r>
    </w:p>
    <w:p w14:paraId="7BCEB4B9" w14:textId="05373692" w:rsidR="00E473D5" w:rsidRDefault="00E473D5" w:rsidP="00E473D5">
      <w:pPr>
        <w:pStyle w:val="Heading3"/>
      </w:pPr>
      <w:r>
        <w:t>Sexual orientation</w:t>
      </w:r>
    </w:p>
    <w:p w14:paraId="3D1F2C4A" w14:textId="1BD46CCF" w:rsidR="00E473D5" w:rsidRDefault="00E473D5" w:rsidP="00E473D5">
      <w:r>
        <w:t>This relates to people who are attracted to the opposite sex (heterosexual), the same sex (homosexual) or both sexes (bisexual).</w:t>
      </w:r>
    </w:p>
    <w:p w14:paraId="3C21DCE3" w14:textId="754A5BE0" w:rsidR="00E473D5" w:rsidRDefault="00E473D5" w:rsidP="00E473D5">
      <w:r>
        <w:t>It does not currently extend to include other sexual identities, such as asexuality</w:t>
      </w:r>
      <w:r w:rsidR="008076BB">
        <w:t>, aromantic,</w:t>
      </w:r>
      <w:r>
        <w:t xml:space="preserve"> or pansexuality.</w:t>
      </w:r>
    </w:p>
    <w:p w14:paraId="062E366C" w14:textId="77777777" w:rsidR="00D0464A" w:rsidRDefault="00D0464A" w:rsidP="00D0464A">
      <w:pPr>
        <w:pStyle w:val="Heading2"/>
        <w:sectPr w:rsidR="00D0464A" w:rsidSect="007C61F8">
          <w:type w:val="continuous"/>
          <w:pgSz w:w="11906" w:h="16838"/>
          <w:pgMar w:top="1440" w:right="1080" w:bottom="1440" w:left="1080" w:header="708" w:footer="708" w:gutter="0"/>
          <w:cols w:num="2" w:space="720"/>
          <w:docGrid w:linePitch="381"/>
        </w:sectPr>
      </w:pPr>
    </w:p>
    <w:p w14:paraId="3E487485" w14:textId="4B46EAC5" w:rsidR="00006D7F" w:rsidRDefault="00D0464A" w:rsidP="00EB3118">
      <w:pPr>
        <w:pStyle w:val="Appendixheading"/>
      </w:pPr>
      <w:bookmarkStart w:id="17" w:name="_Toc198798563"/>
      <w:r>
        <w:t xml:space="preserve">Appendix II – </w:t>
      </w:r>
      <w:r w:rsidRPr="00006D7F">
        <w:t>Prohibited</w:t>
      </w:r>
      <w:r>
        <w:t xml:space="preserve"> conduct</w:t>
      </w:r>
      <w:bookmarkEnd w:id="17"/>
    </w:p>
    <w:p w14:paraId="35EA7060" w14:textId="77777777" w:rsidR="00D0464A" w:rsidRDefault="00D0464A" w:rsidP="00D0464A">
      <w:pPr>
        <w:sectPr w:rsidR="00D0464A" w:rsidSect="00D0464A">
          <w:type w:val="continuous"/>
          <w:pgSz w:w="11906" w:h="16838"/>
          <w:pgMar w:top="1440" w:right="1080" w:bottom="1440" w:left="1080" w:header="708" w:footer="708" w:gutter="0"/>
          <w:cols w:space="720"/>
          <w:docGrid w:linePitch="381"/>
        </w:sectPr>
      </w:pPr>
    </w:p>
    <w:p w14:paraId="3511C7E4" w14:textId="2B4ABF5E" w:rsidR="00D0464A" w:rsidRDefault="00F13EED" w:rsidP="00D0464A">
      <w:r>
        <w:t>The Equality Act 2010 sets out what are prohibited conduct.  These are actions, activities or behaviours that are unlawful when related to any of the protected characteristics defined by the Act.</w:t>
      </w:r>
    </w:p>
    <w:p w14:paraId="1ECFC09D" w14:textId="4E580522" w:rsidR="00F13EED" w:rsidRDefault="00F13EED" w:rsidP="00D0464A">
      <w:r>
        <w:t>Prohibited conduct are defined as:</w:t>
      </w:r>
    </w:p>
    <w:p w14:paraId="54F0195C" w14:textId="085A5F56" w:rsidR="00F13EED" w:rsidRDefault="00F13EED" w:rsidP="00F13EED">
      <w:pPr>
        <w:pStyle w:val="Heading3"/>
      </w:pPr>
      <w:r>
        <w:t>Discrimination</w:t>
      </w:r>
    </w:p>
    <w:p w14:paraId="6A227EBE" w14:textId="247A8C03" w:rsidR="00F13EED" w:rsidRDefault="00F13EED" w:rsidP="00F13EED">
      <w:r>
        <w:t>Discrimination is divided into three types.</w:t>
      </w:r>
    </w:p>
    <w:p w14:paraId="74B0FFE1" w14:textId="6B81123E" w:rsidR="00F13EED" w:rsidRDefault="00F13EED" w:rsidP="00F13EED">
      <w:r w:rsidRPr="00F13EED">
        <w:rPr>
          <w:color w:val="56008C" w:themeColor="accent4"/>
        </w:rPr>
        <w:t xml:space="preserve">Direct discrimination </w:t>
      </w:r>
      <w:r>
        <w:t xml:space="preserve">is where a person or group of people are directly treated </w:t>
      </w:r>
      <w:r>
        <w:t>less favourably because of one of the protected characteristics.  An example of this might be where a person is overlooked for an employment opportunity because of their ethnic background</w:t>
      </w:r>
      <w:r w:rsidR="00BC5112">
        <w:t>, their age, their sexual orientation, etc.</w:t>
      </w:r>
    </w:p>
    <w:p w14:paraId="5DE8030B" w14:textId="4A0E8222" w:rsidR="00BC5112" w:rsidRDefault="00BC5112" w:rsidP="00F13EED">
      <w:r w:rsidRPr="00BC5112">
        <w:rPr>
          <w:color w:val="56008C" w:themeColor="accent4"/>
        </w:rPr>
        <w:t xml:space="preserve">Indirect discrimination </w:t>
      </w:r>
      <w:r>
        <w:t xml:space="preserve">usually occurs where an organisation has a policy that leads to people being treated less favourably because of one of the protected characteristics.  For example, a policy where all patients can only </w:t>
      </w:r>
      <w:r>
        <w:lastRenderedPageBreak/>
        <w:t>telephone a GP practice or hospital, with no alternative contact method, would most likely indirectly discriminate against certain people, for example d/Deaf people.</w:t>
      </w:r>
    </w:p>
    <w:p w14:paraId="54BA8115" w14:textId="768719B9" w:rsidR="001658B0" w:rsidRDefault="001658B0" w:rsidP="00F13EED">
      <w:r w:rsidRPr="001658B0">
        <w:rPr>
          <w:color w:val="56008C" w:themeColor="accent4"/>
        </w:rPr>
        <w:t>Discrimination on the grounds of disability</w:t>
      </w:r>
      <w:r>
        <w:t xml:space="preserve"> relates solely to the protected characteristic of Disability.</w:t>
      </w:r>
    </w:p>
    <w:p w14:paraId="427EF863" w14:textId="1B6C1357" w:rsidR="001658B0" w:rsidRDefault="00DC5039" w:rsidP="00F13EED">
      <w:r>
        <w:t>Discrimination on the grounds of disability occurs when a person is treated less favourably due to something that is related to their disability, rather than the disability itself.</w:t>
      </w:r>
    </w:p>
    <w:p w14:paraId="6DCA562A" w14:textId="4AA3FA06" w:rsidR="00F13EED" w:rsidRDefault="00F13EED" w:rsidP="00F13EED">
      <w:pPr>
        <w:pStyle w:val="Heading3"/>
      </w:pPr>
      <w:r>
        <w:t>Harassment</w:t>
      </w:r>
    </w:p>
    <w:p w14:paraId="2A143908" w14:textId="371FB2CF" w:rsidR="00F13EED" w:rsidRDefault="00BC5112" w:rsidP="00F13EED">
      <w:r>
        <w:t>Harassment relates to any unwanted or offensive behaviour on the grounds of any of the protected characteristics.</w:t>
      </w:r>
    </w:p>
    <w:p w14:paraId="79B592AE" w14:textId="57479059" w:rsidR="00BC5112" w:rsidRDefault="00BC5112" w:rsidP="00F13EED">
      <w:r>
        <w:t>Types of harassment can include, but are not limited to:</w:t>
      </w:r>
    </w:p>
    <w:p w14:paraId="16AE8E90" w14:textId="77777777" w:rsidR="001658B0" w:rsidRDefault="001658B0" w:rsidP="00DC5039">
      <w:pPr>
        <w:pStyle w:val="ListParagraph"/>
        <w:numPr>
          <w:ilvl w:val="0"/>
          <w:numId w:val="7"/>
        </w:numPr>
      </w:pPr>
      <w:r>
        <w:t>Bullying</w:t>
      </w:r>
    </w:p>
    <w:p w14:paraId="419FDD30" w14:textId="77777777" w:rsidR="001658B0" w:rsidRDefault="001658B0" w:rsidP="00DC5039">
      <w:pPr>
        <w:pStyle w:val="ListParagraph"/>
        <w:numPr>
          <w:ilvl w:val="0"/>
          <w:numId w:val="7"/>
        </w:numPr>
      </w:pPr>
      <w:r>
        <w:t>Inappropriate “jokes”</w:t>
      </w:r>
    </w:p>
    <w:p w14:paraId="2CF56117" w14:textId="77777777" w:rsidR="001658B0" w:rsidRDefault="001658B0" w:rsidP="00DC5039">
      <w:pPr>
        <w:pStyle w:val="ListParagraph"/>
        <w:numPr>
          <w:ilvl w:val="0"/>
          <w:numId w:val="7"/>
        </w:numPr>
      </w:pPr>
      <w:r>
        <w:t>Name calling</w:t>
      </w:r>
    </w:p>
    <w:p w14:paraId="5C9A8359" w14:textId="77777777" w:rsidR="001658B0" w:rsidRDefault="001658B0" w:rsidP="00DC5039">
      <w:pPr>
        <w:pStyle w:val="ListParagraph"/>
        <w:numPr>
          <w:ilvl w:val="0"/>
          <w:numId w:val="7"/>
        </w:numPr>
      </w:pPr>
      <w:r>
        <w:t>Sexual harassment</w:t>
      </w:r>
    </w:p>
    <w:p w14:paraId="2EADDEED" w14:textId="77777777" w:rsidR="001658B0" w:rsidRDefault="001658B0" w:rsidP="00DC5039">
      <w:pPr>
        <w:pStyle w:val="ListParagraph"/>
        <w:numPr>
          <w:ilvl w:val="0"/>
          <w:numId w:val="7"/>
        </w:numPr>
      </w:pPr>
      <w:r>
        <w:t>Teasing</w:t>
      </w:r>
    </w:p>
    <w:p w14:paraId="03B3F18E" w14:textId="507EFFA3" w:rsidR="00F13EED" w:rsidRDefault="00F13EED" w:rsidP="00F13EED">
      <w:pPr>
        <w:pStyle w:val="Heading3"/>
      </w:pPr>
      <w:r>
        <w:t>Victimisation</w:t>
      </w:r>
    </w:p>
    <w:p w14:paraId="4B5689C3" w14:textId="6B1C265F" w:rsidR="001658B0" w:rsidRDefault="00DC5039" w:rsidP="00F13EED">
      <w:r>
        <w:t xml:space="preserve">Victimisation can occur where a person who has made a complaint of discrimination or harassment and, </w:t>
      </w:r>
      <w:r w:rsidR="00511384">
        <w:t>because of</w:t>
      </w:r>
      <w:r>
        <w:t xml:space="preserve"> this, is treated less favourably.</w:t>
      </w:r>
    </w:p>
    <w:p w14:paraId="75FFD56B" w14:textId="77777777" w:rsidR="00DC5039" w:rsidRDefault="00DC5039" w:rsidP="00DC5039">
      <w:pPr>
        <w:pStyle w:val="Appendixheading"/>
        <w:sectPr w:rsidR="00DC5039" w:rsidSect="007C61F8">
          <w:type w:val="continuous"/>
          <w:pgSz w:w="11906" w:h="16838"/>
          <w:pgMar w:top="1440" w:right="1080" w:bottom="1440" w:left="1080" w:header="708" w:footer="708" w:gutter="0"/>
          <w:cols w:num="2" w:space="720"/>
          <w:docGrid w:linePitch="381"/>
        </w:sectPr>
      </w:pPr>
    </w:p>
    <w:p w14:paraId="66E39FD2" w14:textId="64AB25AE" w:rsidR="00006D7F" w:rsidRDefault="00DC5039" w:rsidP="00EB3118">
      <w:pPr>
        <w:pStyle w:val="Appendixheading"/>
      </w:pPr>
      <w:bookmarkStart w:id="18" w:name="_Toc198798564"/>
      <w:r>
        <w:t xml:space="preserve">Appendix III – </w:t>
      </w:r>
      <w:proofErr w:type="gramStart"/>
      <w:r w:rsidR="006F1A8A">
        <w:t>Making</w:t>
      </w:r>
      <w:r>
        <w:t xml:space="preserve"> adjustments</w:t>
      </w:r>
      <w:bookmarkEnd w:id="18"/>
      <w:proofErr w:type="gramEnd"/>
    </w:p>
    <w:p w14:paraId="72AB5FCE" w14:textId="77777777" w:rsidR="00DC5039" w:rsidRDefault="00DC5039" w:rsidP="00DC5039">
      <w:pPr>
        <w:sectPr w:rsidR="00DC5039" w:rsidSect="00DC5039">
          <w:type w:val="continuous"/>
          <w:pgSz w:w="11906" w:h="16838"/>
          <w:pgMar w:top="1440" w:right="1080" w:bottom="1440" w:left="1080" w:header="708" w:footer="708" w:gutter="0"/>
          <w:cols w:space="720"/>
          <w:docGrid w:linePitch="381"/>
        </w:sectPr>
      </w:pPr>
    </w:p>
    <w:p w14:paraId="345577C9" w14:textId="6BC4F3AD" w:rsidR="00DC5039" w:rsidRDefault="006F1A8A" w:rsidP="00DC5039">
      <w:r>
        <w:t xml:space="preserve">There is a legal duty for every organisation to </w:t>
      </w:r>
      <w:proofErr w:type="gramStart"/>
      <w:r>
        <w:t>make adjustments</w:t>
      </w:r>
      <w:proofErr w:type="gramEnd"/>
      <w:r>
        <w:t xml:space="preserve"> for its employees and the people using its services.  These are aimed to reduce exclusion from the working world and, in the case of Somerset ICB, when designing services for the county’s population.</w:t>
      </w:r>
    </w:p>
    <w:p w14:paraId="0D73F633" w14:textId="2FEE7705" w:rsidR="006F1A8A" w:rsidRDefault="006F1A8A" w:rsidP="00DC5039">
      <w:r>
        <w:t>These include things like the ability to access to interpreters for people who have no or little English, and to provide any information in the languages required by Somerset’s population.</w:t>
      </w:r>
    </w:p>
    <w:p w14:paraId="0BB42CD5" w14:textId="0CB8AE1E" w:rsidR="006F1A8A" w:rsidRDefault="006F1A8A" w:rsidP="00DC5039">
      <w:r>
        <w:t xml:space="preserve">Adjustments also extend to ensuring that services are sensitive to any cultural or religious needs of patients and employees, for example </w:t>
      </w:r>
      <w:r w:rsidR="00576CBB">
        <w:t>access to gender-appropriate clinicians, or adherence to faith-based practices.</w:t>
      </w:r>
    </w:p>
    <w:p w14:paraId="7A5A116B" w14:textId="55C63614" w:rsidR="006F1A8A" w:rsidRDefault="00576CBB" w:rsidP="00576CBB">
      <w:pPr>
        <w:pStyle w:val="Heading3"/>
      </w:pPr>
      <w:r>
        <w:t>Reasonable Adjustments</w:t>
      </w:r>
    </w:p>
    <w:p w14:paraId="4319B1E3" w14:textId="2643B125" w:rsidR="00576CBB" w:rsidRDefault="00576CBB" w:rsidP="00576CBB">
      <w:r>
        <w:t>These are a specific requirement in law and relate to people with disabilities.</w:t>
      </w:r>
    </w:p>
    <w:p w14:paraId="450127EE" w14:textId="77777777" w:rsidR="00576CBB" w:rsidRDefault="00576CBB" w:rsidP="00576CBB">
      <w:r>
        <w:t xml:space="preserve">All organisations are required to ensure that disabled people can access employment and health services equally.  These can include things like </w:t>
      </w:r>
      <w:r>
        <w:lastRenderedPageBreak/>
        <w:t>step-free access to buildings for wheelchair users, however the topic of reasonable adjustments is much wider than simply physical adaptations to the environment.</w:t>
      </w:r>
    </w:p>
    <w:p w14:paraId="7A2DB07C" w14:textId="7EBD4F3C" w:rsidR="00576CBB" w:rsidRDefault="00576CBB" w:rsidP="00576CBB">
      <w:r>
        <w:t>For example, a person may need longer appointments to ensure that they have sufficient time to process the information that they are being given.</w:t>
      </w:r>
    </w:p>
    <w:p w14:paraId="6B4CCEFC" w14:textId="42AEF5B1" w:rsidR="00576CBB" w:rsidRDefault="00576CBB" w:rsidP="00576CBB">
      <w:r>
        <w:t>They may need letters and other information provided in tactile languages, such as Braille.</w:t>
      </w:r>
    </w:p>
    <w:p w14:paraId="2412DA67" w14:textId="71257005" w:rsidR="00576CBB" w:rsidRDefault="00576CBB" w:rsidP="00576CBB">
      <w:r>
        <w:t>They may need access to additional equipment, such as a hearing loop.</w:t>
      </w:r>
    </w:p>
    <w:p w14:paraId="27BBB0CF" w14:textId="56C29930" w:rsidR="00576CBB" w:rsidRDefault="00576CBB" w:rsidP="00576CBB">
      <w:r>
        <w:t>They may need to use a support worker or carer to assist them during consultations.</w:t>
      </w:r>
    </w:p>
    <w:p w14:paraId="67CD2DA6" w14:textId="07A7216C" w:rsidR="00576CBB" w:rsidRDefault="00576CBB" w:rsidP="00576CBB">
      <w:r>
        <w:t>They may need access to a British Sign Language/English interpreter</w:t>
      </w:r>
      <w:r w:rsidR="003459D6">
        <w:t xml:space="preserve"> to ensure that the clinician and patient both understand what is being communicated.</w:t>
      </w:r>
    </w:p>
    <w:p w14:paraId="2734F7AB" w14:textId="148809E4" w:rsidR="00576CBB" w:rsidRDefault="00576CBB" w:rsidP="00576CBB">
      <w:r>
        <w:t>All of these could be con</w:t>
      </w:r>
      <w:r w:rsidR="003459D6">
        <w:t>sidered Reasonable Adjustments.</w:t>
      </w:r>
    </w:p>
    <w:p w14:paraId="4CCF9D88" w14:textId="091CE2F8" w:rsidR="003459D6" w:rsidRPr="00576CBB" w:rsidRDefault="003459D6" w:rsidP="00576CBB">
      <w:r>
        <w:t xml:space="preserve">The duty to make Reasonable Adjustments is referred to as an anticipatory duty.  This means that organisations must consider the potential needs of anyone </w:t>
      </w:r>
      <w:r w:rsidR="00FD6A99">
        <w:t>who may use</w:t>
      </w:r>
      <w:r>
        <w:t xml:space="preserve"> its services and make these available.</w:t>
      </w:r>
    </w:p>
    <w:p w14:paraId="73B18828" w14:textId="77777777" w:rsidR="006F1A8A" w:rsidRDefault="006F1A8A" w:rsidP="00DC5039">
      <w:pPr>
        <w:sectPr w:rsidR="006F1A8A" w:rsidSect="007C61F8">
          <w:type w:val="continuous"/>
          <w:pgSz w:w="11906" w:h="16838"/>
          <w:pgMar w:top="1440" w:right="1080" w:bottom="1440" w:left="1080" w:header="708" w:footer="708" w:gutter="0"/>
          <w:cols w:num="2" w:space="720"/>
          <w:docGrid w:linePitch="381"/>
        </w:sectPr>
      </w:pPr>
    </w:p>
    <w:p w14:paraId="4B698C10" w14:textId="64C84792" w:rsidR="003459D6" w:rsidRPr="00F13EED" w:rsidRDefault="003459D6" w:rsidP="00DC5039"/>
    <w:sectPr w:rsidR="003459D6" w:rsidRPr="00F13EED" w:rsidSect="003459D6">
      <w:type w:val="continuous"/>
      <w:pgSz w:w="11906" w:h="16838"/>
      <w:pgMar w:top="1440" w:right="1080" w:bottom="1440" w:left="1080" w:header="708" w:footer="708" w:gutter="0"/>
      <w:cols w:num="2"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BA90" w14:textId="77777777" w:rsidR="00885565" w:rsidRDefault="00885565" w:rsidP="00533610">
      <w:r>
        <w:separator/>
      </w:r>
    </w:p>
  </w:endnote>
  <w:endnote w:type="continuationSeparator" w:id="0">
    <w:p w14:paraId="03B1DFB3" w14:textId="77777777" w:rsidR="00885565" w:rsidRDefault="00885565" w:rsidP="00533610">
      <w:r>
        <w:continuationSeparator/>
      </w:r>
    </w:p>
  </w:endnote>
  <w:endnote w:type="continuationNotice" w:id="1">
    <w:p w14:paraId="707CC217" w14:textId="77777777" w:rsidR="00885565" w:rsidRDefault="00885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F67D" w14:textId="77777777" w:rsidR="00344A91" w:rsidRDefault="00344A91" w:rsidP="0053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63757"/>
      <w:docPartObj>
        <w:docPartGallery w:val="Page Numbers (Bottom of Page)"/>
        <w:docPartUnique/>
      </w:docPartObj>
    </w:sdtPr>
    <w:sdtEndPr>
      <w:rPr>
        <w:noProof/>
      </w:rPr>
    </w:sdtEndPr>
    <w:sdtContent>
      <w:p w14:paraId="4FD3DE15" w14:textId="70B8704C" w:rsidR="00344A91" w:rsidRDefault="00F57319" w:rsidP="00F57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9C25" w14:textId="77777777" w:rsidR="00885565" w:rsidRDefault="00885565" w:rsidP="00533610">
      <w:r>
        <w:separator/>
      </w:r>
    </w:p>
  </w:footnote>
  <w:footnote w:type="continuationSeparator" w:id="0">
    <w:p w14:paraId="5D43ACD6" w14:textId="77777777" w:rsidR="00885565" w:rsidRDefault="00885565" w:rsidP="00533610">
      <w:r>
        <w:continuationSeparator/>
      </w:r>
    </w:p>
  </w:footnote>
  <w:footnote w:type="continuationNotice" w:id="1">
    <w:p w14:paraId="2B491BB9" w14:textId="77777777" w:rsidR="00885565" w:rsidRDefault="00885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9E10" w14:textId="3D025CD1" w:rsidR="00567820" w:rsidRDefault="00567820">
    <w:pPr>
      <w:pStyle w:val="Header"/>
    </w:pPr>
    <w:r>
      <w:rPr>
        <w:noProof/>
      </w:rPr>
      <w:drawing>
        <wp:anchor distT="0" distB="0" distL="114300" distR="114300" simplePos="0" relativeHeight="251658240" behindDoc="0" locked="0" layoutInCell="1" allowOverlap="1" wp14:anchorId="1EAF8017" wp14:editId="57598E00">
          <wp:simplePos x="0" y="0"/>
          <wp:positionH relativeFrom="column">
            <wp:posOffset>2482850</wp:posOffset>
          </wp:positionH>
          <wp:positionV relativeFrom="paragraph">
            <wp:posOffset>-387985</wp:posOffset>
          </wp:positionV>
          <wp:extent cx="4090035" cy="1078865"/>
          <wp:effectExtent l="0" t="0" r="0" b="0"/>
          <wp:wrapTopAndBottom/>
          <wp:docPr id="26094316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43169"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0035" cy="107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FC2E" w14:textId="77777777" w:rsidR="00344A91" w:rsidRDefault="00344A91" w:rsidP="00533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037B" w14:textId="77777777" w:rsidR="00344A91" w:rsidRDefault="00344A91" w:rsidP="00533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EFA"/>
    <w:multiLevelType w:val="hybridMultilevel"/>
    <w:tmpl w:val="14CAD078"/>
    <w:lvl w:ilvl="0" w:tplc="0D5CE650">
      <w:start w:val="1"/>
      <w:numFmt w:val="decimal"/>
      <w:pStyle w:val="Objective"/>
      <w:lvlText w:val="Objective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4877FC"/>
    <w:multiLevelType w:val="hybridMultilevel"/>
    <w:tmpl w:val="85E65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F04E1"/>
    <w:multiLevelType w:val="hybridMultilevel"/>
    <w:tmpl w:val="C780130E"/>
    <w:lvl w:ilvl="0" w:tplc="ABFA4B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F2AD3"/>
    <w:multiLevelType w:val="hybridMultilevel"/>
    <w:tmpl w:val="4A9A871E"/>
    <w:lvl w:ilvl="0" w:tplc="8FB45E1E">
      <w:start w:val="1"/>
      <w:numFmt w:val="bullet"/>
      <w:lvlText w:val="a"/>
      <w:lvlJc w:val="left"/>
      <w:pPr>
        <w:ind w:left="360" w:hanging="360"/>
      </w:pPr>
      <w:rPr>
        <w:rFonts w:ascii="Webdings" w:hAnsi="Webdings" w:hint="default"/>
        <w:color w:val="5BBF21"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81361A"/>
    <w:multiLevelType w:val="hybridMultilevel"/>
    <w:tmpl w:val="72E07AF8"/>
    <w:lvl w:ilvl="0" w:tplc="8FB45E1E">
      <w:start w:val="1"/>
      <w:numFmt w:val="bullet"/>
      <w:lvlText w:val="a"/>
      <w:lvlJc w:val="left"/>
      <w:pPr>
        <w:ind w:left="360" w:hanging="360"/>
      </w:pPr>
      <w:rPr>
        <w:rFonts w:ascii="Webdings" w:hAnsi="Webdings" w:hint="default"/>
        <w:color w:val="5BBF2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17824"/>
    <w:multiLevelType w:val="hybridMultilevel"/>
    <w:tmpl w:val="A6A69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DE1421"/>
    <w:multiLevelType w:val="hybridMultilevel"/>
    <w:tmpl w:val="E8DE3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F32BE0"/>
    <w:multiLevelType w:val="hybridMultilevel"/>
    <w:tmpl w:val="CFF21E9A"/>
    <w:lvl w:ilvl="0" w:tplc="7DF8FB92">
      <w:start w:val="1"/>
      <w:numFmt w:val="bullet"/>
      <w:lvlText w:val="û"/>
      <w:lvlJc w:val="left"/>
      <w:pPr>
        <w:ind w:left="360" w:hanging="360"/>
      </w:pPr>
      <w:rPr>
        <w:rFonts w:ascii="Wingdings" w:hAnsi="Wingdings" w:hint="default"/>
        <w:color w:val="D81E05" w:themeColor="accent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091F94"/>
    <w:multiLevelType w:val="hybridMultilevel"/>
    <w:tmpl w:val="4E240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FA0555"/>
    <w:multiLevelType w:val="hybridMultilevel"/>
    <w:tmpl w:val="7814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1F1CAC"/>
    <w:multiLevelType w:val="hybridMultilevel"/>
    <w:tmpl w:val="3AEA8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BF3CB2"/>
    <w:multiLevelType w:val="hybridMultilevel"/>
    <w:tmpl w:val="74D23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5965BD"/>
    <w:multiLevelType w:val="hybridMultilevel"/>
    <w:tmpl w:val="473C469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2DC270C"/>
    <w:multiLevelType w:val="hybridMultilevel"/>
    <w:tmpl w:val="860E6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EB7F98"/>
    <w:multiLevelType w:val="hybridMultilevel"/>
    <w:tmpl w:val="852428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40C8D"/>
    <w:multiLevelType w:val="hybridMultilevel"/>
    <w:tmpl w:val="5836ABD4"/>
    <w:lvl w:ilvl="0" w:tplc="7456A8E0">
      <w:start w:val="1"/>
      <w:numFmt w:val="bullet"/>
      <w:lvlText w:val=""/>
      <w:lvlJc w:val="left"/>
      <w:pPr>
        <w:ind w:left="360" w:hanging="360"/>
      </w:pPr>
      <w:rPr>
        <w:rFonts w:ascii="Wingdings" w:hAnsi="Wingdings" w:hint="default"/>
        <w:color w:val="A11603" w:themeColor="accent5"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6844729">
    <w:abstractNumId w:val="8"/>
  </w:num>
  <w:num w:numId="2" w16cid:durableId="1046829887">
    <w:abstractNumId w:val="5"/>
  </w:num>
  <w:num w:numId="3" w16cid:durableId="849490785">
    <w:abstractNumId w:val="10"/>
  </w:num>
  <w:num w:numId="4" w16cid:durableId="206525954">
    <w:abstractNumId w:val="11"/>
  </w:num>
  <w:num w:numId="5" w16cid:durableId="362438906">
    <w:abstractNumId w:val="2"/>
  </w:num>
  <w:num w:numId="6" w16cid:durableId="1706131039">
    <w:abstractNumId w:val="7"/>
  </w:num>
  <w:num w:numId="7" w16cid:durableId="717322535">
    <w:abstractNumId w:val="15"/>
  </w:num>
  <w:num w:numId="8" w16cid:durableId="1628121840">
    <w:abstractNumId w:val="13"/>
  </w:num>
  <w:num w:numId="9" w16cid:durableId="1122573721">
    <w:abstractNumId w:val="12"/>
  </w:num>
  <w:num w:numId="10" w16cid:durableId="804352471">
    <w:abstractNumId w:val="1"/>
  </w:num>
  <w:num w:numId="11" w16cid:durableId="836119547">
    <w:abstractNumId w:val="14"/>
  </w:num>
  <w:num w:numId="12" w16cid:durableId="1396588571">
    <w:abstractNumId w:val="0"/>
  </w:num>
  <w:num w:numId="13" w16cid:durableId="156894602">
    <w:abstractNumId w:val="4"/>
  </w:num>
  <w:num w:numId="14" w16cid:durableId="681053863">
    <w:abstractNumId w:val="6"/>
  </w:num>
  <w:num w:numId="15" w16cid:durableId="243035001">
    <w:abstractNumId w:val="9"/>
  </w:num>
  <w:num w:numId="16" w16cid:durableId="206853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A"/>
    <w:rsid w:val="00004108"/>
    <w:rsid w:val="00006D7F"/>
    <w:rsid w:val="00040E03"/>
    <w:rsid w:val="00061B65"/>
    <w:rsid w:val="00072C71"/>
    <w:rsid w:val="00072F2F"/>
    <w:rsid w:val="00074C67"/>
    <w:rsid w:val="00076298"/>
    <w:rsid w:val="000775E1"/>
    <w:rsid w:val="00093AD2"/>
    <w:rsid w:val="00096BAA"/>
    <w:rsid w:val="000A0CEC"/>
    <w:rsid w:val="000A10B1"/>
    <w:rsid w:val="000B1A3E"/>
    <w:rsid w:val="000B237F"/>
    <w:rsid w:val="000B2517"/>
    <w:rsid w:val="000C10C6"/>
    <w:rsid w:val="000C3942"/>
    <w:rsid w:val="000E78AB"/>
    <w:rsid w:val="00122941"/>
    <w:rsid w:val="00133433"/>
    <w:rsid w:val="00133C8A"/>
    <w:rsid w:val="0013533B"/>
    <w:rsid w:val="001362B5"/>
    <w:rsid w:val="001428AF"/>
    <w:rsid w:val="001450C2"/>
    <w:rsid w:val="0015160C"/>
    <w:rsid w:val="001537DF"/>
    <w:rsid w:val="001658B0"/>
    <w:rsid w:val="001744E8"/>
    <w:rsid w:val="00177158"/>
    <w:rsid w:val="00195421"/>
    <w:rsid w:val="001A0F67"/>
    <w:rsid w:val="001C096D"/>
    <w:rsid w:val="001C2E74"/>
    <w:rsid w:val="001D479E"/>
    <w:rsid w:val="001D6725"/>
    <w:rsid w:val="001E1DAD"/>
    <w:rsid w:val="001E4460"/>
    <w:rsid w:val="001F2BFE"/>
    <w:rsid w:val="00203140"/>
    <w:rsid w:val="00216B17"/>
    <w:rsid w:val="00231149"/>
    <w:rsid w:val="00237AC4"/>
    <w:rsid w:val="00242645"/>
    <w:rsid w:val="0025286E"/>
    <w:rsid w:val="0025369F"/>
    <w:rsid w:val="00257A75"/>
    <w:rsid w:val="002607E6"/>
    <w:rsid w:val="00283932"/>
    <w:rsid w:val="00290EE3"/>
    <w:rsid w:val="002C07AA"/>
    <w:rsid w:val="002C555B"/>
    <w:rsid w:val="002C5BA8"/>
    <w:rsid w:val="002D64D7"/>
    <w:rsid w:val="002E7123"/>
    <w:rsid w:val="002F3884"/>
    <w:rsid w:val="0030083A"/>
    <w:rsid w:val="0031545A"/>
    <w:rsid w:val="0031615C"/>
    <w:rsid w:val="00317F31"/>
    <w:rsid w:val="00344A91"/>
    <w:rsid w:val="003459D6"/>
    <w:rsid w:val="0036175B"/>
    <w:rsid w:val="00361BDE"/>
    <w:rsid w:val="00362989"/>
    <w:rsid w:val="00363A1E"/>
    <w:rsid w:val="00367D11"/>
    <w:rsid w:val="00393DF5"/>
    <w:rsid w:val="0039538F"/>
    <w:rsid w:val="00397955"/>
    <w:rsid w:val="003B0037"/>
    <w:rsid w:val="003B2A11"/>
    <w:rsid w:val="003B436A"/>
    <w:rsid w:val="003C40CD"/>
    <w:rsid w:val="003C4D79"/>
    <w:rsid w:val="003D4243"/>
    <w:rsid w:val="003D5E69"/>
    <w:rsid w:val="003E39F1"/>
    <w:rsid w:val="003E3ABB"/>
    <w:rsid w:val="003F3A89"/>
    <w:rsid w:val="00401599"/>
    <w:rsid w:val="00404E14"/>
    <w:rsid w:val="00405A59"/>
    <w:rsid w:val="00412DC2"/>
    <w:rsid w:val="00416390"/>
    <w:rsid w:val="00422943"/>
    <w:rsid w:val="00435A20"/>
    <w:rsid w:val="00447CC7"/>
    <w:rsid w:val="004577AC"/>
    <w:rsid w:val="00461E1D"/>
    <w:rsid w:val="00470D2F"/>
    <w:rsid w:val="004761BF"/>
    <w:rsid w:val="0049308F"/>
    <w:rsid w:val="004A0F5F"/>
    <w:rsid w:val="004E44E7"/>
    <w:rsid w:val="004F5408"/>
    <w:rsid w:val="005001C4"/>
    <w:rsid w:val="00500496"/>
    <w:rsid w:val="0051037C"/>
    <w:rsid w:val="00511384"/>
    <w:rsid w:val="00520CC3"/>
    <w:rsid w:val="00522C28"/>
    <w:rsid w:val="00533610"/>
    <w:rsid w:val="00536CD2"/>
    <w:rsid w:val="00546EEC"/>
    <w:rsid w:val="00551B1E"/>
    <w:rsid w:val="005531E6"/>
    <w:rsid w:val="00561857"/>
    <w:rsid w:val="0056563A"/>
    <w:rsid w:val="00567820"/>
    <w:rsid w:val="00576A2B"/>
    <w:rsid w:val="00576CBB"/>
    <w:rsid w:val="00582A68"/>
    <w:rsid w:val="005856ED"/>
    <w:rsid w:val="00585C1A"/>
    <w:rsid w:val="005905B1"/>
    <w:rsid w:val="005A7D2C"/>
    <w:rsid w:val="005C079E"/>
    <w:rsid w:val="005C298A"/>
    <w:rsid w:val="005D7D9B"/>
    <w:rsid w:val="00604B3C"/>
    <w:rsid w:val="006065AB"/>
    <w:rsid w:val="0062052E"/>
    <w:rsid w:val="006208E1"/>
    <w:rsid w:val="00631BDE"/>
    <w:rsid w:val="00636924"/>
    <w:rsid w:val="00660B8B"/>
    <w:rsid w:val="00673315"/>
    <w:rsid w:val="00690812"/>
    <w:rsid w:val="00690F7A"/>
    <w:rsid w:val="006968E0"/>
    <w:rsid w:val="006A4D30"/>
    <w:rsid w:val="006B6A4A"/>
    <w:rsid w:val="006B7986"/>
    <w:rsid w:val="006D6E9C"/>
    <w:rsid w:val="006E09BB"/>
    <w:rsid w:val="006E4C4E"/>
    <w:rsid w:val="006F101E"/>
    <w:rsid w:val="006F1A8A"/>
    <w:rsid w:val="00720CA3"/>
    <w:rsid w:val="00721AC8"/>
    <w:rsid w:val="00730E5E"/>
    <w:rsid w:val="00732B1E"/>
    <w:rsid w:val="0074093D"/>
    <w:rsid w:val="0074499F"/>
    <w:rsid w:val="00750F19"/>
    <w:rsid w:val="00750F97"/>
    <w:rsid w:val="00752663"/>
    <w:rsid w:val="00761B6C"/>
    <w:rsid w:val="007867AA"/>
    <w:rsid w:val="00790050"/>
    <w:rsid w:val="007912FE"/>
    <w:rsid w:val="00791EF8"/>
    <w:rsid w:val="007A7466"/>
    <w:rsid w:val="007B246F"/>
    <w:rsid w:val="007B3316"/>
    <w:rsid w:val="007B6F49"/>
    <w:rsid w:val="007C194C"/>
    <w:rsid w:val="007C61F8"/>
    <w:rsid w:val="007D2C96"/>
    <w:rsid w:val="007D3E35"/>
    <w:rsid w:val="007D46EE"/>
    <w:rsid w:val="007F06FC"/>
    <w:rsid w:val="007F1D6D"/>
    <w:rsid w:val="008076BB"/>
    <w:rsid w:val="008273B6"/>
    <w:rsid w:val="00832B62"/>
    <w:rsid w:val="00834AB1"/>
    <w:rsid w:val="008350A1"/>
    <w:rsid w:val="008429A0"/>
    <w:rsid w:val="0084675D"/>
    <w:rsid w:val="0085150E"/>
    <w:rsid w:val="0085268C"/>
    <w:rsid w:val="00873ED0"/>
    <w:rsid w:val="00885565"/>
    <w:rsid w:val="008908E9"/>
    <w:rsid w:val="008928E8"/>
    <w:rsid w:val="008976E8"/>
    <w:rsid w:val="008A024A"/>
    <w:rsid w:val="008A4C05"/>
    <w:rsid w:val="008B030B"/>
    <w:rsid w:val="008B1E88"/>
    <w:rsid w:val="008C3026"/>
    <w:rsid w:val="008D0011"/>
    <w:rsid w:val="009017A1"/>
    <w:rsid w:val="00906230"/>
    <w:rsid w:val="00912FA4"/>
    <w:rsid w:val="009277B9"/>
    <w:rsid w:val="00927B36"/>
    <w:rsid w:val="0093068A"/>
    <w:rsid w:val="00955CC6"/>
    <w:rsid w:val="009641CA"/>
    <w:rsid w:val="00972FF9"/>
    <w:rsid w:val="00976BEE"/>
    <w:rsid w:val="00981AFC"/>
    <w:rsid w:val="00982621"/>
    <w:rsid w:val="00983F0B"/>
    <w:rsid w:val="0099157D"/>
    <w:rsid w:val="00993334"/>
    <w:rsid w:val="0099572D"/>
    <w:rsid w:val="009B4D68"/>
    <w:rsid w:val="009B6421"/>
    <w:rsid w:val="009C2F6F"/>
    <w:rsid w:val="009D3293"/>
    <w:rsid w:val="009E2D64"/>
    <w:rsid w:val="009E2F4C"/>
    <w:rsid w:val="009E3BA0"/>
    <w:rsid w:val="009E3D70"/>
    <w:rsid w:val="009E5F1D"/>
    <w:rsid w:val="009F1840"/>
    <w:rsid w:val="00A057C1"/>
    <w:rsid w:val="00A12832"/>
    <w:rsid w:val="00A12C6B"/>
    <w:rsid w:val="00A24602"/>
    <w:rsid w:val="00A43BAE"/>
    <w:rsid w:val="00A46DD5"/>
    <w:rsid w:val="00A57814"/>
    <w:rsid w:val="00A60A0A"/>
    <w:rsid w:val="00A70866"/>
    <w:rsid w:val="00A73353"/>
    <w:rsid w:val="00A77E83"/>
    <w:rsid w:val="00A91954"/>
    <w:rsid w:val="00A92FA9"/>
    <w:rsid w:val="00AA0E66"/>
    <w:rsid w:val="00AA4661"/>
    <w:rsid w:val="00AC2363"/>
    <w:rsid w:val="00AC47A9"/>
    <w:rsid w:val="00AE56AC"/>
    <w:rsid w:val="00AF136C"/>
    <w:rsid w:val="00AF7793"/>
    <w:rsid w:val="00B005A9"/>
    <w:rsid w:val="00B02CB8"/>
    <w:rsid w:val="00B02ED4"/>
    <w:rsid w:val="00B1721F"/>
    <w:rsid w:val="00B503AC"/>
    <w:rsid w:val="00B708CB"/>
    <w:rsid w:val="00B741FF"/>
    <w:rsid w:val="00B77F03"/>
    <w:rsid w:val="00B8127A"/>
    <w:rsid w:val="00BA00AF"/>
    <w:rsid w:val="00BA3EB6"/>
    <w:rsid w:val="00BA4CF4"/>
    <w:rsid w:val="00BA57E9"/>
    <w:rsid w:val="00BA5D16"/>
    <w:rsid w:val="00BB70FC"/>
    <w:rsid w:val="00BB7369"/>
    <w:rsid w:val="00BB774A"/>
    <w:rsid w:val="00BC5112"/>
    <w:rsid w:val="00BD0E8F"/>
    <w:rsid w:val="00BD213E"/>
    <w:rsid w:val="00BE015B"/>
    <w:rsid w:val="00BF5A3D"/>
    <w:rsid w:val="00C2235A"/>
    <w:rsid w:val="00C237FC"/>
    <w:rsid w:val="00C27B03"/>
    <w:rsid w:val="00C43518"/>
    <w:rsid w:val="00C44D1F"/>
    <w:rsid w:val="00C6163F"/>
    <w:rsid w:val="00C67906"/>
    <w:rsid w:val="00C70170"/>
    <w:rsid w:val="00C72185"/>
    <w:rsid w:val="00C777B5"/>
    <w:rsid w:val="00C83A33"/>
    <w:rsid w:val="00C83C81"/>
    <w:rsid w:val="00C917C3"/>
    <w:rsid w:val="00CA14A5"/>
    <w:rsid w:val="00CA1579"/>
    <w:rsid w:val="00CB4F07"/>
    <w:rsid w:val="00CE4210"/>
    <w:rsid w:val="00CE6CD3"/>
    <w:rsid w:val="00CE7843"/>
    <w:rsid w:val="00CF3727"/>
    <w:rsid w:val="00CF496D"/>
    <w:rsid w:val="00D0464A"/>
    <w:rsid w:val="00D05089"/>
    <w:rsid w:val="00D06101"/>
    <w:rsid w:val="00D12DF2"/>
    <w:rsid w:val="00D201A5"/>
    <w:rsid w:val="00D22A96"/>
    <w:rsid w:val="00D24438"/>
    <w:rsid w:val="00D57375"/>
    <w:rsid w:val="00D57C3D"/>
    <w:rsid w:val="00D64D2A"/>
    <w:rsid w:val="00D70CC9"/>
    <w:rsid w:val="00D73FF7"/>
    <w:rsid w:val="00D7620C"/>
    <w:rsid w:val="00D84BA3"/>
    <w:rsid w:val="00D91E6A"/>
    <w:rsid w:val="00D93E0B"/>
    <w:rsid w:val="00D954E9"/>
    <w:rsid w:val="00D97CC6"/>
    <w:rsid w:val="00DB5F5A"/>
    <w:rsid w:val="00DB6525"/>
    <w:rsid w:val="00DB77CA"/>
    <w:rsid w:val="00DC2CC9"/>
    <w:rsid w:val="00DC3901"/>
    <w:rsid w:val="00DC5039"/>
    <w:rsid w:val="00DD22D6"/>
    <w:rsid w:val="00DD5FFA"/>
    <w:rsid w:val="00DF0953"/>
    <w:rsid w:val="00E327DE"/>
    <w:rsid w:val="00E45FCC"/>
    <w:rsid w:val="00E473D5"/>
    <w:rsid w:val="00E52A1E"/>
    <w:rsid w:val="00E54027"/>
    <w:rsid w:val="00E606E8"/>
    <w:rsid w:val="00E83ADD"/>
    <w:rsid w:val="00E937DD"/>
    <w:rsid w:val="00EA284B"/>
    <w:rsid w:val="00EA3E64"/>
    <w:rsid w:val="00EA68B6"/>
    <w:rsid w:val="00EB3118"/>
    <w:rsid w:val="00EB5306"/>
    <w:rsid w:val="00ED53F8"/>
    <w:rsid w:val="00EE0D61"/>
    <w:rsid w:val="00EE3EF4"/>
    <w:rsid w:val="00EE7689"/>
    <w:rsid w:val="00EF307C"/>
    <w:rsid w:val="00EF6B7B"/>
    <w:rsid w:val="00EF7E64"/>
    <w:rsid w:val="00F13EED"/>
    <w:rsid w:val="00F4732A"/>
    <w:rsid w:val="00F57319"/>
    <w:rsid w:val="00F65A75"/>
    <w:rsid w:val="00F66E55"/>
    <w:rsid w:val="00F74FAF"/>
    <w:rsid w:val="00F94566"/>
    <w:rsid w:val="00FA0399"/>
    <w:rsid w:val="00FA0E18"/>
    <w:rsid w:val="00FA50CE"/>
    <w:rsid w:val="00FC0CFD"/>
    <w:rsid w:val="00FC22DC"/>
    <w:rsid w:val="00FC332F"/>
    <w:rsid w:val="00FC48E3"/>
    <w:rsid w:val="00FD1036"/>
    <w:rsid w:val="00FD6A99"/>
    <w:rsid w:val="00FE7473"/>
    <w:rsid w:val="00FF0797"/>
    <w:rsid w:val="00FF0B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D5C3"/>
  <w15:docId w15:val="{319E81A8-3E39-4C15-973B-E1E118E4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31"/>
    <w:rPr>
      <w:rFonts w:ascii="Abadi Extra Light" w:hAnsi="Abadi Extra Light"/>
      <w:color w:val="404040" w:themeColor="text1" w:themeTint="BF"/>
      <w:sz w:val="28"/>
    </w:rPr>
  </w:style>
  <w:style w:type="paragraph" w:styleId="Heading1">
    <w:name w:val="heading 1"/>
    <w:basedOn w:val="Normal"/>
    <w:next w:val="Normal"/>
    <w:link w:val="Heading1Char"/>
    <w:uiPriority w:val="9"/>
    <w:qFormat/>
    <w:rsid w:val="00533610"/>
    <w:pPr>
      <w:keepNext/>
      <w:keepLines/>
      <w:pageBreakBefore/>
      <w:spacing w:before="240" w:after="0"/>
      <w:outlineLvl w:val="0"/>
    </w:pPr>
    <w:rPr>
      <w:rFonts w:eastAsiaTheme="majorEastAsia" w:cstheme="majorBidi"/>
      <w:bCs/>
      <w:color w:val="0072C6" w:themeColor="text2"/>
      <w:sz w:val="52"/>
      <w:szCs w:val="28"/>
    </w:rPr>
  </w:style>
  <w:style w:type="paragraph" w:styleId="Heading2">
    <w:name w:val="heading 2"/>
    <w:basedOn w:val="Normal"/>
    <w:next w:val="Normal"/>
    <w:link w:val="Heading2Char"/>
    <w:uiPriority w:val="9"/>
    <w:unhideWhenUsed/>
    <w:qFormat/>
    <w:rsid w:val="00533610"/>
    <w:pPr>
      <w:keepNext/>
      <w:keepLines/>
      <w:spacing w:before="200" w:after="0"/>
      <w:outlineLvl w:val="1"/>
    </w:pPr>
    <w:rPr>
      <w:rFonts w:eastAsiaTheme="majorEastAsia" w:cstheme="majorBidi"/>
      <w:bCs/>
      <w:color w:val="0072C6" w:themeColor="text2"/>
      <w:sz w:val="32"/>
      <w:szCs w:val="26"/>
    </w:rPr>
  </w:style>
  <w:style w:type="paragraph" w:styleId="Heading3">
    <w:name w:val="heading 3"/>
    <w:basedOn w:val="Normal"/>
    <w:next w:val="Normal"/>
    <w:link w:val="Heading3Char"/>
    <w:uiPriority w:val="9"/>
    <w:unhideWhenUsed/>
    <w:qFormat/>
    <w:rsid w:val="00533610"/>
    <w:pPr>
      <w:keepNext/>
      <w:keepLines/>
      <w:spacing w:before="40" w:after="0"/>
      <w:outlineLvl w:val="2"/>
    </w:pPr>
    <w:rPr>
      <w:rFonts w:eastAsiaTheme="majorEastAsia" w:cstheme="majorBidi"/>
      <w:color w:val="0072C6"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610"/>
    <w:rPr>
      <w:rFonts w:ascii="Abadi Extra Light" w:eastAsiaTheme="majorEastAsia" w:hAnsi="Abadi Extra Light" w:cstheme="majorBidi"/>
      <w:bCs/>
      <w:color w:val="0072C6" w:themeColor="text2"/>
      <w:sz w:val="52"/>
      <w:szCs w:val="28"/>
    </w:rPr>
  </w:style>
  <w:style w:type="character" w:customStyle="1" w:styleId="Heading2Char">
    <w:name w:val="Heading 2 Char"/>
    <w:basedOn w:val="DefaultParagraphFont"/>
    <w:link w:val="Heading2"/>
    <w:uiPriority w:val="9"/>
    <w:rsid w:val="00533610"/>
    <w:rPr>
      <w:rFonts w:ascii="Abadi Extra Light" w:eastAsiaTheme="majorEastAsia" w:hAnsi="Abadi Extra Light" w:cstheme="majorBidi"/>
      <w:bCs/>
      <w:color w:val="0072C6" w:themeColor="text2"/>
      <w:sz w:val="32"/>
      <w:szCs w:val="26"/>
    </w:rPr>
  </w:style>
  <w:style w:type="paragraph" w:styleId="Title">
    <w:name w:val="Title"/>
    <w:basedOn w:val="Normal"/>
    <w:next w:val="Normal"/>
    <w:link w:val="TitleChar"/>
    <w:uiPriority w:val="10"/>
    <w:qFormat/>
    <w:rsid w:val="00F13EED"/>
    <w:pPr>
      <w:pBdr>
        <w:bottom w:val="single" w:sz="8" w:space="4" w:color="006B54" w:themeColor="accent1"/>
      </w:pBdr>
      <w:spacing w:after="300" w:line="240" w:lineRule="auto"/>
      <w:contextualSpacing/>
    </w:pPr>
    <w:rPr>
      <w:rFonts w:eastAsiaTheme="majorEastAsia" w:cstheme="majorBidi"/>
      <w:color w:val="0072C6" w:themeColor="text2"/>
      <w:spacing w:val="5"/>
      <w:kern w:val="28"/>
      <w:sz w:val="52"/>
      <w:szCs w:val="52"/>
    </w:rPr>
  </w:style>
  <w:style w:type="character" w:customStyle="1" w:styleId="TitleChar">
    <w:name w:val="Title Char"/>
    <w:basedOn w:val="DefaultParagraphFont"/>
    <w:link w:val="Title"/>
    <w:uiPriority w:val="10"/>
    <w:rsid w:val="00F13EED"/>
    <w:rPr>
      <w:rFonts w:ascii="Abadi Extra Light" w:eastAsiaTheme="majorEastAsia" w:hAnsi="Abadi Extra Light" w:cstheme="majorBidi"/>
      <w:color w:val="0072C6" w:themeColor="text2"/>
      <w:spacing w:val="5"/>
      <w:kern w:val="28"/>
      <w:sz w:val="52"/>
      <w:szCs w:val="52"/>
    </w:rPr>
  </w:style>
  <w:style w:type="paragraph" w:styleId="Subtitle">
    <w:name w:val="Subtitle"/>
    <w:basedOn w:val="Normal"/>
    <w:next w:val="Normal"/>
    <w:link w:val="SubtitleChar"/>
    <w:uiPriority w:val="11"/>
    <w:qFormat/>
    <w:rsid w:val="00EA3E64"/>
    <w:pPr>
      <w:numPr>
        <w:ilvl w:val="1"/>
      </w:numPr>
    </w:pPr>
    <w:rPr>
      <w:rFonts w:asciiTheme="majorHAnsi" w:eastAsiaTheme="majorEastAsia" w:hAnsiTheme="majorHAnsi" w:cstheme="majorBidi"/>
      <w:i/>
      <w:iCs/>
      <w:color w:val="0072C6" w:themeColor="text2"/>
      <w:spacing w:val="15"/>
      <w:szCs w:val="24"/>
    </w:rPr>
  </w:style>
  <w:style w:type="character" w:customStyle="1" w:styleId="SubtitleChar">
    <w:name w:val="Subtitle Char"/>
    <w:basedOn w:val="DefaultParagraphFont"/>
    <w:link w:val="Subtitle"/>
    <w:uiPriority w:val="11"/>
    <w:rsid w:val="00EA3E64"/>
    <w:rPr>
      <w:rFonts w:asciiTheme="majorHAnsi" w:eastAsiaTheme="majorEastAsia" w:hAnsiTheme="majorHAnsi" w:cstheme="majorBidi"/>
      <w:i/>
      <w:iCs/>
      <w:color w:val="0072C6" w:themeColor="text2"/>
      <w:spacing w:val="15"/>
      <w:sz w:val="24"/>
      <w:szCs w:val="24"/>
    </w:rPr>
  </w:style>
  <w:style w:type="paragraph" w:styleId="Header">
    <w:name w:val="header"/>
    <w:basedOn w:val="Normal"/>
    <w:link w:val="HeaderChar"/>
    <w:uiPriority w:val="99"/>
    <w:unhideWhenUsed/>
    <w:rsid w:val="00344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A91"/>
    <w:rPr>
      <w:sz w:val="28"/>
    </w:rPr>
  </w:style>
  <w:style w:type="paragraph" w:styleId="Footer">
    <w:name w:val="footer"/>
    <w:basedOn w:val="Normal"/>
    <w:link w:val="FooterChar"/>
    <w:uiPriority w:val="99"/>
    <w:unhideWhenUsed/>
    <w:rsid w:val="00344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A91"/>
    <w:rPr>
      <w:sz w:val="28"/>
    </w:rPr>
  </w:style>
  <w:style w:type="paragraph" w:styleId="TOCHeading">
    <w:name w:val="TOC Heading"/>
    <w:basedOn w:val="Heading1"/>
    <w:next w:val="Normal"/>
    <w:uiPriority w:val="39"/>
    <w:unhideWhenUsed/>
    <w:qFormat/>
    <w:rsid w:val="000C10C6"/>
    <w:pPr>
      <w:spacing w:line="259" w:lineRule="auto"/>
      <w:outlineLvl w:val="9"/>
    </w:pPr>
    <w:rPr>
      <w:b/>
      <w:bCs w:val="0"/>
      <w:kern w:val="0"/>
      <w:sz w:val="32"/>
      <w:szCs w:val="32"/>
      <w:lang w:val="en-US"/>
      <w14:ligatures w14:val="none"/>
    </w:rPr>
  </w:style>
  <w:style w:type="paragraph" w:styleId="ListParagraph">
    <w:name w:val="List Paragraph"/>
    <w:basedOn w:val="Normal"/>
    <w:uiPriority w:val="34"/>
    <w:qFormat/>
    <w:rsid w:val="00982621"/>
    <w:pPr>
      <w:ind w:left="720"/>
      <w:contextualSpacing/>
    </w:pPr>
  </w:style>
  <w:style w:type="paragraph" w:styleId="TOC1">
    <w:name w:val="toc 1"/>
    <w:basedOn w:val="Normal"/>
    <w:next w:val="Normal"/>
    <w:autoRedefine/>
    <w:uiPriority w:val="39"/>
    <w:unhideWhenUsed/>
    <w:rsid w:val="00367D11"/>
    <w:pPr>
      <w:spacing w:after="100"/>
    </w:pPr>
  </w:style>
  <w:style w:type="character" w:styleId="Hyperlink">
    <w:name w:val="Hyperlink"/>
    <w:basedOn w:val="DefaultParagraphFont"/>
    <w:uiPriority w:val="99"/>
    <w:unhideWhenUsed/>
    <w:rsid w:val="00E327DE"/>
    <w:rPr>
      <w:b/>
      <w:color w:val="0072C6" w:themeColor="text2"/>
      <w:u w:val="none"/>
    </w:rPr>
  </w:style>
  <w:style w:type="character" w:customStyle="1" w:styleId="Heading3Char">
    <w:name w:val="Heading 3 Char"/>
    <w:basedOn w:val="DefaultParagraphFont"/>
    <w:link w:val="Heading3"/>
    <w:uiPriority w:val="9"/>
    <w:rsid w:val="00533610"/>
    <w:rPr>
      <w:rFonts w:ascii="Abadi Extra Light" w:eastAsiaTheme="majorEastAsia" w:hAnsi="Abadi Extra Light" w:cstheme="majorBidi"/>
      <w:color w:val="0072C6" w:themeColor="text2"/>
      <w:sz w:val="28"/>
      <w:szCs w:val="24"/>
    </w:rPr>
  </w:style>
  <w:style w:type="paragraph" w:styleId="TOC2">
    <w:name w:val="toc 2"/>
    <w:basedOn w:val="Normal"/>
    <w:next w:val="Normal"/>
    <w:autoRedefine/>
    <w:uiPriority w:val="39"/>
    <w:unhideWhenUsed/>
    <w:rsid w:val="008076BB"/>
    <w:pPr>
      <w:spacing w:after="100"/>
      <w:ind w:left="280"/>
    </w:pPr>
  </w:style>
  <w:style w:type="paragraph" w:styleId="TOC3">
    <w:name w:val="toc 3"/>
    <w:basedOn w:val="Normal"/>
    <w:next w:val="Normal"/>
    <w:autoRedefine/>
    <w:uiPriority w:val="39"/>
    <w:unhideWhenUsed/>
    <w:rsid w:val="008076BB"/>
    <w:pPr>
      <w:spacing w:after="100"/>
      <w:ind w:left="560"/>
    </w:pPr>
  </w:style>
  <w:style w:type="paragraph" w:customStyle="1" w:styleId="Appendixheading">
    <w:name w:val="Appendix heading"/>
    <w:basedOn w:val="Heading2"/>
    <w:qFormat/>
    <w:rsid w:val="00D0464A"/>
    <w:pPr>
      <w:pBdr>
        <w:bottom w:val="single" w:sz="4" w:space="1" w:color="0072C6" w:themeColor="text2"/>
      </w:pBdr>
    </w:pPr>
  </w:style>
  <w:style w:type="character" w:styleId="UnresolvedMention">
    <w:name w:val="Unresolved Mention"/>
    <w:basedOn w:val="DefaultParagraphFont"/>
    <w:uiPriority w:val="99"/>
    <w:semiHidden/>
    <w:unhideWhenUsed/>
    <w:rsid w:val="0025369F"/>
    <w:rPr>
      <w:color w:val="605E5C"/>
      <w:shd w:val="clear" w:color="auto" w:fill="E1DFDD"/>
    </w:rPr>
  </w:style>
  <w:style w:type="character" w:styleId="FollowedHyperlink">
    <w:name w:val="FollowedHyperlink"/>
    <w:basedOn w:val="DefaultParagraphFont"/>
    <w:uiPriority w:val="99"/>
    <w:semiHidden/>
    <w:unhideWhenUsed/>
    <w:rsid w:val="00E327DE"/>
    <w:rPr>
      <w:b/>
      <w:color w:val="0072C6" w:themeColor="text2"/>
      <w:u w:val="none"/>
    </w:rPr>
  </w:style>
  <w:style w:type="paragraph" w:styleId="FootnoteText">
    <w:name w:val="footnote text"/>
    <w:basedOn w:val="Normal"/>
    <w:link w:val="FootnoteTextChar"/>
    <w:uiPriority w:val="99"/>
    <w:semiHidden/>
    <w:unhideWhenUsed/>
    <w:rsid w:val="005656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63A"/>
    <w:rPr>
      <w:rFonts w:ascii="Abadi Extra Light" w:hAnsi="Abadi Extra Light"/>
      <w:sz w:val="20"/>
      <w:szCs w:val="20"/>
    </w:rPr>
  </w:style>
  <w:style w:type="character" w:styleId="FootnoteReference">
    <w:name w:val="footnote reference"/>
    <w:basedOn w:val="DefaultParagraphFont"/>
    <w:uiPriority w:val="99"/>
    <w:semiHidden/>
    <w:unhideWhenUsed/>
    <w:rsid w:val="0056563A"/>
    <w:rPr>
      <w:vertAlign w:val="superscript"/>
    </w:rPr>
  </w:style>
  <w:style w:type="character" w:customStyle="1" w:styleId="Highlight">
    <w:name w:val="Highlight"/>
    <w:basedOn w:val="DefaultParagraphFont"/>
    <w:uiPriority w:val="1"/>
    <w:qFormat/>
    <w:rsid w:val="00F66E55"/>
    <w:rPr>
      <w:rFonts w:ascii="Abadi" w:hAnsi="Abadi"/>
    </w:rPr>
  </w:style>
  <w:style w:type="paragraph" w:customStyle="1" w:styleId="Purplehighlight">
    <w:name w:val="Purple highlight"/>
    <w:basedOn w:val="Normal"/>
    <w:link w:val="PurplehighlightChar"/>
    <w:qFormat/>
    <w:rsid w:val="00FD6A99"/>
    <w:rPr>
      <w:rFonts w:ascii="Abadi" w:hAnsi="Abadi"/>
      <w:color w:val="56008C" w:themeColor="accent4"/>
    </w:rPr>
  </w:style>
  <w:style w:type="character" w:customStyle="1" w:styleId="PurplehighlightChar">
    <w:name w:val="Purple highlight Char"/>
    <w:basedOn w:val="DefaultParagraphFont"/>
    <w:link w:val="Purplehighlight"/>
    <w:rsid w:val="00FD6A99"/>
    <w:rPr>
      <w:rFonts w:ascii="Abadi" w:hAnsi="Abadi"/>
      <w:color w:val="56008C" w:themeColor="accent4"/>
      <w:sz w:val="28"/>
    </w:rPr>
  </w:style>
  <w:style w:type="table" w:styleId="TableGrid">
    <w:name w:val="Table Grid"/>
    <w:basedOn w:val="TableNormal"/>
    <w:uiPriority w:val="39"/>
    <w:rsid w:val="000A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B5306"/>
    <w:pPr>
      <w:spacing w:line="240" w:lineRule="auto"/>
    </w:pPr>
    <w:rPr>
      <w:i/>
      <w:iCs/>
      <w:color w:val="0072C6" w:themeColor="text2"/>
      <w:sz w:val="18"/>
      <w:szCs w:val="18"/>
    </w:rPr>
  </w:style>
  <w:style w:type="paragraph" w:styleId="Revision">
    <w:name w:val="Revision"/>
    <w:hidden/>
    <w:uiPriority w:val="99"/>
    <w:semiHidden/>
    <w:rsid w:val="00096BAA"/>
    <w:pPr>
      <w:spacing w:after="0" w:line="240" w:lineRule="auto"/>
    </w:pPr>
    <w:rPr>
      <w:rFonts w:ascii="Abadi Extra Light" w:hAnsi="Abadi Extra Light"/>
      <w:color w:val="404040" w:themeColor="text1" w:themeTint="BF"/>
      <w:sz w:val="28"/>
    </w:rPr>
  </w:style>
  <w:style w:type="character" w:styleId="CommentReference">
    <w:name w:val="annotation reference"/>
    <w:basedOn w:val="DefaultParagraphFont"/>
    <w:uiPriority w:val="99"/>
    <w:semiHidden/>
    <w:unhideWhenUsed/>
    <w:rsid w:val="00096BAA"/>
    <w:rPr>
      <w:sz w:val="16"/>
      <w:szCs w:val="16"/>
    </w:rPr>
  </w:style>
  <w:style w:type="paragraph" w:styleId="CommentText">
    <w:name w:val="annotation text"/>
    <w:basedOn w:val="Normal"/>
    <w:link w:val="CommentTextChar"/>
    <w:uiPriority w:val="99"/>
    <w:unhideWhenUsed/>
    <w:rsid w:val="00096BAA"/>
    <w:pPr>
      <w:spacing w:line="240" w:lineRule="auto"/>
    </w:pPr>
    <w:rPr>
      <w:sz w:val="20"/>
      <w:szCs w:val="20"/>
    </w:rPr>
  </w:style>
  <w:style w:type="character" w:customStyle="1" w:styleId="CommentTextChar">
    <w:name w:val="Comment Text Char"/>
    <w:basedOn w:val="DefaultParagraphFont"/>
    <w:link w:val="CommentText"/>
    <w:uiPriority w:val="99"/>
    <w:rsid w:val="00096BAA"/>
    <w:rPr>
      <w:rFonts w:ascii="Abadi Extra Light" w:hAnsi="Abadi Extra Light"/>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096BAA"/>
    <w:rPr>
      <w:b/>
      <w:bCs/>
    </w:rPr>
  </w:style>
  <w:style w:type="character" w:customStyle="1" w:styleId="CommentSubjectChar">
    <w:name w:val="Comment Subject Char"/>
    <w:basedOn w:val="CommentTextChar"/>
    <w:link w:val="CommentSubject"/>
    <w:uiPriority w:val="99"/>
    <w:semiHidden/>
    <w:rsid w:val="00096BAA"/>
    <w:rPr>
      <w:rFonts w:ascii="Abadi Extra Light" w:hAnsi="Abadi Extra Light"/>
      <w:b/>
      <w:bCs/>
      <w:color w:val="404040" w:themeColor="text1" w:themeTint="BF"/>
      <w:sz w:val="20"/>
      <w:szCs w:val="20"/>
    </w:rPr>
  </w:style>
  <w:style w:type="paragraph" w:customStyle="1" w:styleId="Objective">
    <w:name w:val="Objective"/>
    <w:basedOn w:val="Heading3"/>
    <w:next w:val="Normal"/>
    <w:link w:val="ObjectiveChar"/>
    <w:qFormat/>
    <w:rsid w:val="00E45FCC"/>
    <w:pPr>
      <w:numPr>
        <w:numId w:val="12"/>
      </w:numPr>
      <w:spacing w:before="240" w:line="259" w:lineRule="auto"/>
      <w:ind w:left="1559" w:hanging="1559"/>
    </w:pPr>
    <w:rPr>
      <w:rFonts w:asciiTheme="majorHAnsi" w:hAnsiTheme="majorHAnsi"/>
      <w:b/>
      <w:color w:val="003529" w:themeColor="accent1" w:themeShade="7F"/>
      <w:sz w:val="24"/>
    </w:rPr>
  </w:style>
  <w:style w:type="character" w:customStyle="1" w:styleId="ObjectiveChar">
    <w:name w:val="Objective Char"/>
    <w:basedOn w:val="Heading3Char"/>
    <w:link w:val="Objective"/>
    <w:rsid w:val="00E45FCC"/>
    <w:rPr>
      <w:rFonts w:asciiTheme="majorHAnsi" w:eastAsiaTheme="majorEastAsia" w:hAnsiTheme="majorHAnsi" w:cstheme="majorBidi"/>
      <w:b/>
      <w:color w:val="00352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vgsilh.com/9c27b0/tag/equality-2.htm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ebarchive.nationalarchives.gov.uk/ukgwa/20250310143933/https:/cass.independent-review.uk/home/publications/fin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nhssomerset.nhs.uk/news/document/equality-objectives-2025-2026/"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68097FCB5433C9871C5F6D7FB6B5E"/>
        <w:category>
          <w:name w:val="General"/>
          <w:gallery w:val="placeholder"/>
        </w:category>
        <w:types>
          <w:type w:val="bbPlcHdr"/>
        </w:types>
        <w:behaviors>
          <w:behavior w:val="content"/>
        </w:behaviors>
        <w:guid w:val="{606873BC-A13A-4E9C-8D31-EEAFAFFB8E8E}"/>
      </w:docPartPr>
      <w:docPartBody>
        <w:p w:rsidR="0011032B" w:rsidRDefault="00FF3EEF" w:rsidP="00FF3EEF">
          <w:pPr>
            <w:pStyle w:val="98068097FCB5433C9871C5F6D7FB6B5E"/>
          </w:pPr>
          <w:r w:rsidRPr="007E2EA0">
            <w:rPr>
              <w:rStyle w:val="PlaceholderText"/>
            </w:rPr>
            <w:t>Click or tap to enter a date.</w:t>
          </w:r>
        </w:p>
      </w:docPartBody>
    </w:docPart>
    <w:docPart>
      <w:docPartPr>
        <w:name w:val="757AA134FB7B4BF1AD686C6293AA6738"/>
        <w:category>
          <w:name w:val="General"/>
          <w:gallery w:val="placeholder"/>
        </w:category>
        <w:types>
          <w:type w:val="bbPlcHdr"/>
        </w:types>
        <w:behaviors>
          <w:behavior w:val="content"/>
        </w:behaviors>
        <w:guid w:val="{3838525E-9152-4185-8814-0F76542E4043}"/>
      </w:docPartPr>
      <w:docPartBody>
        <w:p w:rsidR="0011032B" w:rsidRDefault="00FF3EEF" w:rsidP="00FF3EEF">
          <w:pPr>
            <w:pStyle w:val="757AA134FB7B4BF1AD686C6293AA6738"/>
          </w:pPr>
          <w:r w:rsidRPr="007E2EA0">
            <w:rPr>
              <w:rStyle w:val="PlaceholderText"/>
            </w:rPr>
            <w:t>Click or tap to enter a date.</w:t>
          </w:r>
        </w:p>
      </w:docPartBody>
    </w:docPart>
    <w:docPart>
      <w:docPartPr>
        <w:name w:val="F58C130EA157490FB5B7AC3C8285DA40"/>
        <w:category>
          <w:name w:val="General"/>
          <w:gallery w:val="placeholder"/>
        </w:category>
        <w:types>
          <w:type w:val="bbPlcHdr"/>
        </w:types>
        <w:behaviors>
          <w:behavior w:val="content"/>
        </w:behaviors>
        <w:guid w:val="{C062E0F2-E3FC-45B7-ACB7-195909D79869}"/>
      </w:docPartPr>
      <w:docPartBody>
        <w:p w:rsidR="0011032B" w:rsidRDefault="00FF3EEF" w:rsidP="00FF3EEF">
          <w:pPr>
            <w:pStyle w:val="F58C130EA157490FB5B7AC3C8285DA40"/>
          </w:pPr>
          <w:r w:rsidRPr="007E2EA0">
            <w:rPr>
              <w:rStyle w:val="PlaceholderText"/>
            </w:rPr>
            <w:t>Click or tap to enter a date.</w:t>
          </w:r>
        </w:p>
      </w:docPartBody>
    </w:docPart>
    <w:docPart>
      <w:docPartPr>
        <w:name w:val="B0C15ED0F65846EDBDDC90B6534427E3"/>
        <w:category>
          <w:name w:val="General"/>
          <w:gallery w:val="placeholder"/>
        </w:category>
        <w:types>
          <w:type w:val="bbPlcHdr"/>
        </w:types>
        <w:behaviors>
          <w:behavior w:val="content"/>
        </w:behaviors>
        <w:guid w:val="{AAE3D9B4-0570-4623-9DFB-481FFA9249B4}"/>
      </w:docPartPr>
      <w:docPartBody>
        <w:p w:rsidR="0011032B" w:rsidRDefault="00FF3EEF" w:rsidP="00FF3EEF">
          <w:pPr>
            <w:pStyle w:val="B0C15ED0F65846EDBDDC90B6534427E3"/>
          </w:pPr>
          <w:r w:rsidRPr="007E2E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EF"/>
    <w:rsid w:val="000D5CA8"/>
    <w:rsid w:val="0011032B"/>
    <w:rsid w:val="007B3316"/>
    <w:rsid w:val="00D22A96"/>
    <w:rsid w:val="00EA284B"/>
    <w:rsid w:val="00F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EEF"/>
    <w:rPr>
      <w:color w:val="666666"/>
    </w:rPr>
  </w:style>
  <w:style w:type="paragraph" w:customStyle="1" w:styleId="98068097FCB5433C9871C5F6D7FB6B5E">
    <w:name w:val="98068097FCB5433C9871C5F6D7FB6B5E"/>
    <w:rsid w:val="00FF3EEF"/>
  </w:style>
  <w:style w:type="paragraph" w:customStyle="1" w:styleId="757AA134FB7B4BF1AD686C6293AA6738">
    <w:name w:val="757AA134FB7B4BF1AD686C6293AA6738"/>
    <w:rsid w:val="00FF3EEF"/>
  </w:style>
  <w:style w:type="paragraph" w:customStyle="1" w:styleId="F58C130EA157490FB5B7AC3C8285DA40">
    <w:name w:val="F58C130EA157490FB5B7AC3C8285DA40"/>
    <w:rsid w:val="00FF3EEF"/>
  </w:style>
  <w:style w:type="paragraph" w:customStyle="1" w:styleId="B0C15ED0F65846EDBDDC90B6534427E3">
    <w:name w:val="B0C15ED0F65846EDBDDC90B6534427E3"/>
    <w:rsid w:val="00FF3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New">
  <a:themeElements>
    <a:clrScheme name="NHS(1)">
      <a:dk1>
        <a:sysClr val="windowText" lastClr="000000"/>
      </a:dk1>
      <a:lt1>
        <a:sysClr val="window" lastClr="FFFFFF"/>
      </a:lt1>
      <a:dk2>
        <a:srgbClr val="0072C6"/>
      </a:dk2>
      <a:lt2>
        <a:srgbClr val="FFFFFF"/>
      </a:lt2>
      <a:accent1>
        <a:srgbClr val="006B54"/>
      </a:accent1>
      <a:accent2>
        <a:srgbClr val="00ADC6"/>
      </a:accent2>
      <a:accent3>
        <a:srgbClr val="5BBF21"/>
      </a:accent3>
      <a:accent4>
        <a:srgbClr val="56008C"/>
      </a:accent4>
      <a:accent5>
        <a:srgbClr val="D81E05"/>
      </a:accent5>
      <a:accent6>
        <a:srgbClr val="E28C05"/>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2CC34A-FC90-4829-A8B0-8BA01F63A835}">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9A652D6ED9F4FA4CE1003F537046B" ma:contentTypeVersion="4" ma:contentTypeDescription="Create a new document." ma:contentTypeScope="" ma:versionID="4c1e508bb10d70e5b4e885c56e8dd460">
  <xsd:schema xmlns:xsd="http://www.w3.org/2001/XMLSchema" xmlns:xs="http://www.w3.org/2001/XMLSchema" xmlns:p="http://schemas.microsoft.com/office/2006/metadata/properties" xmlns:ns2="38ec6dd4-1290-4e8d-b84f-289a36806cfa" targetNamespace="http://schemas.microsoft.com/office/2006/metadata/properties" ma:root="true" ma:fieldsID="f8c7908c50a7878a7516fe9618687e94" ns2:_="">
    <xsd:import namespace="38ec6dd4-1290-4e8d-b84f-289a36806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6dd4-1290-4e8d-b84f-289a36806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5E87D-4994-4B5B-B32D-AC46D51AD41E}">
  <ds:schemaRefs>
    <ds:schemaRef ds:uri="http://schemas.microsoft.com/sharepoint/v3/contenttype/forms"/>
  </ds:schemaRefs>
</ds:datastoreItem>
</file>

<file path=customXml/itemProps2.xml><?xml version="1.0" encoding="utf-8"?>
<ds:datastoreItem xmlns:ds="http://schemas.openxmlformats.org/officeDocument/2006/customXml" ds:itemID="{A34C00D6-8F9D-4EA1-85CC-730EA148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6dd4-1290-4e8d-b84f-289a36806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44D8C-20C3-4138-A916-8FA2A4075D6C}">
  <ds:schemaRefs>
    <ds:schemaRef ds:uri="http://purl.org/dc/term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38ec6dd4-1290-4e8d-b84f-289a36806cfa"/>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D34C864-2E55-4239-B058-414C30FA324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Lee (Somerset CCG)</dc:creator>
  <cp:keywords/>
  <dc:description/>
  <cp:lastModifiedBy>REED, Lee (NHS SOMERSET ICB - 11X)</cp:lastModifiedBy>
  <cp:revision>2</cp:revision>
  <dcterms:created xsi:type="dcterms:W3CDTF">2025-11-18T16:05:00Z</dcterms:created>
  <dcterms:modified xsi:type="dcterms:W3CDTF">2025-11-18T16:05:00Z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0x0101008CA9A652D6ED9F4FA4CE1003F537046B</vt:lpwstr>
  </property>
</Properties>
</file>