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F34E" w14:textId="77777777" w:rsidR="00543749" w:rsidRDefault="00543749" w:rsidP="00732594">
      <w:pPr>
        <w:spacing w:after="0" w:line="240" w:lineRule="auto"/>
        <w:jc w:val="center"/>
        <w:rPr>
          <w:rFonts w:ascii="Arial" w:hAnsi="Arial" w:cs="Arial"/>
          <w:b/>
          <w:bCs/>
          <w:sz w:val="24"/>
          <w:szCs w:val="24"/>
          <w:u w:val="single"/>
        </w:rPr>
      </w:pPr>
    </w:p>
    <w:p w14:paraId="1AB8D35A" w14:textId="77777777" w:rsidR="00813855" w:rsidRDefault="00813855" w:rsidP="00732594">
      <w:pPr>
        <w:spacing w:after="0" w:line="240" w:lineRule="auto"/>
        <w:jc w:val="center"/>
        <w:rPr>
          <w:rFonts w:ascii="Arial" w:hAnsi="Arial" w:cs="Arial"/>
          <w:b/>
          <w:bCs/>
          <w:sz w:val="24"/>
          <w:szCs w:val="24"/>
          <w:u w:val="single"/>
        </w:rPr>
      </w:pPr>
    </w:p>
    <w:p w14:paraId="3F90D945" w14:textId="77777777" w:rsidR="00813855" w:rsidRDefault="00813855" w:rsidP="00732594">
      <w:pPr>
        <w:spacing w:after="0" w:line="240" w:lineRule="auto"/>
        <w:jc w:val="center"/>
        <w:rPr>
          <w:rFonts w:ascii="Arial" w:hAnsi="Arial" w:cs="Arial"/>
          <w:b/>
          <w:bCs/>
          <w:sz w:val="24"/>
          <w:szCs w:val="24"/>
          <w:u w:val="single"/>
        </w:rPr>
      </w:pPr>
    </w:p>
    <w:p w14:paraId="32EC0109" w14:textId="77777777" w:rsidR="00813855" w:rsidRDefault="00813855" w:rsidP="00732594">
      <w:pPr>
        <w:spacing w:after="0" w:line="240" w:lineRule="auto"/>
        <w:jc w:val="center"/>
        <w:rPr>
          <w:rFonts w:ascii="Arial" w:hAnsi="Arial" w:cs="Arial"/>
          <w:b/>
          <w:bCs/>
          <w:sz w:val="24"/>
          <w:szCs w:val="24"/>
          <w:u w:val="single"/>
        </w:rPr>
      </w:pPr>
    </w:p>
    <w:p w14:paraId="22F08F5D" w14:textId="77777777" w:rsidR="00543749" w:rsidRDefault="00543749" w:rsidP="00732594">
      <w:pPr>
        <w:spacing w:after="0" w:line="240" w:lineRule="auto"/>
        <w:jc w:val="center"/>
        <w:rPr>
          <w:rFonts w:ascii="Arial" w:hAnsi="Arial" w:cs="Arial"/>
          <w:b/>
          <w:bCs/>
          <w:sz w:val="24"/>
          <w:szCs w:val="24"/>
          <w:u w:val="single"/>
        </w:rPr>
      </w:pPr>
    </w:p>
    <w:p w14:paraId="01B89524" w14:textId="77777777" w:rsidR="00732594" w:rsidRDefault="00732594" w:rsidP="00732594">
      <w:pPr>
        <w:spacing w:after="0" w:line="240" w:lineRule="auto"/>
        <w:jc w:val="center"/>
        <w:rPr>
          <w:rFonts w:ascii="Arial" w:hAnsi="Arial" w:cs="Arial"/>
          <w:b/>
          <w:bCs/>
          <w:sz w:val="24"/>
          <w:szCs w:val="24"/>
          <w:u w:val="single"/>
        </w:rPr>
      </w:pPr>
      <w:r w:rsidRPr="00732594">
        <w:rPr>
          <w:rFonts w:ascii="Arial" w:hAnsi="Arial" w:cs="Arial"/>
          <w:b/>
          <w:bCs/>
          <w:sz w:val="24"/>
          <w:szCs w:val="24"/>
          <w:u w:val="single"/>
        </w:rPr>
        <w:t>Transdermal fentanyl suggested tapering regime</w:t>
      </w:r>
    </w:p>
    <w:p w14:paraId="213E3BF4" w14:textId="77777777" w:rsidR="00732594" w:rsidRDefault="00732594" w:rsidP="00732594">
      <w:pPr>
        <w:spacing w:after="0" w:line="240" w:lineRule="auto"/>
        <w:jc w:val="center"/>
        <w:rPr>
          <w:rFonts w:ascii="Arial" w:hAnsi="Arial" w:cs="Arial"/>
          <w:sz w:val="24"/>
          <w:szCs w:val="24"/>
        </w:rPr>
      </w:pPr>
    </w:p>
    <w:p w14:paraId="6B8ECA1F" w14:textId="77777777" w:rsidR="00813855" w:rsidRPr="00732594" w:rsidRDefault="00813855" w:rsidP="00732594">
      <w:pPr>
        <w:spacing w:after="0" w:line="240" w:lineRule="auto"/>
        <w:jc w:val="center"/>
        <w:rPr>
          <w:rFonts w:ascii="Arial" w:hAnsi="Arial" w:cs="Arial"/>
          <w:sz w:val="24"/>
          <w:szCs w:val="24"/>
        </w:rPr>
      </w:pPr>
    </w:p>
    <w:p w14:paraId="5FECE6DE" w14:textId="77777777" w:rsidR="00732594" w:rsidRDefault="00732594" w:rsidP="00732594">
      <w:pPr>
        <w:spacing w:after="0" w:line="240" w:lineRule="auto"/>
        <w:rPr>
          <w:rFonts w:ascii="Arial" w:hAnsi="Arial" w:cs="Arial"/>
          <w:sz w:val="24"/>
          <w:szCs w:val="24"/>
        </w:rPr>
      </w:pPr>
      <w:r w:rsidRPr="00732594">
        <w:rPr>
          <w:rFonts w:ascii="Arial" w:hAnsi="Arial" w:cs="Arial"/>
          <w:sz w:val="24"/>
          <w:szCs w:val="24"/>
        </w:rPr>
        <w:t>This document is to be used in conjunction with the following guidance document: </w:t>
      </w:r>
    </w:p>
    <w:p w14:paraId="1E61CA29" w14:textId="77777777" w:rsidR="00732594" w:rsidRDefault="00732594" w:rsidP="00732594">
      <w:pPr>
        <w:spacing w:after="0" w:line="240" w:lineRule="auto"/>
        <w:rPr>
          <w:rFonts w:ascii="Arial" w:hAnsi="Arial" w:cs="Arial"/>
          <w:sz w:val="24"/>
          <w:szCs w:val="24"/>
        </w:rPr>
      </w:pPr>
    </w:p>
    <w:p w14:paraId="289555DF" w14:textId="3C527B4B" w:rsidR="00732594" w:rsidRPr="00385564" w:rsidRDefault="00BA47DE" w:rsidP="00732594">
      <w:pPr>
        <w:spacing w:after="0" w:line="240" w:lineRule="auto"/>
        <w:rPr>
          <w:rFonts w:ascii="Arial" w:hAnsi="Arial" w:cs="Arial"/>
          <w:i/>
          <w:iCs/>
          <w:sz w:val="24"/>
          <w:szCs w:val="24"/>
        </w:rPr>
      </w:pPr>
      <w:hyperlink r:id="rId7" w:history="1">
        <w:r w:rsidR="00732594" w:rsidRPr="00385564">
          <w:rPr>
            <w:rStyle w:val="Hyperlink"/>
            <w:rFonts w:ascii="Arial" w:hAnsi="Arial" w:cs="Arial"/>
            <w:b/>
            <w:bCs/>
            <w:i/>
            <w:iCs/>
            <w:sz w:val="24"/>
            <w:szCs w:val="24"/>
            <w:u w:val="none"/>
          </w:rPr>
          <w:t>Analgesic Tapering Guidelines</w:t>
        </w:r>
        <w:r w:rsidR="00732594" w:rsidRPr="00385564">
          <w:rPr>
            <w:rStyle w:val="Hyperlink"/>
            <w:rFonts w:ascii="Arial" w:hAnsi="Arial" w:cs="Arial"/>
            <w:i/>
            <w:iCs/>
            <w:sz w:val="24"/>
            <w:szCs w:val="24"/>
            <w:u w:val="none"/>
          </w:rPr>
          <w:t> </w:t>
        </w:r>
        <w:r w:rsidR="00732594" w:rsidRPr="00385564">
          <w:rPr>
            <w:rStyle w:val="Hyperlink"/>
            <w:rFonts w:ascii="Arial" w:hAnsi="Arial" w:cs="Arial"/>
            <w:b/>
            <w:bCs/>
            <w:i/>
            <w:iCs/>
            <w:sz w:val="24"/>
            <w:szCs w:val="24"/>
            <w:u w:val="none"/>
          </w:rPr>
          <w:t>For adult patients with persistent pain patients taking strong opioids and/or gabapentinoids</w:t>
        </w:r>
      </w:hyperlink>
    </w:p>
    <w:p w14:paraId="040C10BA" w14:textId="77777777" w:rsidR="00732594" w:rsidRPr="00732594" w:rsidRDefault="00732594" w:rsidP="00732594">
      <w:pPr>
        <w:spacing w:after="0" w:line="240" w:lineRule="auto"/>
        <w:rPr>
          <w:rFonts w:ascii="Arial" w:hAnsi="Arial" w:cs="Arial"/>
          <w:sz w:val="24"/>
          <w:szCs w:val="24"/>
        </w:rPr>
      </w:pPr>
    </w:p>
    <w:p w14:paraId="5DEA5256" w14:textId="77777777" w:rsidR="00732594" w:rsidRDefault="00732594" w:rsidP="00732594">
      <w:pPr>
        <w:spacing w:after="0" w:line="240" w:lineRule="auto"/>
        <w:rPr>
          <w:rFonts w:ascii="Arial" w:hAnsi="Arial" w:cs="Arial"/>
          <w:sz w:val="24"/>
          <w:szCs w:val="24"/>
        </w:rPr>
      </w:pPr>
      <w:r w:rsidRPr="00732594">
        <w:rPr>
          <w:rFonts w:ascii="Arial" w:hAnsi="Arial" w:cs="Arial"/>
          <w:sz w:val="24"/>
          <w:szCs w:val="24"/>
        </w:rPr>
        <w:t>As with all opioids, the dose used should be the lowest possible for benefit, for the shortest possible time.  </w:t>
      </w:r>
    </w:p>
    <w:p w14:paraId="016591E0" w14:textId="77777777" w:rsidR="00543749" w:rsidRDefault="00543749" w:rsidP="00732594">
      <w:pPr>
        <w:spacing w:after="0" w:line="240" w:lineRule="auto"/>
        <w:rPr>
          <w:rFonts w:ascii="Arial" w:hAnsi="Arial" w:cs="Arial"/>
          <w:sz w:val="24"/>
          <w:szCs w:val="24"/>
        </w:rPr>
      </w:pPr>
    </w:p>
    <w:p w14:paraId="3099EFAE" w14:textId="77777777" w:rsidR="00732594" w:rsidRDefault="00732594" w:rsidP="00732594">
      <w:pPr>
        <w:spacing w:after="0" w:line="240" w:lineRule="auto"/>
        <w:rPr>
          <w:rFonts w:ascii="Arial" w:hAnsi="Arial" w:cs="Arial"/>
          <w:sz w:val="24"/>
          <w:szCs w:val="24"/>
        </w:rPr>
      </w:pPr>
      <w:r w:rsidRPr="00732594">
        <w:rPr>
          <w:rFonts w:ascii="Arial" w:hAnsi="Arial" w:cs="Arial"/>
          <w:sz w:val="24"/>
          <w:szCs w:val="24"/>
        </w:rPr>
        <w:t>Long term use of opioids in non-malignant pain (longer than 3 months) carries an increased risk of dependence and addiction, so at the end of treatment the dosage should be tapered slowly to reduce the risk of withdrawal effects; tapering from a high dose may take weeks or months.  </w:t>
      </w:r>
    </w:p>
    <w:p w14:paraId="1C8CAD9F" w14:textId="77777777" w:rsidR="00C711FA" w:rsidRPr="008264D6" w:rsidRDefault="00C711FA" w:rsidP="00732594">
      <w:pPr>
        <w:spacing w:after="0" w:line="240" w:lineRule="auto"/>
        <w:rPr>
          <w:rFonts w:ascii="Arial" w:hAnsi="Arial" w:cs="Arial"/>
          <w:sz w:val="16"/>
          <w:szCs w:val="16"/>
        </w:rPr>
      </w:pPr>
    </w:p>
    <w:p w14:paraId="5BED6FB5" w14:textId="77777777" w:rsidR="00732594" w:rsidRDefault="00993A62" w:rsidP="00732594">
      <w:pPr>
        <w:spacing w:after="0" w:line="240" w:lineRule="auto"/>
        <w:rPr>
          <w:rFonts w:ascii="Arial" w:hAnsi="Arial" w:cs="Arial"/>
          <w:sz w:val="24"/>
          <w:szCs w:val="24"/>
        </w:rPr>
      </w:pPr>
      <w:r w:rsidRPr="00993A62">
        <w:rPr>
          <w:rFonts w:ascii="Arial" w:hAnsi="Arial" w:cs="Arial"/>
          <w:sz w:val="24"/>
          <w:szCs w:val="24"/>
        </w:rPr>
        <w:t>A f</w:t>
      </w:r>
      <w:r w:rsidR="00732594" w:rsidRPr="00993A62">
        <w:rPr>
          <w:rFonts w:ascii="Arial" w:hAnsi="Arial" w:cs="Arial"/>
          <w:sz w:val="24"/>
          <w:szCs w:val="24"/>
        </w:rPr>
        <w:t xml:space="preserve">entanyl 12micrograms/hour </w:t>
      </w:r>
      <w:r w:rsidRPr="00993A62">
        <w:rPr>
          <w:rFonts w:ascii="Arial" w:hAnsi="Arial" w:cs="Arial"/>
          <w:sz w:val="24"/>
          <w:szCs w:val="24"/>
        </w:rPr>
        <w:t xml:space="preserve">patch </w:t>
      </w:r>
      <w:r w:rsidR="00732594" w:rsidRPr="00993A62">
        <w:rPr>
          <w:rFonts w:ascii="Arial" w:hAnsi="Arial" w:cs="Arial"/>
          <w:sz w:val="24"/>
          <w:szCs w:val="24"/>
        </w:rPr>
        <w:t xml:space="preserve">is approximately equivalent to </w:t>
      </w:r>
      <w:r w:rsidR="008264D6" w:rsidRPr="00993A62">
        <w:rPr>
          <w:rFonts w:ascii="Arial" w:hAnsi="Arial" w:cs="Arial"/>
          <w:sz w:val="24"/>
          <w:szCs w:val="24"/>
        </w:rPr>
        <w:t>30</w:t>
      </w:r>
      <w:r w:rsidR="00732594" w:rsidRPr="00993A62">
        <w:rPr>
          <w:rFonts w:ascii="Arial" w:hAnsi="Arial" w:cs="Arial"/>
          <w:sz w:val="24"/>
          <w:szCs w:val="24"/>
        </w:rPr>
        <w:t>mg of oral morphine</w:t>
      </w:r>
      <w:r w:rsidRPr="00993A62">
        <w:rPr>
          <w:rFonts w:ascii="Arial" w:hAnsi="Arial" w:cs="Arial"/>
          <w:sz w:val="24"/>
          <w:szCs w:val="24"/>
        </w:rPr>
        <w:t xml:space="preserve"> per day.</w:t>
      </w:r>
      <w:r w:rsidR="008264D6" w:rsidRPr="00993A62">
        <w:rPr>
          <w:rFonts w:ascii="Arial" w:hAnsi="Arial" w:cs="Arial"/>
          <w:sz w:val="24"/>
          <w:szCs w:val="24"/>
          <w:vertAlign w:val="superscript"/>
        </w:rPr>
        <w:t>1</w:t>
      </w:r>
      <w:r w:rsidR="00732594" w:rsidRPr="00732594">
        <w:rPr>
          <w:rFonts w:ascii="Arial" w:hAnsi="Arial" w:cs="Arial"/>
          <w:sz w:val="24"/>
          <w:szCs w:val="24"/>
        </w:rPr>
        <w:t> </w:t>
      </w:r>
    </w:p>
    <w:p w14:paraId="3EE36B20" w14:textId="77777777" w:rsidR="00C711FA" w:rsidRPr="008264D6" w:rsidRDefault="00C711FA" w:rsidP="00732594">
      <w:pPr>
        <w:spacing w:after="0" w:line="240" w:lineRule="auto"/>
        <w:rPr>
          <w:rFonts w:ascii="Arial" w:hAnsi="Arial" w:cs="Arial"/>
          <w:sz w:val="16"/>
          <w:szCs w:val="16"/>
        </w:rPr>
      </w:pPr>
    </w:p>
    <w:p w14:paraId="3591903B" w14:textId="77777777" w:rsidR="00732594" w:rsidRPr="00732594" w:rsidRDefault="00732594" w:rsidP="00732594">
      <w:pPr>
        <w:spacing w:after="0" w:line="240" w:lineRule="auto"/>
        <w:rPr>
          <w:rFonts w:ascii="Arial" w:hAnsi="Arial" w:cs="Arial"/>
          <w:sz w:val="24"/>
          <w:szCs w:val="24"/>
        </w:rPr>
      </w:pPr>
      <w:r w:rsidRPr="00732594">
        <w:rPr>
          <w:rFonts w:ascii="Arial" w:hAnsi="Arial" w:cs="Arial"/>
          <w:sz w:val="24"/>
          <w:szCs w:val="24"/>
        </w:rPr>
        <w:t>Dose changes should be individualised to the person and not made more frequently than </w:t>
      </w:r>
      <w:r w:rsidRPr="00732594">
        <w:rPr>
          <w:rFonts w:ascii="Arial" w:hAnsi="Arial" w:cs="Arial"/>
          <w:b/>
          <w:bCs/>
          <w:sz w:val="24"/>
          <w:szCs w:val="24"/>
        </w:rPr>
        <w:t xml:space="preserve">every </w:t>
      </w:r>
      <w:r w:rsidR="00763A8D">
        <w:rPr>
          <w:rFonts w:ascii="Arial" w:hAnsi="Arial" w:cs="Arial"/>
          <w:b/>
          <w:bCs/>
          <w:sz w:val="24"/>
          <w:szCs w:val="24"/>
        </w:rPr>
        <w:t>12 days</w:t>
      </w:r>
      <w:r w:rsidRPr="00732594">
        <w:rPr>
          <w:rFonts w:ascii="Arial" w:hAnsi="Arial" w:cs="Arial"/>
          <w:sz w:val="24"/>
          <w:szCs w:val="24"/>
        </w:rPr>
        <w:t>.  A suggested regime for a patient who </w:t>
      </w:r>
      <w:r w:rsidRPr="00732594">
        <w:rPr>
          <w:rFonts w:ascii="Arial" w:hAnsi="Arial" w:cs="Arial"/>
          <w:sz w:val="24"/>
          <w:szCs w:val="24"/>
          <w:u w:val="single"/>
        </w:rPr>
        <w:t xml:space="preserve">is already </w:t>
      </w:r>
      <w:r w:rsidR="00993A62">
        <w:rPr>
          <w:rFonts w:ascii="Arial" w:hAnsi="Arial" w:cs="Arial"/>
          <w:sz w:val="24"/>
          <w:szCs w:val="24"/>
          <w:u w:val="single"/>
        </w:rPr>
        <w:t>using</w:t>
      </w:r>
      <w:r w:rsidRPr="00732594">
        <w:rPr>
          <w:rFonts w:ascii="Arial" w:hAnsi="Arial" w:cs="Arial"/>
          <w:sz w:val="24"/>
          <w:szCs w:val="24"/>
          <w:u w:val="single"/>
        </w:rPr>
        <w:t xml:space="preserve"> </w:t>
      </w:r>
      <w:r w:rsidR="00993A62">
        <w:rPr>
          <w:rFonts w:ascii="Arial" w:hAnsi="Arial" w:cs="Arial"/>
          <w:sz w:val="24"/>
          <w:szCs w:val="24"/>
          <w:u w:val="single"/>
        </w:rPr>
        <w:t xml:space="preserve">a </w:t>
      </w:r>
      <w:r w:rsidR="00752D31">
        <w:rPr>
          <w:rFonts w:ascii="Arial" w:hAnsi="Arial" w:cs="Arial"/>
          <w:sz w:val="24"/>
          <w:szCs w:val="24"/>
          <w:u w:val="single"/>
        </w:rPr>
        <w:t>fentanyl 1</w:t>
      </w:r>
      <w:r w:rsidRPr="00732594">
        <w:rPr>
          <w:rFonts w:ascii="Arial" w:hAnsi="Arial" w:cs="Arial"/>
          <w:sz w:val="24"/>
          <w:szCs w:val="24"/>
          <w:u w:val="single"/>
        </w:rPr>
        <w:t xml:space="preserve">00 micrograms per hour </w:t>
      </w:r>
      <w:r w:rsidR="00993A62">
        <w:rPr>
          <w:rFonts w:ascii="Arial" w:hAnsi="Arial" w:cs="Arial"/>
          <w:sz w:val="24"/>
          <w:szCs w:val="24"/>
          <w:u w:val="single"/>
        </w:rPr>
        <w:t xml:space="preserve">patch </w:t>
      </w:r>
      <w:r w:rsidRPr="00732594">
        <w:rPr>
          <w:rFonts w:ascii="Arial" w:hAnsi="Arial" w:cs="Arial"/>
          <w:sz w:val="24"/>
          <w:szCs w:val="24"/>
          <w:u w:val="single"/>
        </w:rPr>
        <w:t>(changed every 3 days)</w:t>
      </w:r>
      <w:r w:rsidRPr="00732594">
        <w:rPr>
          <w:rFonts w:ascii="Arial" w:hAnsi="Arial" w:cs="Arial"/>
          <w:sz w:val="24"/>
          <w:szCs w:val="24"/>
        </w:rPr>
        <w:t> is included below.   If the patient is taking a lower dose than </w:t>
      </w:r>
      <w:r w:rsidR="00543749">
        <w:rPr>
          <w:rFonts w:ascii="Arial" w:hAnsi="Arial" w:cs="Arial"/>
          <w:sz w:val="24"/>
          <w:szCs w:val="24"/>
        </w:rPr>
        <w:t xml:space="preserve">this </w:t>
      </w:r>
      <w:r w:rsidRPr="00732594">
        <w:rPr>
          <w:rFonts w:ascii="Arial" w:hAnsi="Arial" w:cs="Arial"/>
          <w:sz w:val="24"/>
          <w:szCs w:val="24"/>
        </w:rPr>
        <w:t>then start the process further down the table and follow the suggested tapering guidance. </w:t>
      </w:r>
    </w:p>
    <w:p w14:paraId="2C56E69A" w14:textId="77777777" w:rsidR="00732594" w:rsidRPr="008264D6" w:rsidRDefault="00732594" w:rsidP="00732594">
      <w:pPr>
        <w:spacing w:after="0" w:line="240" w:lineRule="auto"/>
        <w:rPr>
          <w:rFonts w:ascii="Arial" w:hAnsi="Arial" w:cs="Arial"/>
          <w:sz w:val="16"/>
          <w:szCs w:val="16"/>
        </w:rPr>
      </w:pPr>
      <w:r w:rsidRPr="00732594">
        <w:rPr>
          <w:rFonts w:ascii="Arial" w:hAnsi="Arial" w:cs="Arial"/>
          <w:sz w:val="24"/>
          <w:szCs w:val="24"/>
        </w:rPr>
        <w:t> </w:t>
      </w:r>
    </w:p>
    <w:p w14:paraId="1CD95A25" w14:textId="77777777" w:rsidR="00732594" w:rsidRPr="008264D6" w:rsidRDefault="00732594" w:rsidP="00732594">
      <w:pPr>
        <w:spacing w:after="0" w:line="240" w:lineRule="auto"/>
        <w:rPr>
          <w:rFonts w:ascii="Arial" w:hAnsi="Arial" w:cs="Arial"/>
          <w:b/>
          <w:sz w:val="24"/>
          <w:szCs w:val="24"/>
        </w:rPr>
      </w:pPr>
      <w:r w:rsidRPr="008264D6">
        <w:rPr>
          <w:rFonts w:ascii="Arial" w:hAnsi="Arial" w:cs="Arial"/>
          <w:b/>
          <w:sz w:val="24"/>
          <w:szCs w:val="24"/>
        </w:rPr>
        <w:t>Before starting:  </w:t>
      </w:r>
    </w:p>
    <w:p w14:paraId="5963F9C2" w14:textId="77777777" w:rsidR="00732594" w:rsidRPr="00732594" w:rsidRDefault="00732594" w:rsidP="00732594">
      <w:pPr>
        <w:numPr>
          <w:ilvl w:val="0"/>
          <w:numId w:val="1"/>
        </w:numPr>
        <w:spacing w:after="0" w:line="240" w:lineRule="auto"/>
        <w:rPr>
          <w:rFonts w:ascii="Arial" w:hAnsi="Arial" w:cs="Arial"/>
          <w:sz w:val="24"/>
          <w:szCs w:val="24"/>
        </w:rPr>
      </w:pPr>
      <w:r w:rsidRPr="00732594">
        <w:rPr>
          <w:rFonts w:ascii="Arial" w:hAnsi="Arial" w:cs="Arial"/>
          <w:sz w:val="24"/>
          <w:szCs w:val="24"/>
        </w:rPr>
        <w:t>Where possible, ensure any reduction is discussed and agreed with the patient.  </w:t>
      </w:r>
    </w:p>
    <w:p w14:paraId="6B7169C8" w14:textId="77777777" w:rsidR="00732594" w:rsidRPr="00732594" w:rsidRDefault="00732594" w:rsidP="00732594">
      <w:pPr>
        <w:numPr>
          <w:ilvl w:val="0"/>
          <w:numId w:val="1"/>
        </w:numPr>
        <w:spacing w:after="0" w:line="240" w:lineRule="auto"/>
        <w:rPr>
          <w:rFonts w:ascii="Arial" w:hAnsi="Arial" w:cs="Arial"/>
          <w:sz w:val="24"/>
          <w:szCs w:val="24"/>
        </w:rPr>
      </w:pPr>
      <w:r w:rsidRPr="00732594">
        <w:rPr>
          <w:rFonts w:ascii="Arial" w:hAnsi="Arial" w:cs="Arial"/>
          <w:sz w:val="24"/>
          <w:szCs w:val="24"/>
        </w:rPr>
        <w:t>Agree the speed of dose reduction with the patient.  </w:t>
      </w:r>
    </w:p>
    <w:p w14:paraId="78F4037B" w14:textId="77777777" w:rsidR="00732594" w:rsidRDefault="00732594" w:rsidP="00732594">
      <w:pPr>
        <w:numPr>
          <w:ilvl w:val="0"/>
          <w:numId w:val="2"/>
        </w:numPr>
        <w:spacing w:after="0" w:line="240" w:lineRule="auto"/>
        <w:rPr>
          <w:rFonts w:ascii="Arial" w:hAnsi="Arial" w:cs="Arial"/>
          <w:sz w:val="24"/>
          <w:szCs w:val="24"/>
        </w:rPr>
      </w:pPr>
      <w:r w:rsidRPr="00732594">
        <w:rPr>
          <w:rFonts w:ascii="Arial" w:hAnsi="Arial" w:cs="Arial"/>
          <w:sz w:val="24"/>
          <w:szCs w:val="24"/>
        </w:rPr>
        <w:t>Some patients will need space to acclimatise to the new dose so the dose changes may be delayed.  Inform the patient that reduction can be slowed but not reversed. </w:t>
      </w:r>
    </w:p>
    <w:p w14:paraId="44368031" w14:textId="77777777" w:rsidR="00993A62" w:rsidRPr="00732594" w:rsidRDefault="00993A62" w:rsidP="00732594">
      <w:pPr>
        <w:numPr>
          <w:ilvl w:val="0"/>
          <w:numId w:val="2"/>
        </w:numPr>
        <w:spacing w:after="0" w:line="240" w:lineRule="auto"/>
        <w:rPr>
          <w:rFonts w:ascii="Arial" w:hAnsi="Arial" w:cs="Arial"/>
          <w:sz w:val="24"/>
          <w:szCs w:val="24"/>
        </w:rPr>
      </w:pPr>
      <w:r>
        <w:rPr>
          <w:rFonts w:ascii="Arial" w:hAnsi="Arial" w:cs="Arial"/>
          <w:sz w:val="24"/>
          <w:szCs w:val="24"/>
        </w:rPr>
        <w:t>Patches are available in the following strengths: 12micrograms per hour, 25micrograms per hour, 37.5 micrograms per hour, 50micrograms per hour and 100micrograms per hour. Patches provide 3 days of analgesia.</w:t>
      </w:r>
    </w:p>
    <w:p w14:paraId="79E0B10A" w14:textId="77777777" w:rsidR="00543749" w:rsidRDefault="00732594" w:rsidP="00732594">
      <w:pPr>
        <w:spacing w:after="0" w:line="240" w:lineRule="auto"/>
        <w:rPr>
          <w:rFonts w:ascii="Arial" w:hAnsi="Arial" w:cs="Arial"/>
          <w:sz w:val="24"/>
          <w:szCs w:val="24"/>
        </w:rPr>
      </w:pPr>
      <w:r w:rsidRPr="00732594">
        <w:rPr>
          <w:rFonts w:ascii="Arial" w:hAnsi="Arial" w:cs="Arial"/>
          <w:sz w:val="24"/>
          <w:szCs w:val="24"/>
        </w:rPr>
        <w:t>  </w:t>
      </w:r>
    </w:p>
    <w:p w14:paraId="3BF4B349" w14:textId="77777777" w:rsidR="00732594" w:rsidRPr="008264D6" w:rsidRDefault="00543749" w:rsidP="00732594">
      <w:pPr>
        <w:spacing w:after="0" w:line="240" w:lineRule="auto"/>
        <w:rPr>
          <w:rFonts w:ascii="Arial" w:hAnsi="Arial" w:cs="Arial"/>
          <w:sz w:val="16"/>
          <w:szCs w:val="16"/>
        </w:rPr>
      </w:pPr>
      <w:r>
        <w:rPr>
          <w:rFonts w:ascii="Arial" w:hAnsi="Arial" w:cs="Arial"/>
          <w:sz w:val="24"/>
          <w:szCs w:val="24"/>
        </w:rPr>
        <w:br w:type="page"/>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3255"/>
        <w:gridCol w:w="4200"/>
      </w:tblGrid>
      <w:tr w:rsidR="008264D6" w:rsidRPr="00732594" w14:paraId="16446A6C" w14:textId="77777777" w:rsidTr="008264D6">
        <w:tc>
          <w:tcPr>
            <w:tcW w:w="9630" w:type="dxa"/>
            <w:gridSpan w:val="3"/>
            <w:tcBorders>
              <w:top w:val="single" w:sz="6" w:space="0" w:color="000000"/>
              <w:left w:val="single" w:sz="6" w:space="0" w:color="000000"/>
              <w:bottom w:val="single" w:sz="6" w:space="0" w:color="000000"/>
              <w:right w:val="single" w:sz="6" w:space="0" w:color="000000"/>
            </w:tcBorders>
            <w:shd w:val="clear" w:color="auto" w:fill="auto"/>
          </w:tcPr>
          <w:p w14:paraId="358ECBAA" w14:textId="77777777" w:rsidR="008264D6" w:rsidRDefault="008264D6" w:rsidP="008264D6">
            <w:pPr>
              <w:spacing w:after="0" w:line="240" w:lineRule="auto"/>
              <w:rPr>
                <w:rFonts w:ascii="Arial" w:hAnsi="Arial" w:cs="Arial"/>
                <w:b/>
                <w:bCs/>
              </w:rPr>
            </w:pPr>
            <w:r w:rsidRPr="008264D6">
              <w:rPr>
                <w:rFonts w:ascii="Arial" w:hAnsi="Arial" w:cs="Arial"/>
                <w:b/>
                <w:bCs/>
              </w:rPr>
              <w:t xml:space="preserve">Agreed dose change interval </w:t>
            </w:r>
          </w:p>
          <w:p w14:paraId="422811EC" w14:textId="77777777" w:rsidR="008264D6" w:rsidRPr="008264D6" w:rsidRDefault="008264D6" w:rsidP="00763A8D">
            <w:pPr>
              <w:spacing w:after="0" w:line="240" w:lineRule="auto"/>
              <w:rPr>
                <w:rFonts w:ascii="Arial" w:hAnsi="Arial" w:cs="Arial"/>
                <w:b/>
                <w:bCs/>
              </w:rPr>
            </w:pPr>
            <w:r w:rsidRPr="008264D6">
              <w:rPr>
                <w:rFonts w:ascii="Arial" w:hAnsi="Arial" w:cs="Arial"/>
                <w:b/>
                <w:bCs/>
              </w:rPr>
              <w:t xml:space="preserve">e.g </w:t>
            </w:r>
            <w:r w:rsidRPr="0003706D">
              <w:rPr>
                <w:rFonts w:ascii="Arial" w:hAnsi="Arial" w:cs="Arial"/>
                <w:b/>
                <w:bCs/>
              </w:rPr>
              <w:t>every 12, 18 or 30 days</w:t>
            </w:r>
            <w:r w:rsidRPr="008264D6">
              <w:rPr>
                <w:rFonts w:ascii="Arial" w:hAnsi="Arial" w:cs="Arial"/>
                <w:b/>
                <w:bCs/>
              </w:rPr>
              <w:t xml:space="preserve"> (Patche</w:t>
            </w:r>
            <w:r>
              <w:rPr>
                <w:rFonts w:ascii="Arial" w:hAnsi="Arial" w:cs="Arial"/>
                <w:b/>
                <w:bCs/>
              </w:rPr>
              <w:t xml:space="preserve">s </w:t>
            </w:r>
            <w:r w:rsidRPr="008264D6">
              <w:rPr>
                <w:rFonts w:ascii="Arial" w:hAnsi="Arial" w:cs="Arial"/>
                <w:b/>
                <w:bCs/>
              </w:rPr>
              <w:t>provide 3 days of analgesia)</w:t>
            </w:r>
          </w:p>
        </w:tc>
      </w:tr>
      <w:tr w:rsidR="00732594" w:rsidRPr="00732594" w14:paraId="7B832E7D" w14:textId="77777777" w:rsidTr="00543749">
        <w:trPr>
          <w:trHeight w:val="454"/>
        </w:trPr>
        <w:tc>
          <w:tcPr>
            <w:tcW w:w="2175" w:type="dxa"/>
            <w:tcBorders>
              <w:top w:val="single" w:sz="6" w:space="0" w:color="000000"/>
              <w:left w:val="single" w:sz="6" w:space="0" w:color="000000"/>
              <w:bottom w:val="single" w:sz="6" w:space="0" w:color="000000"/>
              <w:right w:val="nil"/>
            </w:tcBorders>
            <w:shd w:val="clear" w:color="auto" w:fill="auto"/>
            <w:vAlign w:val="center"/>
            <w:hideMark/>
          </w:tcPr>
          <w:p w14:paraId="59B362FC" w14:textId="77777777" w:rsidR="0092136B" w:rsidRPr="008264D6" w:rsidRDefault="008264D6" w:rsidP="00543749">
            <w:pPr>
              <w:spacing w:after="0" w:line="240" w:lineRule="auto"/>
              <w:jc w:val="center"/>
              <w:rPr>
                <w:rFonts w:ascii="Arial" w:hAnsi="Arial" w:cs="Arial"/>
              </w:rPr>
            </w:pPr>
            <w:r w:rsidRPr="008264D6">
              <w:rPr>
                <w:rFonts w:ascii="Arial" w:hAnsi="Arial" w:cs="Arial"/>
                <w:b/>
                <w:bCs/>
              </w:rPr>
              <w:t>Change</w:t>
            </w:r>
          </w:p>
        </w:tc>
        <w:tc>
          <w:tcPr>
            <w:tcW w:w="3255" w:type="dxa"/>
            <w:tcBorders>
              <w:top w:val="single" w:sz="6" w:space="0" w:color="000000"/>
              <w:left w:val="single" w:sz="6" w:space="0" w:color="000000"/>
              <w:bottom w:val="single" w:sz="6" w:space="0" w:color="000000"/>
              <w:right w:val="nil"/>
            </w:tcBorders>
            <w:shd w:val="clear" w:color="auto" w:fill="auto"/>
            <w:vAlign w:val="center"/>
            <w:hideMark/>
          </w:tcPr>
          <w:p w14:paraId="51E94EC3" w14:textId="77777777" w:rsidR="0092136B" w:rsidRPr="008264D6" w:rsidRDefault="00732594" w:rsidP="00543749">
            <w:pPr>
              <w:spacing w:after="0" w:line="240" w:lineRule="auto"/>
              <w:rPr>
                <w:rFonts w:ascii="Arial" w:hAnsi="Arial" w:cs="Arial"/>
              </w:rPr>
            </w:pPr>
            <w:r w:rsidRPr="008264D6">
              <w:rPr>
                <w:rFonts w:ascii="Arial" w:hAnsi="Arial" w:cs="Arial"/>
                <w:b/>
                <w:bCs/>
              </w:rPr>
              <w:t>Transdermal fentanyl dose</w:t>
            </w:r>
          </w:p>
        </w:tc>
        <w:tc>
          <w:tcPr>
            <w:tcW w:w="42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7F7A49" w14:textId="77777777" w:rsidR="0092136B" w:rsidRPr="008264D6" w:rsidRDefault="008264D6" w:rsidP="00543749">
            <w:pPr>
              <w:spacing w:after="0" w:line="240" w:lineRule="auto"/>
              <w:jc w:val="center"/>
              <w:rPr>
                <w:rFonts w:ascii="Arial" w:hAnsi="Arial" w:cs="Arial"/>
              </w:rPr>
            </w:pPr>
            <w:r w:rsidRPr="008264D6">
              <w:rPr>
                <w:rFonts w:ascii="Arial" w:hAnsi="Arial" w:cs="Arial"/>
                <w:b/>
                <w:bCs/>
              </w:rPr>
              <w:t xml:space="preserve">Patch combination </w:t>
            </w:r>
            <w:r w:rsidR="00993A62">
              <w:rPr>
                <w:rFonts w:ascii="Arial" w:hAnsi="Arial" w:cs="Arial"/>
                <w:b/>
                <w:bCs/>
              </w:rPr>
              <w:t>to achieve this dose</w:t>
            </w:r>
          </w:p>
        </w:tc>
      </w:tr>
      <w:tr w:rsidR="00752D31" w:rsidRPr="00732594" w14:paraId="45E8AB11" w14:textId="77777777" w:rsidTr="00543749">
        <w:trPr>
          <w:cantSplit/>
          <w:trHeight w:val="454"/>
        </w:trPr>
        <w:tc>
          <w:tcPr>
            <w:tcW w:w="2175" w:type="dxa"/>
            <w:tcBorders>
              <w:top w:val="single" w:sz="6" w:space="0" w:color="000000"/>
              <w:left w:val="single" w:sz="6" w:space="0" w:color="000000"/>
              <w:bottom w:val="single" w:sz="6" w:space="0" w:color="000000"/>
              <w:right w:val="nil"/>
            </w:tcBorders>
            <w:shd w:val="clear" w:color="auto" w:fill="auto"/>
            <w:vAlign w:val="center"/>
            <w:hideMark/>
          </w:tcPr>
          <w:p w14:paraId="729B67DE" w14:textId="77777777" w:rsidR="00752D31" w:rsidRPr="008264D6" w:rsidRDefault="00752D31" w:rsidP="00543749">
            <w:pPr>
              <w:spacing w:after="0" w:line="240" w:lineRule="auto"/>
              <w:jc w:val="center"/>
              <w:rPr>
                <w:rFonts w:ascii="Arial" w:hAnsi="Arial" w:cs="Arial"/>
              </w:rPr>
            </w:pPr>
            <w:r w:rsidRPr="008264D6">
              <w:rPr>
                <w:rFonts w:ascii="Arial" w:hAnsi="Arial" w:cs="Arial"/>
              </w:rPr>
              <w:t>1</w:t>
            </w:r>
          </w:p>
        </w:tc>
        <w:tc>
          <w:tcPr>
            <w:tcW w:w="3255" w:type="dxa"/>
            <w:tcBorders>
              <w:top w:val="single" w:sz="6" w:space="0" w:color="000000"/>
              <w:left w:val="single" w:sz="6" w:space="0" w:color="000000"/>
              <w:bottom w:val="single" w:sz="6" w:space="0" w:color="000000"/>
              <w:right w:val="nil"/>
            </w:tcBorders>
            <w:shd w:val="clear" w:color="auto" w:fill="auto"/>
            <w:vAlign w:val="center"/>
            <w:hideMark/>
          </w:tcPr>
          <w:p w14:paraId="4EECB698" w14:textId="77777777" w:rsidR="00752D31" w:rsidRPr="008264D6" w:rsidRDefault="00752D31" w:rsidP="00543749">
            <w:pPr>
              <w:spacing w:after="0" w:line="240" w:lineRule="auto"/>
              <w:rPr>
                <w:rFonts w:ascii="Arial" w:hAnsi="Arial" w:cs="Arial"/>
              </w:rPr>
            </w:pPr>
            <w:r w:rsidRPr="008264D6">
              <w:rPr>
                <w:rFonts w:ascii="Arial" w:hAnsi="Arial" w:cs="Arial"/>
              </w:rPr>
              <w:t>100 micrograms/hour </w:t>
            </w:r>
          </w:p>
        </w:tc>
        <w:tc>
          <w:tcPr>
            <w:tcW w:w="42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25C44D" w14:textId="77777777" w:rsidR="00752D31" w:rsidRPr="008264D6" w:rsidRDefault="00752D31" w:rsidP="00543749">
            <w:pPr>
              <w:spacing w:after="0" w:line="240" w:lineRule="auto"/>
              <w:rPr>
                <w:rFonts w:ascii="Arial" w:hAnsi="Arial" w:cs="Arial"/>
              </w:rPr>
            </w:pPr>
            <w:r w:rsidRPr="008264D6">
              <w:rPr>
                <w:rFonts w:ascii="Arial" w:hAnsi="Arial" w:cs="Arial"/>
              </w:rPr>
              <w:t>100mcg/hr  </w:t>
            </w:r>
          </w:p>
        </w:tc>
      </w:tr>
      <w:tr w:rsidR="00752D31" w:rsidRPr="00732594" w14:paraId="51C5256B" w14:textId="77777777" w:rsidTr="00543749">
        <w:trPr>
          <w:cantSplit/>
          <w:trHeight w:val="454"/>
        </w:trPr>
        <w:tc>
          <w:tcPr>
            <w:tcW w:w="2175" w:type="dxa"/>
            <w:tcBorders>
              <w:top w:val="single" w:sz="6" w:space="0" w:color="000000"/>
              <w:left w:val="single" w:sz="6" w:space="0" w:color="000000"/>
              <w:bottom w:val="single" w:sz="6" w:space="0" w:color="000000"/>
              <w:right w:val="nil"/>
            </w:tcBorders>
            <w:shd w:val="clear" w:color="auto" w:fill="auto"/>
            <w:vAlign w:val="center"/>
            <w:hideMark/>
          </w:tcPr>
          <w:p w14:paraId="09F79700" w14:textId="77777777" w:rsidR="00752D31" w:rsidRPr="008264D6" w:rsidRDefault="00752D31" w:rsidP="00543749">
            <w:pPr>
              <w:spacing w:after="0" w:line="240" w:lineRule="auto"/>
              <w:jc w:val="center"/>
              <w:rPr>
                <w:rFonts w:ascii="Arial" w:hAnsi="Arial" w:cs="Arial"/>
              </w:rPr>
            </w:pPr>
            <w:r w:rsidRPr="008264D6">
              <w:rPr>
                <w:rFonts w:ascii="Arial" w:hAnsi="Arial" w:cs="Arial"/>
              </w:rPr>
              <w:t>2</w:t>
            </w:r>
          </w:p>
        </w:tc>
        <w:tc>
          <w:tcPr>
            <w:tcW w:w="3255" w:type="dxa"/>
            <w:tcBorders>
              <w:top w:val="single" w:sz="6" w:space="0" w:color="000000"/>
              <w:left w:val="single" w:sz="6" w:space="0" w:color="000000"/>
              <w:bottom w:val="single" w:sz="6" w:space="0" w:color="000000"/>
              <w:right w:val="nil"/>
            </w:tcBorders>
            <w:shd w:val="clear" w:color="auto" w:fill="auto"/>
            <w:vAlign w:val="center"/>
            <w:hideMark/>
          </w:tcPr>
          <w:p w14:paraId="7A689D15" w14:textId="77777777" w:rsidR="00752D31" w:rsidRPr="008264D6" w:rsidRDefault="00752D31" w:rsidP="00543749">
            <w:pPr>
              <w:spacing w:after="0" w:line="240" w:lineRule="auto"/>
              <w:rPr>
                <w:rFonts w:ascii="Arial" w:hAnsi="Arial" w:cs="Arial"/>
              </w:rPr>
            </w:pPr>
            <w:r w:rsidRPr="008264D6">
              <w:rPr>
                <w:rFonts w:ascii="Arial" w:hAnsi="Arial" w:cs="Arial"/>
              </w:rPr>
              <w:t>87 micrograms/hour </w:t>
            </w:r>
          </w:p>
        </w:tc>
        <w:tc>
          <w:tcPr>
            <w:tcW w:w="42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5F36C7" w14:textId="77777777" w:rsidR="00752D31" w:rsidRPr="008264D6" w:rsidRDefault="00752D31" w:rsidP="00543749">
            <w:pPr>
              <w:spacing w:after="0" w:line="240" w:lineRule="auto"/>
              <w:rPr>
                <w:rFonts w:ascii="Arial" w:hAnsi="Arial" w:cs="Arial"/>
              </w:rPr>
            </w:pPr>
            <w:r w:rsidRPr="008264D6">
              <w:rPr>
                <w:rFonts w:ascii="Arial" w:hAnsi="Arial" w:cs="Arial"/>
              </w:rPr>
              <w:t>75mcg/hr + 12mcg/hr </w:t>
            </w:r>
          </w:p>
        </w:tc>
      </w:tr>
      <w:tr w:rsidR="00752D31" w:rsidRPr="00732594" w14:paraId="189D47A7" w14:textId="77777777" w:rsidTr="00543749">
        <w:trPr>
          <w:cantSplit/>
          <w:trHeight w:val="454"/>
        </w:trPr>
        <w:tc>
          <w:tcPr>
            <w:tcW w:w="2175" w:type="dxa"/>
            <w:tcBorders>
              <w:top w:val="single" w:sz="6" w:space="0" w:color="000000"/>
              <w:left w:val="single" w:sz="6" w:space="0" w:color="000000"/>
              <w:bottom w:val="single" w:sz="6" w:space="0" w:color="000000"/>
              <w:right w:val="nil"/>
            </w:tcBorders>
            <w:shd w:val="clear" w:color="auto" w:fill="auto"/>
            <w:vAlign w:val="center"/>
            <w:hideMark/>
          </w:tcPr>
          <w:p w14:paraId="13394B65" w14:textId="77777777" w:rsidR="00752D31" w:rsidRPr="008264D6" w:rsidRDefault="00752D31" w:rsidP="00543749">
            <w:pPr>
              <w:spacing w:after="0" w:line="240" w:lineRule="auto"/>
              <w:jc w:val="center"/>
              <w:rPr>
                <w:rFonts w:ascii="Arial" w:hAnsi="Arial" w:cs="Arial"/>
              </w:rPr>
            </w:pPr>
            <w:r w:rsidRPr="008264D6">
              <w:rPr>
                <w:rFonts w:ascii="Arial" w:hAnsi="Arial" w:cs="Arial"/>
              </w:rPr>
              <w:t>3</w:t>
            </w:r>
          </w:p>
        </w:tc>
        <w:tc>
          <w:tcPr>
            <w:tcW w:w="3255" w:type="dxa"/>
            <w:tcBorders>
              <w:top w:val="single" w:sz="6" w:space="0" w:color="000000"/>
              <w:left w:val="single" w:sz="6" w:space="0" w:color="000000"/>
              <w:bottom w:val="single" w:sz="6" w:space="0" w:color="000000"/>
              <w:right w:val="nil"/>
            </w:tcBorders>
            <w:shd w:val="clear" w:color="auto" w:fill="auto"/>
            <w:vAlign w:val="center"/>
            <w:hideMark/>
          </w:tcPr>
          <w:p w14:paraId="180E2D26" w14:textId="77777777" w:rsidR="00752D31" w:rsidRPr="008264D6" w:rsidRDefault="00752D31" w:rsidP="00543749">
            <w:pPr>
              <w:spacing w:after="0" w:line="240" w:lineRule="auto"/>
              <w:rPr>
                <w:rFonts w:ascii="Arial" w:hAnsi="Arial" w:cs="Arial"/>
              </w:rPr>
            </w:pPr>
            <w:r w:rsidRPr="008264D6">
              <w:rPr>
                <w:rFonts w:ascii="Arial" w:hAnsi="Arial" w:cs="Arial"/>
              </w:rPr>
              <w:t>75 micrograms/hour </w:t>
            </w:r>
          </w:p>
        </w:tc>
        <w:tc>
          <w:tcPr>
            <w:tcW w:w="42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E6BAE8" w14:textId="77777777" w:rsidR="00752D31" w:rsidRPr="008264D6" w:rsidRDefault="00752D31" w:rsidP="00543749">
            <w:pPr>
              <w:spacing w:after="0" w:line="240" w:lineRule="auto"/>
              <w:rPr>
                <w:rFonts w:ascii="Arial" w:hAnsi="Arial" w:cs="Arial"/>
              </w:rPr>
            </w:pPr>
            <w:r w:rsidRPr="008264D6">
              <w:rPr>
                <w:rFonts w:ascii="Arial" w:hAnsi="Arial" w:cs="Arial"/>
              </w:rPr>
              <w:t>75mcg/hr </w:t>
            </w:r>
          </w:p>
        </w:tc>
      </w:tr>
      <w:tr w:rsidR="00752D31" w:rsidRPr="00732594" w14:paraId="16F98B27" w14:textId="77777777" w:rsidTr="00543749">
        <w:trPr>
          <w:cantSplit/>
          <w:trHeight w:val="454"/>
        </w:trPr>
        <w:tc>
          <w:tcPr>
            <w:tcW w:w="2175" w:type="dxa"/>
            <w:tcBorders>
              <w:top w:val="single" w:sz="6" w:space="0" w:color="000000"/>
              <w:left w:val="single" w:sz="6" w:space="0" w:color="000000"/>
              <w:bottom w:val="single" w:sz="6" w:space="0" w:color="000000"/>
              <w:right w:val="nil"/>
            </w:tcBorders>
            <w:shd w:val="clear" w:color="auto" w:fill="auto"/>
            <w:vAlign w:val="center"/>
            <w:hideMark/>
          </w:tcPr>
          <w:p w14:paraId="64D27E66" w14:textId="77777777" w:rsidR="00752D31" w:rsidRPr="008264D6" w:rsidRDefault="00752D31" w:rsidP="00543749">
            <w:pPr>
              <w:spacing w:after="0" w:line="240" w:lineRule="auto"/>
              <w:jc w:val="center"/>
              <w:rPr>
                <w:rFonts w:ascii="Arial" w:hAnsi="Arial" w:cs="Arial"/>
              </w:rPr>
            </w:pPr>
            <w:r w:rsidRPr="008264D6">
              <w:rPr>
                <w:rFonts w:ascii="Arial" w:hAnsi="Arial" w:cs="Arial"/>
              </w:rPr>
              <w:t>4</w:t>
            </w:r>
          </w:p>
        </w:tc>
        <w:tc>
          <w:tcPr>
            <w:tcW w:w="3255" w:type="dxa"/>
            <w:tcBorders>
              <w:top w:val="single" w:sz="6" w:space="0" w:color="000000"/>
              <w:left w:val="single" w:sz="6" w:space="0" w:color="000000"/>
              <w:bottom w:val="single" w:sz="6" w:space="0" w:color="000000"/>
              <w:right w:val="nil"/>
            </w:tcBorders>
            <w:shd w:val="clear" w:color="auto" w:fill="auto"/>
            <w:vAlign w:val="center"/>
            <w:hideMark/>
          </w:tcPr>
          <w:p w14:paraId="7A47F9C0" w14:textId="77777777" w:rsidR="00752D31" w:rsidRPr="008264D6" w:rsidRDefault="00752D31" w:rsidP="00543749">
            <w:pPr>
              <w:spacing w:after="0" w:line="240" w:lineRule="auto"/>
              <w:rPr>
                <w:rFonts w:ascii="Arial" w:hAnsi="Arial" w:cs="Arial"/>
              </w:rPr>
            </w:pPr>
            <w:r w:rsidRPr="008264D6">
              <w:rPr>
                <w:rFonts w:ascii="Arial" w:hAnsi="Arial" w:cs="Arial"/>
              </w:rPr>
              <w:t>62 micrograms/hour </w:t>
            </w:r>
          </w:p>
        </w:tc>
        <w:tc>
          <w:tcPr>
            <w:tcW w:w="42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452DC4" w14:textId="77777777" w:rsidR="00752D31" w:rsidRPr="008264D6" w:rsidRDefault="00752D31" w:rsidP="00543749">
            <w:pPr>
              <w:spacing w:after="0" w:line="240" w:lineRule="auto"/>
              <w:rPr>
                <w:rFonts w:ascii="Arial" w:hAnsi="Arial" w:cs="Arial"/>
              </w:rPr>
            </w:pPr>
            <w:r w:rsidRPr="008264D6">
              <w:rPr>
                <w:rFonts w:ascii="Arial" w:hAnsi="Arial" w:cs="Arial"/>
              </w:rPr>
              <w:t>50mcg/hr + 12mcg/hr </w:t>
            </w:r>
          </w:p>
        </w:tc>
      </w:tr>
      <w:tr w:rsidR="00752D31" w:rsidRPr="00732594" w14:paraId="38EC709A" w14:textId="77777777" w:rsidTr="00543749">
        <w:trPr>
          <w:cantSplit/>
          <w:trHeight w:val="454"/>
        </w:trPr>
        <w:tc>
          <w:tcPr>
            <w:tcW w:w="2175" w:type="dxa"/>
            <w:tcBorders>
              <w:top w:val="single" w:sz="6" w:space="0" w:color="000000"/>
              <w:left w:val="single" w:sz="6" w:space="0" w:color="000000"/>
              <w:bottom w:val="single" w:sz="6" w:space="0" w:color="000000"/>
              <w:right w:val="nil"/>
            </w:tcBorders>
            <w:shd w:val="clear" w:color="auto" w:fill="auto"/>
            <w:vAlign w:val="center"/>
            <w:hideMark/>
          </w:tcPr>
          <w:p w14:paraId="7E5C0D90" w14:textId="77777777" w:rsidR="00752D31" w:rsidRPr="008264D6" w:rsidRDefault="00752D31" w:rsidP="00543749">
            <w:pPr>
              <w:spacing w:after="0" w:line="240" w:lineRule="auto"/>
              <w:jc w:val="center"/>
              <w:rPr>
                <w:rFonts w:ascii="Arial" w:hAnsi="Arial" w:cs="Arial"/>
              </w:rPr>
            </w:pPr>
            <w:r w:rsidRPr="008264D6">
              <w:rPr>
                <w:rFonts w:ascii="Arial" w:hAnsi="Arial" w:cs="Arial"/>
              </w:rPr>
              <w:t>5</w:t>
            </w:r>
          </w:p>
        </w:tc>
        <w:tc>
          <w:tcPr>
            <w:tcW w:w="3255" w:type="dxa"/>
            <w:tcBorders>
              <w:top w:val="single" w:sz="6" w:space="0" w:color="000000"/>
              <w:left w:val="single" w:sz="6" w:space="0" w:color="000000"/>
              <w:bottom w:val="single" w:sz="6" w:space="0" w:color="000000"/>
              <w:right w:val="nil"/>
            </w:tcBorders>
            <w:shd w:val="clear" w:color="auto" w:fill="auto"/>
            <w:vAlign w:val="center"/>
            <w:hideMark/>
          </w:tcPr>
          <w:p w14:paraId="2C814892" w14:textId="77777777" w:rsidR="00752D31" w:rsidRPr="008264D6" w:rsidRDefault="00752D31" w:rsidP="00543749">
            <w:pPr>
              <w:spacing w:after="0" w:line="240" w:lineRule="auto"/>
              <w:rPr>
                <w:rFonts w:ascii="Arial" w:hAnsi="Arial" w:cs="Arial"/>
              </w:rPr>
            </w:pPr>
            <w:r w:rsidRPr="008264D6">
              <w:rPr>
                <w:rFonts w:ascii="Arial" w:hAnsi="Arial" w:cs="Arial"/>
              </w:rPr>
              <w:t>50 micrograms/hour </w:t>
            </w:r>
          </w:p>
        </w:tc>
        <w:tc>
          <w:tcPr>
            <w:tcW w:w="42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C9DB3B" w14:textId="77777777" w:rsidR="00752D31" w:rsidRPr="008264D6" w:rsidRDefault="00752D31" w:rsidP="00543749">
            <w:pPr>
              <w:spacing w:after="0" w:line="240" w:lineRule="auto"/>
              <w:rPr>
                <w:rFonts w:ascii="Arial" w:hAnsi="Arial" w:cs="Arial"/>
              </w:rPr>
            </w:pPr>
            <w:r w:rsidRPr="008264D6">
              <w:rPr>
                <w:rFonts w:ascii="Arial" w:hAnsi="Arial" w:cs="Arial"/>
              </w:rPr>
              <w:t>50mcg/hr </w:t>
            </w:r>
          </w:p>
        </w:tc>
      </w:tr>
      <w:tr w:rsidR="00752D31" w:rsidRPr="00732594" w14:paraId="160F92DA" w14:textId="77777777" w:rsidTr="00543749">
        <w:trPr>
          <w:cantSplit/>
          <w:trHeight w:val="454"/>
        </w:trPr>
        <w:tc>
          <w:tcPr>
            <w:tcW w:w="2175" w:type="dxa"/>
            <w:tcBorders>
              <w:top w:val="single" w:sz="6" w:space="0" w:color="000000"/>
              <w:left w:val="single" w:sz="6" w:space="0" w:color="000000"/>
              <w:bottom w:val="single" w:sz="6" w:space="0" w:color="000000"/>
              <w:right w:val="nil"/>
            </w:tcBorders>
            <w:shd w:val="clear" w:color="auto" w:fill="auto"/>
            <w:vAlign w:val="center"/>
            <w:hideMark/>
          </w:tcPr>
          <w:p w14:paraId="61A89BAF" w14:textId="77777777" w:rsidR="00752D31" w:rsidRPr="008264D6" w:rsidRDefault="00752D31" w:rsidP="00543749">
            <w:pPr>
              <w:spacing w:after="0" w:line="240" w:lineRule="auto"/>
              <w:jc w:val="center"/>
              <w:rPr>
                <w:rFonts w:ascii="Arial" w:hAnsi="Arial" w:cs="Arial"/>
              </w:rPr>
            </w:pPr>
            <w:r w:rsidRPr="008264D6">
              <w:rPr>
                <w:rFonts w:ascii="Arial" w:hAnsi="Arial" w:cs="Arial"/>
              </w:rPr>
              <w:t>6</w:t>
            </w:r>
          </w:p>
        </w:tc>
        <w:tc>
          <w:tcPr>
            <w:tcW w:w="3255" w:type="dxa"/>
            <w:tcBorders>
              <w:top w:val="single" w:sz="6" w:space="0" w:color="000000"/>
              <w:left w:val="single" w:sz="6" w:space="0" w:color="000000"/>
              <w:bottom w:val="single" w:sz="6" w:space="0" w:color="000000"/>
              <w:right w:val="nil"/>
            </w:tcBorders>
            <w:shd w:val="clear" w:color="auto" w:fill="auto"/>
            <w:vAlign w:val="center"/>
            <w:hideMark/>
          </w:tcPr>
          <w:p w14:paraId="1C697D51" w14:textId="77777777" w:rsidR="00752D31" w:rsidRPr="008264D6" w:rsidRDefault="00752D31" w:rsidP="00543749">
            <w:pPr>
              <w:spacing w:after="0" w:line="240" w:lineRule="auto"/>
              <w:rPr>
                <w:rFonts w:ascii="Arial" w:hAnsi="Arial" w:cs="Arial"/>
              </w:rPr>
            </w:pPr>
            <w:r w:rsidRPr="008264D6">
              <w:rPr>
                <w:rFonts w:ascii="Arial" w:hAnsi="Arial" w:cs="Arial"/>
              </w:rPr>
              <w:t>37 micrograms/hour </w:t>
            </w:r>
          </w:p>
        </w:tc>
        <w:tc>
          <w:tcPr>
            <w:tcW w:w="42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F93FC1" w14:textId="77777777" w:rsidR="00752D31" w:rsidRPr="008264D6" w:rsidRDefault="00752D31" w:rsidP="00543749">
            <w:pPr>
              <w:spacing w:after="0" w:line="240" w:lineRule="auto"/>
              <w:rPr>
                <w:rFonts w:ascii="Arial" w:hAnsi="Arial" w:cs="Arial"/>
              </w:rPr>
            </w:pPr>
            <w:r w:rsidRPr="008264D6">
              <w:rPr>
                <w:rFonts w:ascii="Arial" w:hAnsi="Arial" w:cs="Arial"/>
              </w:rPr>
              <w:t>25mcg/hr + 12mcg/hr </w:t>
            </w:r>
          </w:p>
        </w:tc>
      </w:tr>
      <w:tr w:rsidR="00752D31" w:rsidRPr="00732594" w14:paraId="4544FBDD" w14:textId="77777777" w:rsidTr="00543749">
        <w:trPr>
          <w:cantSplit/>
          <w:trHeight w:val="454"/>
        </w:trPr>
        <w:tc>
          <w:tcPr>
            <w:tcW w:w="2175" w:type="dxa"/>
            <w:tcBorders>
              <w:top w:val="single" w:sz="6" w:space="0" w:color="000000"/>
              <w:left w:val="single" w:sz="6" w:space="0" w:color="000000"/>
              <w:bottom w:val="single" w:sz="6" w:space="0" w:color="000000"/>
              <w:right w:val="nil"/>
            </w:tcBorders>
            <w:shd w:val="clear" w:color="auto" w:fill="auto"/>
            <w:vAlign w:val="center"/>
            <w:hideMark/>
          </w:tcPr>
          <w:p w14:paraId="6E817076" w14:textId="77777777" w:rsidR="00752D31" w:rsidRPr="008264D6" w:rsidRDefault="00752D31" w:rsidP="00543749">
            <w:pPr>
              <w:spacing w:after="0" w:line="240" w:lineRule="auto"/>
              <w:jc w:val="center"/>
              <w:rPr>
                <w:rFonts w:ascii="Arial" w:hAnsi="Arial" w:cs="Arial"/>
              </w:rPr>
            </w:pPr>
            <w:r w:rsidRPr="008264D6">
              <w:rPr>
                <w:rFonts w:ascii="Arial" w:hAnsi="Arial" w:cs="Arial"/>
              </w:rPr>
              <w:t>7</w:t>
            </w:r>
          </w:p>
        </w:tc>
        <w:tc>
          <w:tcPr>
            <w:tcW w:w="3255" w:type="dxa"/>
            <w:tcBorders>
              <w:top w:val="single" w:sz="6" w:space="0" w:color="000000"/>
              <w:left w:val="single" w:sz="6" w:space="0" w:color="000000"/>
              <w:bottom w:val="single" w:sz="6" w:space="0" w:color="000000"/>
              <w:right w:val="nil"/>
            </w:tcBorders>
            <w:shd w:val="clear" w:color="auto" w:fill="auto"/>
            <w:vAlign w:val="center"/>
            <w:hideMark/>
          </w:tcPr>
          <w:p w14:paraId="76C452B4" w14:textId="77777777" w:rsidR="00752D31" w:rsidRPr="008264D6" w:rsidRDefault="00752D31" w:rsidP="00543749">
            <w:pPr>
              <w:spacing w:after="0" w:line="240" w:lineRule="auto"/>
              <w:rPr>
                <w:rFonts w:ascii="Arial" w:hAnsi="Arial" w:cs="Arial"/>
              </w:rPr>
            </w:pPr>
            <w:r w:rsidRPr="008264D6">
              <w:rPr>
                <w:rFonts w:ascii="Arial" w:hAnsi="Arial" w:cs="Arial"/>
              </w:rPr>
              <w:t>25 micrograms/hour </w:t>
            </w:r>
          </w:p>
        </w:tc>
        <w:tc>
          <w:tcPr>
            <w:tcW w:w="42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A5BCB3" w14:textId="77777777" w:rsidR="00752D31" w:rsidRPr="008264D6" w:rsidRDefault="00752D31" w:rsidP="00543749">
            <w:pPr>
              <w:spacing w:after="0" w:line="240" w:lineRule="auto"/>
              <w:rPr>
                <w:rFonts w:ascii="Arial" w:hAnsi="Arial" w:cs="Arial"/>
              </w:rPr>
            </w:pPr>
            <w:r w:rsidRPr="008264D6">
              <w:rPr>
                <w:rFonts w:ascii="Arial" w:hAnsi="Arial" w:cs="Arial"/>
              </w:rPr>
              <w:t>25mcg/hr </w:t>
            </w:r>
          </w:p>
        </w:tc>
      </w:tr>
      <w:tr w:rsidR="00752D31" w:rsidRPr="00732594" w14:paraId="51A68BB4" w14:textId="77777777" w:rsidTr="00543749">
        <w:trPr>
          <w:cantSplit/>
          <w:trHeight w:val="454"/>
        </w:trPr>
        <w:tc>
          <w:tcPr>
            <w:tcW w:w="2175" w:type="dxa"/>
            <w:tcBorders>
              <w:top w:val="single" w:sz="6" w:space="0" w:color="000000"/>
              <w:left w:val="single" w:sz="6" w:space="0" w:color="000000"/>
              <w:bottom w:val="single" w:sz="6" w:space="0" w:color="000000"/>
              <w:right w:val="nil"/>
            </w:tcBorders>
            <w:shd w:val="clear" w:color="auto" w:fill="auto"/>
            <w:vAlign w:val="center"/>
            <w:hideMark/>
          </w:tcPr>
          <w:p w14:paraId="027F2927" w14:textId="77777777" w:rsidR="00752D31" w:rsidRPr="008264D6" w:rsidRDefault="00752D31" w:rsidP="00543749">
            <w:pPr>
              <w:spacing w:after="0" w:line="240" w:lineRule="auto"/>
              <w:jc w:val="center"/>
              <w:rPr>
                <w:rFonts w:ascii="Arial" w:hAnsi="Arial" w:cs="Arial"/>
              </w:rPr>
            </w:pPr>
            <w:r w:rsidRPr="008264D6">
              <w:rPr>
                <w:rFonts w:ascii="Arial" w:hAnsi="Arial" w:cs="Arial"/>
              </w:rPr>
              <w:t>8</w:t>
            </w:r>
          </w:p>
        </w:tc>
        <w:tc>
          <w:tcPr>
            <w:tcW w:w="3255" w:type="dxa"/>
            <w:tcBorders>
              <w:top w:val="single" w:sz="6" w:space="0" w:color="000000"/>
              <w:left w:val="single" w:sz="6" w:space="0" w:color="000000"/>
              <w:bottom w:val="single" w:sz="6" w:space="0" w:color="000000"/>
              <w:right w:val="nil"/>
            </w:tcBorders>
            <w:shd w:val="clear" w:color="auto" w:fill="auto"/>
            <w:vAlign w:val="center"/>
            <w:hideMark/>
          </w:tcPr>
          <w:p w14:paraId="635A64CE" w14:textId="77777777" w:rsidR="00752D31" w:rsidRPr="008264D6" w:rsidRDefault="00752D31" w:rsidP="00543749">
            <w:pPr>
              <w:spacing w:after="0" w:line="240" w:lineRule="auto"/>
              <w:rPr>
                <w:rFonts w:ascii="Arial" w:hAnsi="Arial" w:cs="Arial"/>
              </w:rPr>
            </w:pPr>
            <w:r w:rsidRPr="008264D6">
              <w:rPr>
                <w:rFonts w:ascii="Arial" w:hAnsi="Arial" w:cs="Arial"/>
              </w:rPr>
              <w:t>12 micrograms/hour </w:t>
            </w:r>
          </w:p>
        </w:tc>
        <w:tc>
          <w:tcPr>
            <w:tcW w:w="42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DA100D" w14:textId="77777777" w:rsidR="00752D31" w:rsidRPr="008264D6" w:rsidRDefault="00752D31" w:rsidP="00543749">
            <w:pPr>
              <w:spacing w:after="0" w:line="240" w:lineRule="auto"/>
              <w:rPr>
                <w:rFonts w:ascii="Arial" w:hAnsi="Arial" w:cs="Arial"/>
              </w:rPr>
            </w:pPr>
            <w:r w:rsidRPr="008264D6">
              <w:rPr>
                <w:rFonts w:ascii="Arial" w:hAnsi="Arial" w:cs="Arial"/>
              </w:rPr>
              <w:t>12mcg/hr </w:t>
            </w:r>
          </w:p>
        </w:tc>
      </w:tr>
      <w:tr w:rsidR="00752D31" w:rsidRPr="00732594" w14:paraId="7D5C4CC9" w14:textId="77777777" w:rsidTr="00502C58">
        <w:trPr>
          <w:cantSplit/>
          <w:trHeight w:val="454"/>
        </w:trPr>
        <w:tc>
          <w:tcPr>
            <w:tcW w:w="2175" w:type="dxa"/>
            <w:tcBorders>
              <w:top w:val="single" w:sz="6" w:space="0" w:color="000000"/>
              <w:left w:val="single" w:sz="6" w:space="0" w:color="000000"/>
              <w:bottom w:val="single" w:sz="6" w:space="0" w:color="000000"/>
              <w:right w:val="nil"/>
            </w:tcBorders>
            <w:shd w:val="clear" w:color="auto" w:fill="auto"/>
            <w:vAlign w:val="center"/>
          </w:tcPr>
          <w:p w14:paraId="7D4A4F14" w14:textId="77777777" w:rsidR="00752D31" w:rsidRPr="008264D6" w:rsidRDefault="00752D31" w:rsidP="00543749">
            <w:pPr>
              <w:spacing w:after="0" w:line="240" w:lineRule="auto"/>
              <w:jc w:val="center"/>
              <w:rPr>
                <w:rFonts w:ascii="Arial" w:hAnsi="Arial" w:cs="Arial"/>
              </w:rPr>
            </w:pPr>
            <w:r>
              <w:rPr>
                <w:rFonts w:ascii="Arial" w:hAnsi="Arial" w:cs="Arial"/>
              </w:rPr>
              <w:t>9</w:t>
            </w:r>
          </w:p>
        </w:tc>
        <w:tc>
          <w:tcPr>
            <w:tcW w:w="74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C8B88A" w14:textId="77777777" w:rsidR="00752D31" w:rsidRPr="008264D6" w:rsidRDefault="00D51AB6" w:rsidP="00D51AB6">
            <w:pPr>
              <w:spacing w:after="0" w:line="240" w:lineRule="auto"/>
              <w:ind w:left="101"/>
              <w:rPr>
                <w:rFonts w:ascii="Arial" w:hAnsi="Arial" w:cs="Arial"/>
              </w:rPr>
            </w:pPr>
            <w:r w:rsidRPr="00D51AB6">
              <w:rPr>
                <w:rFonts w:ascii="Arial" w:hAnsi="Arial" w:cs="Arial"/>
                <w:color w:val="000000" w:themeColor="text1"/>
              </w:rPr>
              <w:t>Fentanyl 12mcg patches</w:t>
            </w:r>
            <w:r w:rsidRPr="00D51AB6">
              <w:rPr>
                <w:rFonts w:cs="Calibri"/>
                <w:color w:val="1F497D"/>
              </w:rPr>
              <w:t xml:space="preserve"> </w:t>
            </w:r>
            <w:r w:rsidRPr="00D51AB6">
              <w:rPr>
                <w:rFonts w:ascii="Arial" w:hAnsi="Arial" w:cs="Arial"/>
              </w:rPr>
              <w:t>are approximately equivalent to 30mg of oral morphine per day.</w:t>
            </w:r>
            <w:r w:rsidRPr="00D51AB6">
              <w:rPr>
                <w:rFonts w:ascii="Arial" w:hAnsi="Arial" w:cs="Arial"/>
                <w:vertAlign w:val="superscript"/>
              </w:rPr>
              <w:t>1</w:t>
            </w:r>
            <w:r>
              <w:rPr>
                <w:rFonts w:ascii="Arial" w:hAnsi="Arial" w:cs="Arial"/>
                <w:sz w:val="24"/>
                <w:szCs w:val="24"/>
                <w:vertAlign w:val="superscript"/>
              </w:rPr>
              <w:t xml:space="preserve">  </w:t>
            </w:r>
            <w:r w:rsidR="00752D31">
              <w:rPr>
                <w:rFonts w:ascii="Arial" w:hAnsi="Arial" w:cs="Arial"/>
              </w:rPr>
              <w:t>Consider conversion to a lower strength opioid</w:t>
            </w:r>
            <w:r w:rsidR="001526AE" w:rsidRPr="001526AE">
              <w:rPr>
                <w:rFonts w:ascii="Arial" w:hAnsi="Arial" w:cs="Arial"/>
                <w:vertAlign w:val="superscript"/>
              </w:rPr>
              <w:t>1,2</w:t>
            </w:r>
            <w:r w:rsidR="00752D31">
              <w:rPr>
                <w:rFonts w:ascii="Arial" w:hAnsi="Arial" w:cs="Arial"/>
              </w:rPr>
              <w:t xml:space="preserve"> for more gradual tapering </w:t>
            </w:r>
            <w:r w:rsidR="001526AE">
              <w:rPr>
                <w:rFonts w:ascii="Arial" w:hAnsi="Arial" w:cs="Arial"/>
              </w:rPr>
              <w:t xml:space="preserve">until able to </w:t>
            </w:r>
            <w:r w:rsidR="00752D31">
              <w:rPr>
                <w:rFonts w:ascii="Arial" w:hAnsi="Arial" w:cs="Arial"/>
              </w:rPr>
              <w:t xml:space="preserve">STOP </w:t>
            </w:r>
            <w:r w:rsidR="001526AE">
              <w:rPr>
                <w:rFonts w:ascii="Arial" w:hAnsi="Arial" w:cs="Arial"/>
              </w:rPr>
              <w:t>all opioids.</w:t>
            </w:r>
          </w:p>
        </w:tc>
      </w:tr>
    </w:tbl>
    <w:p w14:paraId="58FAC63C" w14:textId="77777777" w:rsidR="00543749" w:rsidRDefault="00732594" w:rsidP="00732594">
      <w:pPr>
        <w:spacing w:after="0" w:line="240" w:lineRule="auto"/>
        <w:rPr>
          <w:rFonts w:ascii="Arial" w:hAnsi="Arial" w:cs="Arial"/>
          <w:sz w:val="24"/>
          <w:szCs w:val="24"/>
        </w:rPr>
      </w:pPr>
      <w:r w:rsidRPr="00732594">
        <w:rPr>
          <w:rFonts w:ascii="Arial" w:hAnsi="Arial" w:cs="Arial"/>
          <w:sz w:val="24"/>
          <w:szCs w:val="24"/>
        </w:rPr>
        <w:t> </w:t>
      </w:r>
    </w:p>
    <w:p w14:paraId="2793D885" w14:textId="77777777" w:rsidR="00543749" w:rsidRDefault="00543749" w:rsidP="00543749">
      <w:pPr>
        <w:spacing w:after="0" w:line="240" w:lineRule="auto"/>
        <w:ind w:left="720"/>
        <w:rPr>
          <w:rFonts w:ascii="Arial" w:hAnsi="Arial" w:cs="Arial"/>
          <w:sz w:val="24"/>
          <w:szCs w:val="24"/>
        </w:rPr>
      </w:pPr>
    </w:p>
    <w:p w14:paraId="6DE62F4B" w14:textId="77777777" w:rsidR="00543749" w:rsidRPr="002C1C81" w:rsidRDefault="00543749" w:rsidP="00543749">
      <w:pPr>
        <w:spacing w:after="0" w:line="240" w:lineRule="auto"/>
        <w:rPr>
          <w:rFonts w:ascii="Arial" w:hAnsi="Arial" w:cs="Arial"/>
          <w:sz w:val="24"/>
          <w:szCs w:val="24"/>
        </w:rPr>
      </w:pPr>
      <w:r w:rsidRPr="002C1C81">
        <w:rPr>
          <w:rFonts w:ascii="Arial" w:hAnsi="Arial" w:cs="Arial"/>
          <w:sz w:val="24"/>
          <w:szCs w:val="24"/>
          <w:u w:val="single"/>
        </w:rPr>
        <w:t>Notes</w:t>
      </w:r>
      <w:r w:rsidRPr="002C1C81">
        <w:rPr>
          <w:rFonts w:ascii="Arial" w:hAnsi="Arial" w:cs="Arial"/>
          <w:sz w:val="24"/>
          <w:szCs w:val="24"/>
        </w:rPr>
        <w:t>  </w:t>
      </w:r>
    </w:p>
    <w:p w14:paraId="32B14D4D" w14:textId="77777777" w:rsidR="00543749" w:rsidRPr="002C1C81" w:rsidRDefault="00543749" w:rsidP="00543749">
      <w:pPr>
        <w:numPr>
          <w:ilvl w:val="0"/>
          <w:numId w:val="4"/>
        </w:numPr>
        <w:spacing w:after="0" w:line="240" w:lineRule="auto"/>
        <w:rPr>
          <w:rFonts w:ascii="Arial" w:hAnsi="Arial" w:cs="Arial"/>
          <w:sz w:val="24"/>
          <w:szCs w:val="24"/>
        </w:rPr>
      </w:pPr>
      <w:r w:rsidRPr="002C1C81">
        <w:rPr>
          <w:rFonts w:ascii="Arial" w:hAnsi="Arial" w:cs="Arial"/>
          <w:sz w:val="24"/>
          <w:szCs w:val="24"/>
        </w:rPr>
        <w:t>The F</w:t>
      </w:r>
      <w:r>
        <w:rPr>
          <w:rFonts w:ascii="Arial" w:hAnsi="Arial" w:cs="Arial"/>
          <w:sz w:val="24"/>
          <w:szCs w:val="24"/>
        </w:rPr>
        <w:t xml:space="preserve">aculty of </w:t>
      </w:r>
      <w:r w:rsidRPr="002C1C81">
        <w:rPr>
          <w:rFonts w:ascii="Arial" w:hAnsi="Arial" w:cs="Arial"/>
          <w:sz w:val="24"/>
          <w:szCs w:val="24"/>
        </w:rPr>
        <w:t>P</w:t>
      </w:r>
      <w:r>
        <w:rPr>
          <w:rFonts w:ascii="Arial" w:hAnsi="Arial" w:cs="Arial"/>
          <w:sz w:val="24"/>
          <w:szCs w:val="24"/>
        </w:rPr>
        <w:t xml:space="preserve">ain </w:t>
      </w:r>
      <w:r w:rsidRPr="002C1C81">
        <w:rPr>
          <w:rFonts w:ascii="Arial" w:hAnsi="Arial" w:cs="Arial"/>
          <w:sz w:val="24"/>
          <w:szCs w:val="24"/>
        </w:rPr>
        <w:t>M</w:t>
      </w:r>
      <w:r>
        <w:rPr>
          <w:rFonts w:ascii="Arial" w:hAnsi="Arial" w:cs="Arial"/>
          <w:sz w:val="24"/>
          <w:szCs w:val="24"/>
        </w:rPr>
        <w:t>edicine</w:t>
      </w:r>
      <w:r w:rsidRPr="002C1C81">
        <w:rPr>
          <w:rFonts w:ascii="Arial" w:hAnsi="Arial" w:cs="Arial"/>
          <w:sz w:val="24"/>
          <w:szCs w:val="24"/>
        </w:rPr>
        <w:t> recommends reducing opioids by no more than 10% every 1-2 weeks</w:t>
      </w:r>
      <w:r w:rsidRPr="002C1C81">
        <w:rPr>
          <w:rFonts w:ascii="Arial" w:hAnsi="Arial" w:cs="Arial"/>
          <w:sz w:val="24"/>
          <w:szCs w:val="24"/>
          <w:vertAlign w:val="superscript"/>
        </w:rPr>
        <w:t>3</w:t>
      </w:r>
      <w:r w:rsidRPr="002C1C81">
        <w:rPr>
          <w:rFonts w:ascii="Arial" w:hAnsi="Arial" w:cs="Arial"/>
          <w:sz w:val="24"/>
          <w:szCs w:val="24"/>
        </w:rPr>
        <w:t>.  </w:t>
      </w:r>
    </w:p>
    <w:p w14:paraId="56EF62F4" w14:textId="77777777" w:rsidR="00543749" w:rsidRPr="002C1C81" w:rsidRDefault="00543749" w:rsidP="00543749">
      <w:pPr>
        <w:numPr>
          <w:ilvl w:val="0"/>
          <w:numId w:val="5"/>
        </w:numPr>
        <w:spacing w:after="0" w:line="240" w:lineRule="auto"/>
        <w:rPr>
          <w:rFonts w:ascii="Arial" w:hAnsi="Arial" w:cs="Arial"/>
          <w:sz w:val="24"/>
          <w:szCs w:val="24"/>
        </w:rPr>
      </w:pPr>
      <w:r w:rsidRPr="002C1C81">
        <w:rPr>
          <w:rFonts w:ascii="Arial" w:hAnsi="Arial" w:cs="Arial"/>
          <w:sz w:val="24"/>
          <w:szCs w:val="24"/>
        </w:rPr>
        <w:t>In the UK there are no readily available prep</w:t>
      </w:r>
      <w:r>
        <w:rPr>
          <w:rFonts w:ascii="Arial" w:hAnsi="Arial" w:cs="Arial"/>
          <w:sz w:val="24"/>
          <w:szCs w:val="24"/>
        </w:rPr>
        <w:t xml:space="preserve">arations to allow this approach </w:t>
      </w:r>
      <w:r w:rsidRPr="002C1C81">
        <w:rPr>
          <w:rFonts w:ascii="Arial" w:hAnsi="Arial" w:cs="Arial"/>
          <w:sz w:val="24"/>
          <w:szCs w:val="24"/>
        </w:rPr>
        <w:t>t</w:t>
      </w:r>
      <w:r>
        <w:rPr>
          <w:rFonts w:ascii="Arial" w:hAnsi="Arial" w:cs="Arial"/>
          <w:sz w:val="24"/>
          <w:szCs w:val="24"/>
        </w:rPr>
        <w:t>hroughout the reducing regime. </w:t>
      </w:r>
    </w:p>
    <w:p w14:paraId="38B41EA1" w14:textId="77777777" w:rsidR="00543749" w:rsidRPr="002C1C81" w:rsidRDefault="00543749" w:rsidP="00543749">
      <w:pPr>
        <w:numPr>
          <w:ilvl w:val="0"/>
          <w:numId w:val="5"/>
        </w:numPr>
        <w:spacing w:after="0" w:line="240" w:lineRule="auto"/>
        <w:rPr>
          <w:rFonts w:ascii="Arial" w:hAnsi="Arial" w:cs="Arial"/>
          <w:sz w:val="24"/>
          <w:szCs w:val="24"/>
        </w:rPr>
      </w:pPr>
      <w:r w:rsidRPr="002C1C81">
        <w:rPr>
          <w:rFonts w:ascii="Arial" w:hAnsi="Arial" w:cs="Arial"/>
          <w:sz w:val="24"/>
          <w:szCs w:val="24"/>
        </w:rPr>
        <w:t>This leads to a larger reduction as the regime progresses. </w:t>
      </w:r>
    </w:p>
    <w:p w14:paraId="7107E738" w14:textId="77777777" w:rsidR="00543749" w:rsidRPr="00732594" w:rsidRDefault="00543749" w:rsidP="00543749">
      <w:pPr>
        <w:spacing w:after="0" w:line="240" w:lineRule="auto"/>
        <w:ind w:left="720"/>
        <w:rPr>
          <w:rFonts w:ascii="Arial" w:hAnsi="Arial" w:cs="Arial"/>
          <w:sz w:val="24"/>
          <w:szCs w:val="24"/>
        </w:rPr>
      </w:pPr>
      <w:r w:rsidRPr="002C1C81">
        <w:rPr>
          <w:rFonts w:ascii="Arial" w:hAnsi="Arial" w:cs="Arial"/>
          <w:sz w:val="24"/>
          <w:szCs w:val="24"/>
        </w:rPr>
        <w:t>This may mean that some patients want to slow the speed of the reduction as the regime progresses</w:t>
      </w:r>
    </w:p>
    <w:p w14:paraId="573E3C4A" w14:textId="77777777" w:rsidR="00543749" w:rsidRDefault="00543749" w:rsidP="00543749">
      <w:pPr>
        <w:numPr>
          <w:ilvl w:val="0"/>
          <w:numId w:val="3"/>
        </w:numPr>
        <w:spacing w:after="0" w:line="240" w:lineRule="auto"/>
        <w:rPr>
          <w:rFonts w:ascii="Arial" w:hAnsi="Arial" w:cs="Arial"/>
          <w:sz w:val="24"/>
          <w:szCs w:val="24"/>
        </w:rPr>
      </w:pPr>
      <w:r w:rsidRPr="00732594">
        <w:rPr>
          <w:rFonts w:ascii="Arial" w:hAnsi="Arial" w:cs="Arial"/>
          <w:sz w:val="24"/>
          <w:szCs w:val="24"/>
        </w:rPr>
        <w:t xml:space="preserve">At doses of 25 micrograms/hour and below it may be easier, where appropriate, to convert to the oral morphine equivalent dose for more gradual tapering.  </w:t>
      </w:r>
    </w:p>
    <w:p w14:paraId="099BC0EC" w14:textId="77777777" w:rsidR="00543749" w:rsidRDefault="00543749" w:rsidP="00543749">
      <w:pPr>
        <w:spacing w:after="0" w:line="240" w:lineRule="auto"/>
        <w:ind w:left="720"/>
        <w:rPr>
          <w:rFonts w:ascii="Arial" w:hAnsi="Arial" w:cs="Arial"/>
          <w:sz w:val="24"/>
          <w:szCs w:val="24"/>
        </w:rPr>
      </w:pPr>
      <w:r w:rsidRPr="00732594">
        <w:rPr>
          <w:rFonts w:ascii="Arial" w:hAnsi="Arial" w:cs="Arial"/>
          <w:sz w:val="24"/>
          <w:szCs w:val="24"/>
        </w:rPr>
        <w:t>If converting, consider using the “Consolidating Opioids” document to aid the conversion. </w:t>
      </w:r>
    </w:p>
    <w:p w14:paraId="3744CFA3" w14:textId="77777777" w:rsidR="00C277FB" w:rsidRDefault="00C277FB" w:rsidP="00C277FB">
      <w:pPr>
        <w:spacing w:after="0" w:line="240" w:lineRule="auto"/>
        <w:rPr>
          <w:rFonts w:ascii="Arial" w:hAnsi="Arial" w:cs="Arial"/>
          <w:sz w:val="24"/>
          <w:szCs w:val="24"/>
        </w:rPr>
      </w:pPr>
    </w:p>
    <w:p w14:paraId="65DE7901" w14:textId="77777777" w:rsidR="00543749" w:rsidRDefault="00543749" w:rsidP="00C277FB">
      <w:pPr>
        <w:spacing w:after="0" w:line="240" w:lineRule="auto"/>
        <w:rPr>
          <w:rFonts w:ascii="Arial" w:hAnsi="Arial" w:cs="Arial"/>
          <w:sz w:val="24"/>
          <w:szCs w:val="24"/>
        </w:rPr>
      </w:pPr>
    </w:p>
    <w:p w14:paraId="22D4FE92" w14:textId="77777777" w:rsidR="00543749" w:rsidRDefault="00543749" w:rsidP="00C277FB">
      <w:pPr>
        <w:spacing w:after="0" w:line="240" w:lineRule="auto"/>
        <w:rPr>
          <w:rFonts w:ascii="Arial" w:hAnsi="Arial" w:cs="Arial"/>
          <w:sz w:val="24"/>
          <w:szCs w:val="24"/>
        </w:rPr>
      </w:pPr>
    </w:p>
    <w:p w14:paraId="6036ED65" w14:textId="77777777" w:rsidR="00543749" w:rsidRDefault="00543749" w:rsidP="00C277FB">
      <w:pPr>
        <w:spacing w:after="0" w:line="240" w:lineRule="auto"/>
        <w:rPr>
          <w:rFonts w:ascii="Arial" w:hAnsi="Arial" w:cs="Arial"/>
          <w:sz w:val="24"/>
          <w:szCs w:val="24"/>
        </w:rPr>
      </w:pPr>
    </w:p>
    <w:p w14:paraId="363E2B09" w14:textId="77777777" w:rsidR="00743431" w:rsidRPr="00543749" w:rsidRDefault="00543749" w:rsidP="00C277FB">
      <w:pPr>
        <w:spacing w:after="0" w:line="240" w:lineRule="auto"/>
        <w:rPr>
          <w:rFonts w:ascii="Arial" w:hAnsi="Arial" w:cs="Arial"/>
          <w:sz w:val="20"/>
          <w:szCs w:val="20"/>
        </w:rPr>
      </w:pPr>
      <w:r w:rsidRPr="00543749">
        <w:rPr>
          <w:rFonts w:ascii="Arial" w:hAnsi="Arial" w:cs="Arial"/>
          <w:sz w:val="20"/>
          <w:szCs w:val="20"/>
        </w:rPr>
        <w:t>References</w:t>
      </w:r>
    </w:p>
    <w:p w14:paraId="0A05CEF7" w14:textId="77777777" w:rsidR="00743431" w:rsidRPr="001526AE" w:rsidRDefault="00BA47DE" w:rsidP="00543749">
      <w:pPr>
        <w:numPr>
          <w:ilvl w:val="1"/>
          <w:numId w:val="3"/>
        </w:numPr>
        <w:spacing w:after="0" w:line="240" w:lineRule="auto"/>
        <w:ind w:left="426"/>
        <w:rPr>
          <w:rStyle w:val="Hyperlink"/>
          <w:rFonts w:ascii="Arial" w:hAnsi="Arial" w:cs="Arial"/>
          <w:color w:val="auto"/>
          <w:sz w:val="24"/>
          <w:szCs w:val="24"/>
          <w:u w:val="none"/>
        </w:rPr>
      </w:pPr>
      <w:hyperlink r:id="rId8" w:history="1">
        <w:r w:rsidR="008264D6">
          <w:rPr>
            <w:rStyle w:val="Hyperlink"/>
          </w:rPr>
          <w:t>Dose equivalents and changing opioids | Faculty of Pain Medicine (fpm.ac.uk)</w:t>
        </w:r>
      </w:hyperlink>
      <w:r w:rsidR="00543749">
        <w:rPr>
          <w:rStyle w:val="Hyperlink"/>
        </w:rPr>
        <w:t xml:space="preserve"> </w:t>
      </w:r>
      <w:r w:rsidR="00543749" w:rsidRPr="00543749">
        <w:rPr>
          <w:rStyle w:val="Hyperlink"/>
          <w:color w:val="000000" w:themeColor="text1"/>
          <w:u w:val="none"/>
        </w:rPr>
        <w:t>accessed 19/3/21</w:t>
      </w:r>
    </w:p>
    <w:p w14:paraId="1BE19347" w14:textId="77777777" w:rsidR="001526AE" w:rsidRPr="00AF1765" w:rsidRDefault="00BA47DE" w:rsidP="00543749">
      <w:pPr>
        <w:numPr>
          <w:ilvl w:val="1"/>
          <w:numId w:val="3"/>
        </w:numPr>
        <w:spacing w:after="0" w:line="240" w:lineRule="auto"/>
        <w:ind w:left="426"/>
        <w:rPr>
          <w:rFonts w:ascii="Arial" w:hAnsi="Arial" w:cs="Arial"/>
          <w:sz w:val="24"/>
          <w:szCs w:val="24"/>
        </w:rPr>
      </w:pPr>
      <w:hyperlink r:id="rId9" w:history="1">
        <w:r w:rsidR="001526AE">
          <w:rPr>
            <w:rStyle w:val="Hyperlink"/>
          </w:rPr>
          <w:t>Tapering and stopping | Faculty of Pain Medicine (fpm.ac.uk)</w:t>
        </w:r>
      </w:hyperlink>
      <w:r w:rsidR="001526AE">
        <w:t xml:space="preserve"> accessed 19/3/21</w:t>
      </w:r>
    </w:p>
    <w:sectPr w:rsidR="001526AE" w:rsidRPr="00AF1765" w:rsidSect="008264D6">
      <w:headerReference w:type="default" r:id="rId10"/>
      <w:footerReference w:type="default" r:id="rId11"/>
      <w:headerReference w:type="first" r:id="rId12"/>
      <w:footerReference w:type="first" r:id="rId13"/>
      <w:pgSz w:w="11906" w:h="16838" w:code="9"/>
      <w:pgMar w:top="1276" w:right="1134" w:bottom="1440" w:left="113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C67F" w14:textId="77777777" w:rsidR="00BE51AA" w:rsidRDefault="00BE51AA" w:rsidP="001D776D">
      <w:pPr>
        <w:spacing w:after="0" w:line="240" w:lineRule="auto"/>
      </w:pPr>
      <w:r>
        <w:separator/>
      </w:r>
    </w:p>
  </w:endnote>
  <w:endnote w:type="continuationSeparator" w:id="0">
    <w:p w14:paraId="18EC4CD3" w14:textId="77777777" w:rsidR="00BE51AA" w:rsidRDefault="00BE51AA" w:rsidP="001D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E2F6" w14:textId="6F484C97" w:rsidR="003144CB" w:rsidRDefault="008264D6" w:rsidP="008264D6">
    <w:pPr>
      <w:pStyle w:val="Footer"/>
      <w:jc w:val="center"/>
    </w:pPr>
    <w:r>
      <w:rPr>
        <w:lang w:val="en-GB"/>
      </w:rPr>
      <w:tab/>
    </w:r>
    <w:r>
      <w:fldChar w:fldCharType="begin"/>
    </w:r>
    <w:r>
      <w:instrText xml:space="preserve"> PAGE   \* MERGEFORMAT </w:instrText>
    </w:r>
    <w:r>
      <w:fldChar w:fldCharType="separate"/>
    </w:r>
    <w:r w:rsidR="00813855">
      <w:rPr>
        <w:noProof/>
      </w:rPr>
      <w:t>2</w:t>
    </w:r>
    <w:r>
      <w:rPr>
        <w:noProof/>
      </w:rPr>
      <w:fldChar w:fldCharType="end"/>
    </w:r>
    <w:r>
      <w:rPr>
        <w:noProof/>
        <w:lang w:val="en-GB"/>
      </w:rPr>
      <w:tab/>
      <w:t xml:space="preserve">Version 1.0 </w:t>
    </w:r>
    <w:r w:rsidR="004E1688">
      <w:rPr>
        <w:noProof/>
        <w:lang w:val="en-GB"/>
      </w:rPr>
      <w:t>August</w:t>
    </w:r>
    <w:r>
      <w:rPr>
        <w:noProof/>
        <w:lang w:val="en-GB"/>
      </w:rPr>
      <w:t xml:space="preserve"> 202</w:t>
    </w:r>
    <w:r w:rsidR="004E1688">
      <w:rPr>
        <w:noProof/>
        <w:lang w:val="en-GB"/>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BFF8" w14:textId="574D6357" w:rsidR="00224297" w:rsidRPr="00224297" w:rsidRDefault="00224297">
    <w:pPr>
      <w:pStyle w:val="Footer"/>
      <w:jc w:val="center"/>
      <w:rPr>
        <w:lang w:val="en-GB"/>
      </w:rPr>
    </w:pPr>
    <w:r>
      <w:rPr>
        <w:lang w:val="en-GB"/>
      </w:rPr>
      <w:tab/>
    </w:r>
    <w:r>
      <w:fldChar w:fldCharType="begin"/>
    </w:r>
    <w:r>
      <w:instrText xml:space="preserve"> PAGE   \* MERGEFORMAT </w:instrText>
    </w:r>
    <w:r>
      <w:fldChar w:fldCharType="separate"/>
    </w:r>
    <w:r w:rsidR="00813855">
      <w:rPr>
        <w:noProof/>
      </w:rPr>
      <w:t>1</w:t>
    </w:r>
    <w:r>
      <w:rPr>
        <w:noProof/>
      </w:rPr>
      <w:fldChar w:fldCharType="end"/>
    </w:r>
    <w:r>
      <w:rPr>
        <w:noProof/>
        <w:lang w:val="en-GB"/>
      </w:rPr>
      <w:tab/>
      <w:t>Version 1.0</w:t>
    </w:r>
    <w:r w:rsidR="004E1688">
      <w:rPr>
        <w:noProof/>
        <w:lang w:val="en-GB"/>
      </w:rPr>
      <w:t xml:space="preserve"> August</w:t>
    </w:r>
    <w:r>
      <w:rPr>
        <w:noProof/>
        <w:lang w:val="en-GB"/>
      </w:rPr>
      <w:t xml:space="preserve"> 202</w:t>
    </w:r>
    <w:r w:rsidR="004E1688">
      <w:rPr>
        <w:noProof/>
        <w:lang w:val="en-GB"/>
      </w:rPr>
      <w:t>2</w:t>
    </w:r>
  </w:p>
  <w:p w14:paraId="28B96E94" w14:textId="77777777" w:rsidR="003478FA" w:rsidRPr="002C4EC5" w:rsidRDefault="003478FA" w:rsidP="002C4EC5">
    <w:pPr>
      <w:pStyle w:val="Foote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D174" w14:textId="77777777" w:rsidR="00BE51AA" w:rsidRDefault="00BE51AA" w:rsidP="001D776D">
      <w:pPr>
        <w:spacing w:after="0" w:line="240" w:lineRule="auto"/>
      </w:pPr>
      <w:r>
        <w:separator/>
      </w:r>
    </w:p>
  </w:footnote>
  <w:footnote w:type="continuationSeparator" w:id="0">
    <w:p w14:paraId="01BAC610" w14:textId="77777777" w:rsidR="00BE51AA" w:rsidRDefault="00BE51AA" w:rsidP="001D7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A050" w14:textId="77777777" w:rsidR="001D776D" w:rsidRDefault="001D776D" w:rsidP="00C02A88">
    <w:pPr>
      <w:pStyle w:val="Header"/>
      <w:tabs>
        <w:tab w:val="clear" w:pos="9026"/>
      </w:tabs>
      <w:jc w:val="right"/>
    </w:pPr>
  </w:p>
  <w:p w14:paraId="79C8F45A" w14:textId="77777777" w:rsidR="001D776D" w:rsidRDefault="001D7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37BD" w14:textId="071228C3" w:rsidR="00C02A88" w:rsidRDefault="00BA47DE">
    <w:pPr>
      <w:pStyle w:val="Header"/>
    </w:pPr>
    <w:r>
      <w:rPr>
        <w:noProof/>
      </w:rPr>
      <w:pict w14:anchorId="65EFE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6" type="#_x0000_t75" alt="Graphical user interface&#10;&#10;Description automatically generated" style="position:absolute;margin-left:249.3pt;margin-top:-9.95pt;width:260pt;height:84.25pt;z-index:-251654144;visibility:visible;mso-wrap-style:square;mso-wrap-distance-left:9pt;mso-wrap-distance-top:0;mso-wrap-distance-right:9pt;mso-wrap-distance-bottom:0;mso-position-horizontal-relative:text;mso-position-vertical-relative:text;mso-width-relative:page;mso-height-relative:page" wrapcoords="15034 2842 15034 8905 13807 11937 13868 14968 10248 16105 9757 16484 9757 18758 10677 19516 11720 19516 12273 19516 20741 18947 20741 16863 20557 16105 19882 14968 20618 14968 20741 12884 20495 11937 20741 8905 20741 2842 15034 2842">
          <v:imagedata r:id="rId1" o:title="Graphical user interface&#10;&#10;Description automatically generated"/>
          <w10:wrap type="tight"/>
        </v:shape>
      </w:pict>
    </w:r>
  </w:p>
  <w:p w14:paraId="0C274A0B" w14:textId="3EB02898" w:rsidR="00C277FB" w:rsidRDefault="00BA47DE" w:rsidP="00A54F97">
    <w:pPr>
      <w:pStyle w:val="Header"/>
      <w:jc w:val="right"/>
    </w:pPr>
    <w:r>
      <w:rPr>
        <w:noProof/>
        <w:lang w:val="en-GB" w:eastAsia="en-GB"/>
      </w:rPr>
      <w:pict w14:anchorId="559BEB06">
        <v:shape id="Picture 3" o:spid="_x0000_s4105" type="#_x0000_t75" style="position:absolute;left:0;text-align:left;margin-left:-13.7pt;margin-top:-30.7pt;width:137.45pt;height:82.5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18 0 -118 21404 21600 21404 21600 0 -118 0">
          <v:imagedata r:id="rId2" o:title="SDAS logo"/>
        </v:shape>
      </w:pict>
    </w:r>
    <w:r>
      <w:rPr>
        <w:noProof/>
        <w:lang w:val="en-GB" w:eastAsia="en-GB"/>
      </w:rPr>
      <w:pict w14:anchorId="59943053">
        <v:shape id="Picture 4" o:spid="_x0000_s4104" type="#_x0000_t75" style="position:absolute;left:0;text-align:left;margin-left:151.3pt;margin-top:-35.4pt;width:154.4pt;height:87.25pt;z-index:-251657216;visibility:visible;mso-wrap-style:square;mso-wrap-distance-left:9pt;mso-wrap-distance-top:0;mso-wrap-distance-right:9pt;mso-wrap-distance-bottom:0;mso-position-horizontal-relative:text;mso-position-vertical-relative:text;mso-width-relative:page;mso-height-relative:page" wrapcoords="11100 2656 11100 8321 9100 11685 9000 13987 3700 15580 2500 16111 2500 18413 20800 18413 20900 11331 20000 11154 14000 11154 20900 9384 20800 2656 11100 2656">
          <v:imagedata r:id="rId3" o:title="Somerset NHS logo_right alligned logo (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AC1"/>
    <w:multiLevelType w:val="multilevel"/>
    <w:tmpl w:val="21C60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5004B7"/>
    <w:multiLevelType w:val="multilevel"/>
    <w:tmpl w:val="0DE2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D50CE6"/>
    <w:multiLevelType w:val="multilevel"/>
    <w:tmpl w:val="F60A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760FE8"/>
    <w:multiLevelType w:val="multilevel"/>
    <w:tmpl w:val="CEC0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473E4E"/>
    <w:multiLevelType w:val="multilevel"/>
    <w:tmpl w:val="C938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369853">
    <w:abstractNumId w:val="3"/>
  </w:num>
  <w:num w:numId="2" w16cid:durableId="734473181">
    <w:abstractNumId w:val="2"/>
  </w:num>
  <w:num w:numId="3" w16cid:durableId="1487475854">
    <w:abstractNumId w:val="0"/>
  </w:num>
  <w:num w:numId="4" w16cid:durableId="1728214634">
    <w:abstractNumId w:val="1"/>
  </w:num>
  <w:num w:numId="5" w16cid:durableId="1354262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E51AA"/>
    <w:rsid w:val="0003706D"/>
    <w:rsid w:val="001526AE"/>
    <w:rsid w:val="001D776D"/>
    <w:rsid w:val="00224297"/>
    <w:rsid w:val="00240016"/>
    <w:rsid w:val="00253535"/>
    <w:rsid w:val="002C4EC5"/>
    <w:rsid w:val="003144CB"/>
    <w:rsid w:val="003478FA"/>
    <w:rsid w:val="003821D2"/>
    <w:rsid w:val="00385564"/>
    <w:rsid w:val="004546FF"/>
    <w:rsid w:val="004E1688"/>
    <w:rsid w:val="00503C3F"/>
    <w:rsid w:val="00543749"/>
    <w:rsid w:val="006166CF"/>
    <w:rsid w:val="00685965"/>
    <w:rsid w:val="00732594"/>
    <w:rsid w:val="00743431"/>
    <w:rsid w:val="00752D31"/>
    <w:rsid w:val="007548C9"/>
    <w:rsid w:val="00763A8D"/>
    <w:rsid w:val="00813855"/>
    <w:rsid w:val="00814586"/>
    <w:rsid w:val="008264D6"/>
    <w:rsid w:val="008333B8"/>
    <w:rsid w:val="008B4288"/>
    <w:rsid w:val="0092136B"/>
    <w:rsid w:val="00993A62"/>
    <w:rsid w:val="00A54F97"/>
    <w:rsid w:val="00AF1765"/>
    <w:rsid w:val="00B71395"/>
    <w:rsid w:val="00BA47DE"/>
    <w:rsid w:val="00BA7AAC"/>
    <w:rsid w:val="00BE51AA"/>
    <w:rsid w:val="00BF762A"/>
    <w:rsid w:val="00C02A88"/>
    <w:rsid w:val="00C12BC9"/>
    <w:rsid w:val="00C277FB"/>
    <w:rsid w:val="00C65D23"/>
    <w:rsid w:val="00C711FA"/>
    <w:rsid w:val="00D400F8"/>
    <w:rsid w:val="00D51AB6"/>
    <w:rsid w:val="00D836D8"/>
    <w:rsid w:val="00DA3CE0"/>
    <w:rsid w:val="00EA163F"/>
    <w:rsid w:val="00F375F9"/>
    <w:rsid w:val="00FD6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4:docId w14:val="15491D8A"/>
  <w15:docId w15:val="{EF027AE0-015A-4884-888A-99EB27C5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76D"/>
    <w:pPr>
      <w:tabs>
        <w:tab w:val="center" w:pos="4513"/>
        <w:tab w:val="right" w:pos="9026"/>
      </w:tabs>
    </w:pPr>
    <w:rPr>
      <w:lang w:val="x-none"/>
    </w:rPr>
  </w:style>
  <w:style w:type="character" w:customStyle="1" w:styleId="HeaderChar">
    <w:name w:val="Header Char"/>
    <w:link w:val="Header"/>
    <w:uiPriority w:val="99"/>
    <w:rsid w:val="001D776D"/>
    <w:rPr>
      <w:sz w:val="22"/>
      <w:szCs w:val="22"/>
      <w:lang w:eastAsia="en-US"/>
    </w:rPr>
  </w:style>
  <w:style w:type="paragraph" w:styleId="Footer">
    <w:name w:val="footer"/>
    <w:basedOn w:val="Normal"/>
    <w:link w:val="FooterChar"/>
    <w:uiPriority w:val="99"/>
    <w:unhideWhenUsed/>
    <w:rsid w:val="001D776D"/>
    <w:pPr>
      <w:tabs>
        <w:tab w:val="center" w:pos="4513"/>
        <w:tab w:val="right" w:pos="9026"/>
      </w:tabs>
    </w:pPr>
    <w:rPr>
      <w:lang w:val="x-none"/>
    </w:rPr>
  </w:style>
  <w:style w:type="character" w:customStyle="1" w:styleId="FooterChar">
    <w:name w:val="Footer Char"/>
    <w:link w:val="Footer"/>
    <w:uiPriority w:val="99"/>
    <w:rsid w:val="001D776D"/>
    <w:rPr>
      <w:sz w:val="22"/>
      <w:szCs w:val="22"/>
      <w:lang w:eastAsia="en-US"/>
    </w:rPr>
  </w:style>
  <w:style w:type="paragraph" w:styleId="BalloonText">
    <w:name w:val="Balloon Text"/>
    <w:basedOn w:val="Normal"/>
    <w:link w:val="BalloonTextChar"/>
    <w:uiPriority w:val="99"/>
    <w:semiHidden/>
    <w:unhideWhenUsed/>
    <w:rsid w:val="001D776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D776D"/>
    <w:rPr>
      <w:rFonts w:ascii="Tahoma" w:hAnsi="Tahoma" w:cs="Tahoma"/>
      <w:sz w:val="16"/>
      <w:szCs w:val="16"/>
      <w:lang w:eastAsia="en-US"/>
    </w:rPr>
  </w:style>
  <w:style w:type="character" w:styleId="CommentReference">
    <w:name w:val="annotation reference"/>
    <w:uiPriority w:val="99"/>
    <w:semiHidden/>
    <w:unhideWhenUsed/>
    <w:rsid w:val="00C711FA"/>
    <w:rPr>
      <w:sz w:val="16"/>
      <w:szCs w:val="16"/>
    </w:rPr>
  </w:style>
  <w:style w:type="paragraph" w:styleId="CommentText">
    <w:name w:val="annotation text"/>
    <w:basedOn w:val="Normal"/>
    <w:link w:val="CommentTextChar"/>
    <w:uiPriority w:val="99"/>
    <w:semiHidden/>
    <w:unhideWhenUsed/>
    <w:rsid w:val="00C711FA"/>
    <w:rPr>
      <w:sz w:val="20"/>
      <w:szCs w:val="20"/>
    </w:rPr>
  </w:style>
  <w:style w:type="character" w:customStyle="1" w:styleId="CommentTextChar">
    <w:name w:val="Comment Text Char"/>
    <w:link w:val="CommentText"/>
    <w:uiPriority w:val="99"/>
    <w:semiHidden/>
    <w:rsid w:val="00C711FA"/>
    <w:rPr>
      <w:lang w:eastAsia="en-US"/>
    </w:rPr>
  </w:style>
  <w:style w:type="paragraph" w:styleId="CommentSubject">
    <w:name w:val="annotation subject"/>
    <w:basedOn w:val="CommentText"/>
    <w:next w:val="CommentText"/>
    <w:link w:val="CommentSubjectChar"/>
    <w:uiPriority w:val="99"/>
    <w:semiHidden/>
    <w:unhideWhenUsed/>
    <w:rsid w:val="00C711FA"/>
    <w:rPr>
      <w:b/>
      <w:bCs/>
    </w:rPr>
  </w:style>
  <w:style w:type="character" w:customStyle="1" w:styleId="CommentSubjectChar">
    <w:name w:val="Comment Subject Char"/>
    <w:link w:val="CommentSubject"/>
    <w:uiPriority w:val="99"/>
    <w:semiHidden/>
    <w:rsid w:val="00C711FA"/>
    <w:rPr>
      <w:b/>
      <w:bCs/>
      <w:lang w:eastAsia="en-US"/>
    </w:rPr>
  </w:style>
  <w:style w:type="character" w:styleId="Hyperlink">
    <w:name w:val="Hyperlink"/>
    <w:uiPriority w:val="99"/>
    <w:unhideWhenUsed/>
    <w:rsid w:val="008264D6"/>
    <w:rPr>
      <w:color w:val="0000FF"/>
      <w:u w:val="single"/>
    </w:rPr>
  </w:style>
  <w:style w:type="character" w:styleId="FollowedHyperlink">
    <w:name w:val="FollowedHyperlink"/>
    <w:uiPriority w:val="99"/>
    <w:semiHidden/>
    <w:unhideWhenUsed/>
    <w:rsid w:val="008264D6"/>
    <w:rPr>
      <w:color w:val="800080"/>
      <w:u w:val="single"/>
    </w:rPr>
  </w:style>
  <w:style w:type="character" w:styleId="UnresolvedMention">
    <w:name w:val="Unresolved Mention"/>
    <w:basedOn w:val="DefaultParagraphFont"/>
    <w:uiPriority w:val="99"/>
    <w:semiHidden/>
    <w:unhideWhenUsed/>
    <w:rsid w:val="00382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056477">
      <w:bodyDiv w:val="1"/>
      <w:marLeft w:val="0"/>
      <w:marRight w:val="0"/>
      <w:marTop w:val="0"/>
      <w:marBottom w:val="0"/>
      <w:divBdr>
        <w:top w:val="none" w:sz="0" w:space="0" w:color="auto"/>
        <w:left w:val="none" w:sz="0" w:space="0" w:color="auto"/>
        <w:bottom w:val="none" w:sz="0" w:space="0" w:color="auto"/>
        <w:right w:val="none" w:sz="0" w:space="0" w:color="auto"/>
      </w:divBdr>
      <w:divsChild>
        <w:div w:id="1667514804">
          <w:marLeft w:val="0"/>
          <w:marRight w:val="0"/>
          <w:marTop w:val="0"/>
          <w:marBottom w:val="0"/>
          <w:divBdr>
            <w:top w:val="none" w:sz="0" w:space="0" w:color="auto"/>
            <w:left w:val="none" w:sz="0" w:space="0" w:color="auto"/>
            <w:bottom w:val="none" w:sz="0" w:space="0" w:color="auto"/>
            <w:right w:val="none" w:sz="0" w:space="0" w:color="auto"/>
          </w:divBdr>
        </w:div>
        <w:div w:id="720709948">
          <w:marLeft w:val="0"/>
          <w:marRight w:val="0"/>
          <w:marTop w:val="0"/>
          <w:marBottom w:val="0"/>
          <w:divBdr>
            <w:top w:val="none" w:sz="0" w:space="0" w:color="auto"/>
            <w:left w:val="none" w:sz="0" w:space="0" w:color="auto"/>
            <w:bottom w:val="none" w:sz="0" w:space="0" w:color="auto"/>
            <w:right w:val="none" w:sz="0" w:space="0" w:color="auto"/>
          </w:divBdr>
        </w:div>
        <w:div w:id="2070882996">
          <w:marLeft w:val="0"/>
          <w:marRight w:val="0"/>
          <w:marTop w:val="0"/>
          <w:marBottom w:val="0"/>
          <w:divBdr>
            <w:top w:val="none" w:sz="0" w:space="0" w:color="auto"/>
            <w:left w:val="none" w:sz="0" w:space="0" w:color="auto"/>
            <w:bottom w:val="none" w:sz="0" w:space="0" w:color="auto"/>
            <w:right w:val="none" w:sz="0" w:space="0" w:color="auto"/>
          </w:divBdr>
        </w:div>
        <w:div w:id="535234388">
          <w:marLeft w:val="0"/>
          <w:marRight w:val="0"/>
          <w:marTop w:val="0"/>
          <w:marBottom w:val="0"/>
          <w:divBdr>
            <w:top w:val="none" w:sz="0" w:space="0" w:color="auto"/>
            <w:left w:val="none" w:sz="0" w:space="0" w:color="auto"/>
            <w:bottom w:val="none" w:sz="0" w:space="0" w:color="auto"/>
            <w:right w:val="none" w:sz="0" w:space="0" w:color="auto"/>
          </w:divBdr>
        </w:div>
        <w:div w:id="340354111">
          <w:marLeft w:val="0"/>
          <w:marRight w:val="0"/>
          <w:marTop w:val="0"/>
          <w:marBottom w:val="0"/>
          <w:divBdr>
            <w:top w:val="none" w:sz="0" w:space="0" w:color="auto"/>
            <w:left w:val="none" w:sz="0" w:space="0" w:color="auto"/>
            <w:bottom w:val="none" w:sz="0" w:space="0" w:color="auto"/>
            <w:right w:val="none" w:sz="0" w:space="0" w:color="auto"/>
          </w:divBdr>
        </w:div>
        <w:div w:id="2026205022">
          <w:marLeft w:val="0"/>
          <w:marRight w:val="0"/>
          <w:marTop w:val="0"/>
          <w:marBottom w:val="0"/>
          <w:divBdr>
            <w:top w:val="none" w:sz="0" w:space="0" w:color="auto"/>
            <w:left w:val="none" w:sz="0" w:space="0" w:color="auto"/>
            <w:bottom w:val="none" w:sz="0" w:space="0" w:color="auto"/>
            <w:right w:val="none" w:sz="0" w:space="0" w:color="auto"/>
          </w:divBdr>
        </w:div>
        <w:div w:id="1179468170">
          <w:marLeft w:val="-75"/>
          <w:marRight w:val="0"/>
          <w:marTop w:val="30"/>
          <w:marBottom w:val="30"/>
          <w:divBdr>
            <w:top w:val="none" w:sz="0" w:space="0" w:color="auto"/>
            <w:left w:val="none" w:sz="0" w:space="0" w:color="auto"/>
            <w:bottom w:val="none" w:sz="0" w:space="0" w:color="auto"/>
            <w:right w:val="none" w:sz="0" w:space="0" w:color="auto"/>
          </w:divBdr>
          <w:divsChild>
            <w:div w:id="2041782153">
              <w:marLeft w:val="0"/>
              <w:marRight w:val="0"/>
              <w:marTop w:val="0"/>
              <w:marBottom w:val="0"/>
              <w:divBdr>
                <w:top w:val="none" w:sz="0" w:space="0" w:color="auto"/>
                <w:left w:val="none" w:sz="0" w:space="0" w:color="auto"/>
                <w:bottom w:val="none" w:sz="0" w:space="0" w:color="auto"/>
                <w:right w:val="none" w:sz="0" w:space="0" w:color="auto"/>
              </w:divBdr>
              <w:divsChild>
                <w:div w:id="551355742">
                  <w:marLeft w:val="0"/>
                  <w:marRight w:val="0"/>
                  <w:marTop w:val="0"/>
                  <w:marBottom w:val="0"/>
                  <w:divBdr>
                    <w:top w:val="none" w:sz="0" w:space="0" w:color="auto"/>
                    <w:left w:val="none" w:sz="0" w:space="0" w:color="auto"/>
                    <w:bottom w:val="none" w:sz="0" w:space="0" w:color="auto"/>
                    <w:right w:val="none" w:sz="0" w:space="0" w:color="auto"/>
                  </w:divBdr>
                </w:div>
              </w:divsChild>
            </w:div>
            <w:div w:id="1988590721">
              <w:marLeft w:val="0"/>
              <w:marRight w:val="0"/>
              <w:marTop w:val="0"/>
              <w:marBottom w:val="0"/>
              <w:divBdr>
                <w:top w:val="none" w:sz="0" w:space="0" w:color="auto"/>
                <w:left w:val="none" w:sz="0" w:space="0" w:color="auto"/>
                <w:bottom w:val="none" w:sz="0" w:space="0" w:color="auto"/>
                <w:right w:val="none" w:sz="0" w:space="0" w:color="auto"/>
              </w:divBdr>
              <w:divsChild>
                <w:div w:id="1247230773">
                  <w:marLeft w:val="0"/>
                  <w:marRight w:val="0"/>
                  <w:marTop w:val="0"/>
                  <w:marBottom w:val="0"/>
                  <w:divBdr>
                    <w:top w:val="none" w:sz="0" w:space="0" w:color="auto"/>
                    <w:left w:val="none" w:sz="0" w:space="0" w:color="auto"/>
                    <w:bottom w:val="none" w:sz="0" w:space="0" w:color="auto"/>
                    <w:right w:val="none" w:sz="0" w:space="0" w:color="auto"/>
                  </w:divBdr>
                </w:div>
              </w:divsChild>
            </w:div>
            <w:div w:id="1017468435">
              <w:marLeft w:val="0"/>
              <w:marRight w:val="0"/>
              <w:marTop w:val="0"/>
              <w:marBottom w:val="0"/>
              <w:divBdr>
                <w:top w:val="none" w:sz="0" w:space="0" w:color="auto"/>
                <w:left w:val="none" w:sz="0" w:space="0" w:color="auto"/>
                <w:bottom w:val="none" w:sz="0" w:space="0" w:color="auto"/>
                <w:right w:val="none" w:sz="0" w:space="0" w:color="auto"/>
              </w:divBdr>
              <w:divsChild>
                <w:div w:id="90594525">
                  <w:marLeft w:val="0"/>
                  <w:marRight w:val="0"/>
                  <w:marTop w:val="0"/>
                  <w:marBottom w:val="0"/>
                  <w:divBdr>
                    <w:top w:val="none" w:sz="0" w:space="0" w:color="auto"/>
                    <w:left w:val="none" w:sz="0" w:space="0" w:color="auto"/>
                    <w:bottom w:val="none" w:sz="0" w:space="0" w:color="auto"/>
                    <w:right w:val="none" w:sz="0" w:space="0" w:color="auto"/>
                  </w:divBdr>
                </w:div>
              </w:divsChild>
            </w:div>
            <w:div w:id="1027291449">
              <w:marLeft w:val="0"/>
              <w:marRight w:val="0"/>
              <w:marTop w:val="0"/>
              <w:marBottom w:val="0"/>
              <w:divBdr>
                <w:top w:val="none" w:sz="0" w:space="0" w:color="auto"/>
                <w:left w:val="none" w:sz="0" w:space="0" w:color="auto"/>
                <w:bottom w:val="none" w:sz="0" w:space="0" w:color="auto"/>
                <w:right w:val="none" w:sz="0" w:space="0" w:color="auto"/>
              </w:divBdr>
              <w:divsChild>
                <w:div w:id="732241420">
                  <w:marLeft w:val="0"/>
                  <w:marRight w:val="0"/>
                  <w:marTop w:val="0"/>
                  <w:marBottom w:val="0"/>
                  <w:divBdr>
                    <w:top w:val="none" w:sz="0" w:space="0" w:color="auto"/>
                    <w:left w:val="none" w:sz="0" w:space="0" w:color="auto"/>
                    <w:bottom w:val="none" w:sz="0" w:space="0" w:color="auto"/>
                    <w:right w:val="none" w:sz="0" w:space="0" w:color="auto"/>
                  </w:divBdr>
                </w:div>
              </w:divsChild>
            </w:div>
            <w:div w:id="215774400">
              <w:marLeft w:val="0"/>
              <w:marRight w:val="0"/>
              <w:marTop w:val="0"/>
              <w:marBottom w:val="0"/>
              <w:divBdr>
                <w:top w:val="none" w:sz="0" w:space="0" w:color="auto"/>
                <w:left w:val="none" w:sz="0" w:space="0" w:color="auto"/>
                <w:bottom w:val="none" w:sz="0" w:space="0" w:color="auto"/>
                <w:right w:val="none" w:sz="0" w:space="0" w:color="auto"/>
              </w:divBdr>
              <w:divsChild>
                <w:div w:id="1183202125">
                  <w:marLeft w:val="0"/>
                  <w:marRight w:val="0"/>
                  <w:marTop w:val="0"/>
                  <w:marBottom w:val="0"/>
                  <w:divBdr>
                    <w:top w:val="none" w:sz="0" w:space="0" w:color="auto"/>
                    <w:left w:val="none" w:sz="0" w:space="0" w:color="auto"/>
                    <w:bottom w:val="none" w:sz="0" w:space="0" w:color="auto"/>
                    <w:right w:val="none" w:sz="0" w:space="0" w:color="auto"/>
                  </w:divBdr>
                </w:div>
              </w:divsChild>
            </w:div>
            <w:div w:id="1366448780">
              <w:marLeft w:val="0"/>
              <w:marRight w:val="0"/>
              <w:marTop w:val="0"/>
              <w:marBottom w:val="0"/>
              <w:divBdr>
                <w:top w:val="none" w:sz="0" w:space="0" w:color="auto"/>
                <w:left w:val="none" w:sz="0" w:space="0" w:color="auto"/>
                <w:bottom w:val="none" w:sz="0" w:space="0" w:color="auto"/>
                <w:right w:val="none" w:sz="0" w:space="0" w:color="auto"/>
              </w:divBdr>
              <w:divsChild>
                <w:div w:id="372271734">
                  <w:marLeft w:val="0"/>
                  <w:marRight w:val="0"/>
                  <w:marTop w:val="0"/>
                  <w:marBottom w:val="0"/>
                  <w:divBdr>
                    <w:top w:val="none" w:sz="0" w:space="0" w:color="auto"/>
                    <w:left w:val="none" w:sz="0" w:space="0" w:color="auto"/>
                    <w:bottom w:val="none" w:sz="0" w:space="0" w:color="auto"/>
                    <w:right w:val="none" w:sz="0" w:space="0" w:color="auto"/>
                  </w:divBdr>
                </w:div>
              </w:divsChild>
            </w:div>
            <w:div w:id="1316105974">
              <w:marLeft w:val="0"/>
              <w:marRight w:val="0"/>
              <w:marTop w:val="0"/>
              <w:marBottom w:val="0"/>
              <w:divBdr>
                <w:top w:val="none" w:sz="0" w:space="0" w:color="auto"/>
                <w:left w:val="none" w:sz="0" w:space="0" w:color="auto"/>
                <w:bottom w:val="none" w:sz="0" w:space="0" w:color="auto"/>
                <w:right w:val="none" w:sz="0" w:space="0" w:color="auto"/>
              </w:divBdr>
              <w:divsChild>
                <w:div w:id="1660961332">
                  <w:marLeft w:val="0"/>
                  <w:marRight w:val="0"/>
                  <w:marTop w:val="0"/>
                  <w:marBottom w:val="0"/>
                  <w:divBdr>
                    <w:top w:val="none" w:sz="0" w:space="0" w:color="auto"/>
                    <w:left w:val="none" w:sz="0" w:space="0" w:color="auto"/>
                    <w:bottom w:val="none" w:sz="0" w:space="0" w:color="auto"/>
                    <w:right w:val="none" w:sz="0" w:space="0" w:color="auto"/>
                  </w:divBdr>
                </w:div>
              </w:divsChild>
            </w:div>
            <w:div w:id="448740690">
              <w:marLeft w:val="0"/>
              <w:marRight w:val="0"/>
              <w:marTop w:val="0"/>
              <w:marBottom w:val="0"/>
              <w:divBdr>
                <w:top w:val="none" w:sz="0" w:space="0" w:color="auto"/>
                <w:left w:val="none" w:sz="0" w:space="0" w:color="auto"/>
                <w:bottom w:val="none" w:sz="0" w:space="0" w:color="auto"/>
                <w:right w:val="none" w:sz="0" w:space="0" w:color="auto"/>
              </w:divBdr>
              <w:divsChild>
                <w:div w:id="874581087">
                  <w:marLeft w:val="0"/>
                  <w:marRight w:val="0"/>
                  <w:marTop w:val="0"/>
                  <w:marBottom w:val="0"/>
                  <w:divBdr>
                    <w:top w:val="none" w:sz="0" w:space="0" w:color="auto"/>
                    <w:left w:val="none" w:sz="0" w:space="0" w:color="auto"/>
                    <w:bottom w:val="none" w:sz="0" w:space="0" w:color="auto"/>
                    <w:right w:val="none" w:sz="0" w:space="0" w:color="auto"/>
                  </w:divBdr>
                </w:div>
              </w:divsChild>
            </w:div>
            <w:div w:id="421335935">
              <w:marLeft w:val="0"/>
              <w:marRight w:val="0"/>
              <w:marTop w:val="0"/>
              <w:marBottom w:val="0"/>
              <w:divBdr>
                <w:top w:val="none" w:sz="0" w:space="0" w:color="auto"/>
                <w:left w:val="none" w:sz="0" w:space="0" w:color="auto"/>
                <w:bottom w:val="none" w:sz="0" w:space="0" w:color="auto"/>
                <w:right w:val="none" w:sz="0" w:space="0" w:color="auto"/>
              </w:divBdr>
              <w:divsChild>
                <w:div w:id="377974712">
                  <w:marLeft w:val="0"/>
                  <w:marRight w:val="0"/>
                  <w:marTop w:val="0"/>
                  <w:marBottom w:val="0"/>
                  <w:divBdr>
                    <w:top w:val="none" w:sz="0" w:space="0" w:color="auto"/>
                    <w:left w:val="none" w:sz="0" w:space="0" w:color="auto"/>
                    <w:bottom w:val="none" w:sz="0" w:space="0" w:color="auto"/>
                    <w:right w:val="none" w:sz="0" w:space="0" w:color="auto"/>
                  </w:divBdr>
                </w:div>
              </w:divsChild>
            </w:div>
            <w:div w:id="1666325906">
              <w:marLeft w:val="0"/>
              <w:marRight w:val="0"/>
              <w:marTop w:val="0"/>
              <w:marBottom w:val="0"/>
              <w:divBdr>
                <w:top w:val="none" w:sz="0" w:space="0" w:color="auto"/>
                <w:left w:val="none" w:sz="0" w:space="0" w:color="auto"/>
                <w:bottom w:val="none" w:sz="0" w:space="0" w:color="auto"/>
                <w:right w:val="none" w:sz="0" w:space="0" w:color="auto"/>
              </w:divBdr>
              <w:divsChild>
                <w:div w:id="2045935524">
                  <w:marLeft w:val="0"/>
                  <w:marRight w:val="0"/>
                  <w:marTop w:val="0"/>
                  <w:marBottom w:val="0"/>
                  <w:divBdr>
                    <w:top w:val="none" w:sz="0" w:space="0" w:color="auto"/>
                    <w:left w:val="none" w:sz="0" w:space="0" w:color="auto"/>
                    <w:bottom w:val="none" w:sz="0" w:space="0" w:color="auto"/>
                    <w:right w:val="none" w:sz="0" w:space="0" w:color="auto"/>
                  </w:divBdr>
                </w:div>
              </w:divsChild>
            </w:div>
            <w:div w:id="1160267660">
              <w:marLeft w:val="0"/>
              <w:marRight w:val="0"/>
              <w:marTop w:val="0"/>
              <w:marBottom w:val="0"/>
              <w:divBdr>
                <w:top w:val="none" w:sz="0" w:space="0" w:color="auto"/>
                <w:left w:val="none" w:sz="0" w:space="0" w:color="auto"/>
                <w:bottom w:val="none" w:sz="0" w:space="0" w:color="auto"/>
                <w:right w:val="none" w:sz="0" w:space="0" w:color="auto"/>
              </w:divBdr>
              <w:divsChild>
                <w:div w:id="1829401059">
                  <w:marLeft w:val="0"/>
                  <w:marRight w:val="0"/>
                  <w:marTop w:val="0"/>
                  <w:marBottom w:val="0"/>
                  <w:divBdr>
                    <w:top w:val="none" w:sz="0" w:space="0" w:color="auto"/>
                    <w:left w:val="none" w:sz="0" w:space="0" w:color="auto"/>
                    <w:bottom w:val="none" w:sz="0" w:space="0" w:color="auto"/>
                    <w:right w:val="none" w:sz="0" w:space="0" w:color="auto"/>
                  </w:divBdr>
                </w:div>
              </w:divsChild>
            </w:div>
            <w:div w:id="2002390225">
              <w:marLeft w:val="0"/>
              <w:marRight w:val="0"/>
              <w:marTop w:val="0"/>
              <w:marBottom w:val="0"/>
              <w:divBdr>
                <w:top w:val="none" w:sz="0" w:space="0" w:color="auto"/>
                <w:left w:val="none" w:sz="0" w:space="0" w:color="auto"/>
                <w:bottom w:val="none" w:sz="0" w:space="0" w:color="auto"/>
                <w:right w:val="none" w:sz="0" w:space="0" w:color="auto"/>
              </w:divBdr>
              <w:divsChild>
                <w:div w:id="1774856752">
                  <w:marLeft w:val="0"/>
                  <w:marRight w:val="0"/>
                  <w:marTop w:val="0"/>
                  <w:marBottom w:val="0"/>
                  <w:divBdr>
                    <w:top w:val="none" w:sz="0" w:space="0" w:color="auto"/>
                    <w:left w:val="none" w:sz="0" w:space="0" w:color="auto"/>
                    <w:bottom w:val="none" w:sz="0" w:space="0" w:color="auto"/>
                    <w:right w:val="none" w:sz="0" w:space="0" w:color="auto"/>
                  </w:divBdr>
                </w:div>
              </w:divsChild>
            </w:div>
            <w:div w:id="564798707">
              <w:marLeft w:val="0"/>
              <w:marRight w:val="0"/>
              <w:marTop w:val="0"/>
              <w:marBottom w:val="0"/>
              <w:divBdr>
                <w:top w:val="none" w:sz="0" w:space="0" w:color="auto"/>
                <w:left w:val="none" w:sz="0" w:space="0" w:color="auto"/>
                <w:bottom w:val="none" w:sz="0" w:space="0" w:color="auto"/>
                <w:right w:val="none" w:sz="0" w:space="0" w:color="auto"/>
              </w:divBdr>
              <w:divsChild>
                <w:div w:id="867521039">
                  <w:marLeft w:val="0"/>
                  <w:marRight w:val="0"/>
                  <w:marTop w:val="0"/>
                  <w:marBottom w:val="0"/>
                  <w:divBdr>
                    <w:top w:val="none" w:sz="0" w:space="0" w:color="auto"/>
                    <w:left w:val="none" w:sz="0" w:space="0" w:color="auto"/>
                    <w:bottom w:val="none" w:sz="0" w:space="0" w:color="auto"/>
                    <w:right w:val="none" w:sz="0" w:space="0" w:color="auto"/>
                  </w:divBdr>
                </w:div>
              </w:divsChild>
            </w:div>
            <w:div w:id="1154564561">
              <w:marLeft w:val="0"/>
              <w:marRight w:val="0"/>
              <w:marTop w:val="0"/>
              <w:marBottom w:val="0"/>
              <w:divBdr>
                <w:top w:val="none" w:sz="0" w:space="0" w:color="auto"/>
                <w:left w:val="none" w:sz="0" w:space="0" w:color="auto"/>
                <w:bottom w:val="none" w:sz="0" w:space="0" w:color="auto"/>
                <w:right w:val="none" w:sz="0" w:space="0" w:color="auto"/>
              </w:divBdr>
              <w:divsChild>
                <w:div w:id="151022925">
                  <w:marLeft w:val="0"/>
                  <w:marRight w:val="0"/>
                  <w:marTop w:val="0"/>
                  <w:marBottom w:val="0"/>
                  <w:divBdr>
                    <w:top w:val="none" w:sz="0" w:space="0" w:color="auto"/>
                    <w:left w:val="none" w:sz="0" w:space="0" w:color="auto"/>
                    <w:bottom w:val="none" w:sz="0" w:space="0" w:color="auto"/>
                    <w:right w:val="none" w:sz="0" w:space="0" w:color="auto"/>
                  </w:divBdr>
                </w:div>
              </w:divsChild>
            </w:div>
            <w:div w:id="1337608095">
              <w:marLeft w:val="0"/>
              <w:marRight w:val="0"/>
              <w:marTop w:val="0"/>
              <w:marBottom w:val="0"/>
              <w:divBdr>
                <w:top w:val="none" w:sz="0" w:space="0" w:color="auto"/>
                <w:left w:val="none" w:sz="0" w:space="0" w:color="auto"/>
                <w:bottom w:val="none" w:sz="0" w:space="0" w:color="auto"/>
                <w:right w:val="none" w:sz="0" w:space="0" w:color="auto"/>
              </w:divBdr>
              <w:divsChild>
                <w:div w:id="90048281">
                  <w:marLeft w:val="0"/>
                  <w:marRight w:val="0"/>
                  <w:marTop w:val="0"/>
                  <w:marBottom w:val="0"/>
                  <w:divBdr>
                    <w:top w:val="none" w:sz="0" w:space="0" w:color="auto"/>
                    <w:left w:val="none" w:sz="0" w:space="0" w:color="auto"/>
                    <w:bottom w:val="none" w:sz="0" w:space="0" w:color="auto"/>
                    <w:right w:val="none" w:sz="0" w:space="0" w:color="auto"/>
                  </w:divBdr>
                </w:div>
              </w:divsChild>
            </w:div>
            <w:div w:id="1843927405">
              <w:marLeft w:val="0"/>
              <w:marRight w:val="0"/>
              <w:marTop w:val="0"/>
              <w:marBottom w:val="0"/>
              <w:divBdr>
                <w:top w:val="none" w:sz="0" w:space="0" w:color="auto"/>
                <w:left w:val="none" w:sz="0" w:space="0" w:color="auto"/>
                <w:bottom w:val="none" w:sz="0" w:space="0" w:color="auto"/>
                <w:right w:val="none" w:sz="0" w:space="0" w:color="auto"/>
              </w:divBdr>
              <w:divsChild>
                <w:div w:id="984353415">
                  <w:marLeft w:val="0"/>
                  <w:marRight w:val="0"/>
                  <w:marTop w:val="0"/>
                  <w:marBottom w:val="0"/>
                  <w:divBdr>
                    <w:top w:val="none" w:sz="0" w:space="0" w:color="auto"/>
                    <w:left w:val="none" w:sz="0" w:space="0" w:color="auto"/>
                    <w:bottom w:val="none" w:sz="0" w:space="0" w:color="auto"/>
                    <w:right w:val="none" w:sz="0" w:space="0" w:color="auto"/>
                  </w:divBdr>
                </w:div>
              </w:divsChild>
            </w:div>
            <w:div w:id="1242180352">
              <w:marLeft w:val="0"/>
              <w:marRight w:val="0"/>
              <w:marTop w:val="0"/>
              <w:marBottom w:val="0"/>
              <w:divBdr>
                <w:top w:val="none" w:sz="0" w:space="0" w:color="auto"/>
                <w:left w:val="none" w:sz="0" w:space="0" w:color="auto"/>
                <w:bottom w:val="none" w:sz="0" w:space="0" w:color="auto"/>
                <w:right w:val="none" w:sz="0" w:space="0" w:color="auto"/>
              </w:divBdr>
              <w:divsChild>
                <w:div w:id="187912456">
                  <w:marLeft w:val="0"/>
                  <w:marRight w:val="0"/>
                  <w:marTop w:val="0"/>
                  <w:marBottom w:val="0"/>
                  <w:divBdr>
                    <w:top w:val="none" w:sz="0" w:space="0" w:color="auto"/>
                    <w:left w:val="none" w:sz="0" w:space="0" w:color="auto"/>
                    <w:bottom w:val="none" w:sz="0" w:space="0" w:color="auto"/>
                    <w:right w:val="none" w:sz="0" w:space="0" w:color="auto"/>
                  </w:divBdr>
                </w:div>
              </w:divsChild>
            </w:div>
            <w:div w:id="1447653753">
              <w:marLeft w:val="0"/>
              <w:marRight w:val="0"/>
              <w:marTop w:val="0"/>
              <w:marBottom w:val="0"/>
              <w:divBdr>
                <w:top w:val="none" w:sz="0" w:space="0" w:color="auto"/>
                <w:left w:val="none" w:sz="0" w:space="0" w:color="auto"/>
                <w:bottom w:val="none" w:sz="0" w:space="0" w:color="auto"/>
                <w:right w:val="none" w:sz="0" w:space="0" w:color="auto"/>
              </w:divBdr>
              <w:divsChild>
                <w:div w:id="627129661">
                  <w:marLeft w:val="0"/>
                  <w:marRight w:val="0"/>
                  <w:marTop w:val="0"/>
                  <w:marBottom w:val="0"/>
                  <w:divBdr>
                    <w:top w:val="none" w:sz="0" w:space="0" w:color="auto"/>
                    <w:left w:val="none" w:sz="0" w:space="0" w:color="auto"/>
                    <w:bottom w:val="none" w:sz="0" w:space="0" w:color="auto"/>
                    <w:right w:val="none" w:sz="0" w:space="0" w:color="auto"/>
                  </w:divBdr>
                </w:div>
              </w:divsChild>
            </w:div>
            <w:div w:id="1954022259">
              <w:marLeft w:val="0"/>
              <w:marRight w:val="0"/>
              <w:marTop w:val="0"/>
              <w:marBottom w:val="0"/>
              <w:divBdr>
                <w:top w:val="none" w:sz="0" w:space="0" w:color="auto"/>
                <w:left w:val="none" w:sz="0" w:space="0" w:color="auto"/>
                <w:bottom w:val="none" w:sz="0" w:space="0" w:color="auto"/>
                <w:right w:val="none" w:sz="0" w:space="0" w:color="auto"/>
              </w:divBdr>
              <w:divsChild>
                <w:div w:id="1183782820">
                  <w:marLeft w:val="0"/>
                  <w:marRight w:val="0"/>
                  <w:marTop w:val="0"/>
                  <w:marBottom w:val="0"/>
                  <w:divBdr>
                    <w:top w:val="none" w:sz="0" w:space="0" w:color="auto"/>
                    <w:left w:val="none" w:sz="0" w:space="0" w:color="auto"/>
                    <w:bottom w:val="none" w:sz="0" w:space="0" w:color="auto"/>
                    <w:right w:val="none" w:sz="0" w:space="0" w:color="auto"/>
                  </w:divBdr>
                </w:div>
              </w:divsChild>
            </w:div>
            <w:div w:id="1135294737">
              <w:marLeft w:val="0"/>
              <w:marRight w:val="0"/>
              <w:marTop w:val="0"/>
              <w:marBottom w:val="0"/>
              <w:divBdr>
                <w:top w:val="none" w:sz="0" w:space="0" w:color="auto"/>
                <w:left w:val="none" w:sz="0" w:space="0" w:color="auto"/>
                <w:bottom w:val="none" w:sz="0" w:space="0" w:color="auto"/>
                <w:right w:val="none" w:sz="0" w:space="0" w:color="auto"/>
              </w:divBdr>
              <w:divsChild>
                <w:div w:id="1475099153">
                  <w:marLeft w:val="0"/>
                  <w:marRight w:val="0"/>
                  <w:marTop w:val="0"/>
                  <w:marBottom w:val="0"/>
                  <w:divBdr>
                    <w:top w:val="none" w:sz="0" w:space="0" w:color="auto"/>
                    <w:left w:val="none" w:sz="0" w:space="0" w:color="auto"/>
                    <w:bottom w:val="none" w:sz="0" w:space="0" w:color="auto"/>
                    <w:right w:val="none" w:sz="0" w:space="0" w:color="auto"/>
                  </w:divBdr>
                </w:div>
              </w:divsChild>
            </w:div>
            <w:div w:id="133959981">
              <w:marLeft w:val="0"/>
              <w:marRight w:val="0"/>
              <w:marTop w:val="0"/>
              <w:marBottom w:val="0"/>
              <w:divBdr>
                <w:top w:val="none" w:sz="0" w:space="0" w:color="auto"/>
                <w:left w:val="none" w:sz="0" w:space="0" w:color="auto"/>
                <w:bottom w:val="none" w:sz="0" w:space="0" w:color="auto"/>
                <w:right w:val="none" w:sz="0" w:space="0" w:color="auto"/>
              </w:divBdr>
              <w:divsChild>
                <w:div w:id="1564947987">
                  <w:marLeft w:val="0"/>
                  <w:marRight w:val="0"/>
                  <w:marTop w:val="0"/>
                  <w:marBottom w:val="0"/>
                  <w:divBdr>
                    <w:top w:val="none" w:sz="0" w:space="0" w:color="auto"/>
                    <w:left w:val="none" w:sz="0" w:space="0" w:color="auto"/>
                    <w:bottom w:val="none" w:sz="0" w:space="0" w:color="auto"/>
                    <w:right w:val="none" w:sz="0" w:space="0" w:color="auto"/>
                  </w:divBdr>
                </w:div>
              </w:divsChild>
            </w:div>
            <w:div w:id="1256747842">
              <w:marLeft w:val="0"/>
              <w:marRight w:val="0"/>
              <w:marTop w:val="0"/>
              <w:marBottom w:val="0"/>
              <w:divBdr>
                <w:top w:val="none" w:sz="0" w:space="0" w:color="auto"/>
                <w:left w:val="none" w:sz="0" w:space="0" w:color="auto"/>
                <w:bottom w:val="none" w:sz="0" w:space="0" w:color="auto"/>
                <w:right w:val="none" w:sz="0" w:space="0" w:color="auto"/>
              </w:divBdr>
              <w:divsChild>
                <w:div w:id="2140410513">
                  <w:marLeft w:val="0"/>
                  <w:marRight w:val="0"/>
                  <w:marTop w:val="0"/>
                  <w:marBottom w:val="0"/>
                  <w:divBdr>
                    <w:top w:val="none" w:sz="0" w:space="0" w:color="auto"/>
                    <w:left w:val="none" w:sz="0" w:space="0" w:color="auto"/>
                    <w:bottom w:val="none" w:sz="0" w:space="0" w:color="auto"/>
                    <w:right w:val="none" w:sz="0" w:space="0" w:color="auto"/>
                  </w:divBdr>
                </w:div>
              </w:divsChild>
            </w:div>
            <w:div w:id="458379291">
              <w:marLeft w:val="0"/>
              <w:marRight w:val="0"/>
              <w:marTop w:val="0"/>
              <w:marBottom w:val="0"/>
              <w:divBdr>
                <w:top w:val="none" w:sz="0" w:space="0" w:color="auto"/>
                <w:left w:val="none" w:sz="0" w:space="0" w:color="auto"/>
                <w:bottom w:val="none" w:sz="0" w:space="0" w:color="auto"/>
                <w:right w:val="none" w:sz="0" w:space="0" w:color="auto"/>
              </w:divBdr>
              <w:divsChild>
                <w:div w:id="1446192742">
                  <w:marLeft w:val="0"/>
                  <w:marRight w:val="0"/>
                  <w:marTop w:val="0"/>
                  <w:marBottom w:val="0"/>
                  <w:divBdr>
                    <w:top w:val="none" w:sz="0" w:space="0" w:color="auto"/>
                    <w:left w:val="none" w:sz="0" w:space="0" w:color="auto"/>
                    <w:bottom w:val="none" w:sz="0" w:space="0" w:color="auto"/>
                    <w:right w:val="none" w:sz="0" w:space="0" w:color="auto"/>
                  </w:divBdr>
                </w:div>
              </w:divsChild>
            </w:div>
            <w:div w:id="808127956">
              <w:marLeft w:val="0"/>
              <w:marRight w:val="0"/>
              <w:marTop w:val="0"/>
              <w:marBottom w:val="0"/>
              <w:divBdr>
                <w:top w:val="none" w:sz="0" w:space="0" w:color="auto"/>
                <w:left w:val="none" w:sz="0" w:space="0" w:color="auto"/>
                <w:bottom w:val="none" w:sz="0" w:space="0" w:color="auto"/>
                <w:right w:val="none" w:sz="0" w:space="0" w:color="auto"/>
              </w:divBdr>
              <w:divsChild>
                <w:div w:id="1207911570">
                  <w:marLeft w:val="0"/>
                  <w:marRight w:val="0"/>
                  <w:marTop w:val="0"/>
                  <w:marBottom w:val="0"/>
                  <w:divBdr>
                    <w:top w:val="none" w:sz="0" w:space="0" w:color="auto"/>
                    <w:left w:val="none" w:sz="0" w:space="0" w:color="auto"/>
                    <w:bottom w:val="none" w:sz="0" w:space="0" w:color="auto"/>
                    <w:right w:val="none" w:sz="0" w:space="0" w:color="auto"/>
                  </w:divBdr>
                </w:div>
              </w:divsChild>
            </w:div>
            <w:div w:id="1558275871">
              <w:marLeft w:val="0"/>
              <w:marRight w:val="0"/>
              <w:marTop w:val="0"/>
              <w:marBottom w:val="0"/>
              <w:divBdr>
                <w:top w:val="none" w:sz="0" w:space="0" w:color="auto"/>
                <w:left w:val="none" w:sz="0" w:space="0" w:color="auto"/>
                <w:bottom w:val="none" w:sz="0" w:space="0" w:color="auto"/>
                <w:right w:val="none" w:sz="0" w:space="0" w:color="auto"/>
              </w:divBdr>
              <w:divsChild>
                <w:div w:id="2050643182">
                  <w:marLeft w:val="0"/>
                  <w:marRight w:val="0"/>
                  <w:marTop w:val="0"/>
                  <w:marBottom w:val="0"/>
                  <w:divBdr>
                    <w:top w:val="none" w:sz="0" w:space="0" w:color="auto"/>
                    <w:left w:val="none" w:sz="0" w:space="0" w:color="auto"/>
                    <w:bottom w:val="none" w:sz="0" w:space="0" w:color="auto"/>
                    <w:right w:val="none" w:sz="0" w:space="0" w:color="auto"/>
                  </w:divBdr>
                </w:div>
              </w:divsChild>
            </w:div>
            <w:div w:id="389112970">
              <w:marLeft w:val="0"/>
              <w:marRight w:val="0"/>
              <w:marTop w:val="0"/>
              <w:marBottom w:val="0"/>
              <w:divBdr>
                <w:top w:val="none" w:sz="0" w:space="0" w:color="auto"/>
                <w:left w:val="none" w:sz="0" w:space="0" w:color="auto"/>
                <w:bottom w:val="none" w:sz="0" w:space="0" w:color="auto"/>
                <w:right w:val="none" w:sz="0" w:space="0" w:color="auto"/>
              </w:divBdr>
              <w:divsChild>
                <w:div w:id="1089304241">
                  <w:marLeft w:val="0"/>
                  <w:marRight w:val="0"/>
                  <w:marTop w:val="0"/>
                  <w:marBottom w:val="0"/>
                  <w:divBdr>
                    <w:top w:val="none" w:sz="0" w:space="0" w:color="auto"/>
                    <w:left w:val="none" w:sz="0" w:space="0" w:color="auto"/>
                    <w:bottom w:val="none" w:sz="0" w:space="0" w:color="auto"/>
                    <w:right w:val="none" w:sz="0" w:space="0" w:color="auto"/>
                  </w:divBdr>
                </w:div>
              </w:divsChild>
            </w:div>
            <w:div w:id="289673156">
              <w:marLeft w:val="0"/>
              <w:marRight w:val="0"/>
              <w:marTop w:val="0"/>
              <w:marBottom w:val="0"/>
              <w:divBdr>
                <w:top w:val="none" w:sz="0" w:space="0" w:color="auto"/>
                <w:left w:val="none" w:sz="0" w:space="0" w:color="auto"/>
                <w:bottom w:val="none" w:sz="0" w:space="0" w:color="auto"/>
                <w:right w:val="none" w:sz="0" w:space="0" w:color="auto"/>
              </w:divBdr>
              <w:divsChild>
                <w:div w:id="871192175">
                  <w:marLeft w:val="0"/>
                  <w:marRight w:val="0"/>
                  <w:marTop w:val="0"/>
                  <w:marBottom w:val="0"/>
                  <w:divBdr>
                    <w:top w:val="none" w:sz="0" w:space="0" w:color="auto"/>
                    <w:left w:val="none" w:sz="0" w:space="0" w:color="auto"/>
                    <w:bottom w:val="none" w:sz="0" w:space="0" w:color="auto"/>
                    <w:right w:val="none" w:sz="0" w:space="0" w:color="auto"/>
                  </w:divBdr>
                </w:div>
              </w:divsChild>
            </w:div>
            <w:div w:id="232853510">
              <w:marLeft w:val="0"/>
              <w:marRight w:val="0"/>
              <w:marTop w:val="0"/>
              <w:marBottom w:val="0"/>
              <w:divBdr>
                <w:top w:val="none" w:sz="0" w:space="0" w:color="auto"/>
                <w:left w:val="none" w:sz="0" w:space="0" w:color="auto"/>
                <w:bottom w:val="none" w:sz="0" w:space="0" w:color="auto"/>
                <w:right w:val="none" w:sz="0" w:space="0" w:color="auto"/>
              </w:divBdr>
              <w:divsChild>
                <w:div w:id="1655834638">
                  <w:marLeft w:val="0"/>
                  <w:marRight w:val="0"/>
                  <w:marTop w:val="0"/>
                  <w:marBottom w:val="0"/>
                  <w:divBdr>
                    <w:top w:val="none" w:sz="0" w:space="0" w:color="auto"/>
                    <w:left w:val="none" w:sz="0" w:space="0" w:color="auto"/>
                    <w:bottom w:val="none" w:sz="0" w:space="0" w:color="auto"/>
                    <w:right w:val="none" w:sz="0" w:space="0" w:color="auto"/>
                  </w:divBdr>
                </w:div>
              </w:divsChild>
            </w:div>
            <w:div w:id="106698799">
              <w:marLeft w:val="0"/>
              <w:marRight w:val="0"/>
              <w:marTop w:val="0"/>
              <w:marBottom w:val="0"/>
              <w:divBdr>
                <w:top w:val="none" w:sz="0" w:space="0" w:color="auto"/>
                <w:left w:val="none" w:sz="0" w:space="0" w:color="auto"/>
                <w:bottom w:val="none" w:sz="0" w:space="0" w:color="auto"/>
                <w:right w:val="none" w:sz="0" w:space="0" w:color="auto"/>
              </w:divBdr>
              <w:divsChild>
                <w:div w:id="996150833">
                  <w:marLeft w:val="0"/>
                  <w:marRight w:val="0"/>
                  <w:marTop w:val="0"/>
                  <w:marBottom w:val="0"/>
                  <w:divBdr>
                    <w:top w:val="none" w:sz="0" w:space="0" w:color="auto"/>
                    <w:left w:val="none" w:sz="0" w:space="0" w:color="auto"/>
                    <w:bottom w:val="none" w:sz="0" w:space="0" w:color="auto"/>
                    <w:right w:val="none" w:sz="0" w:space="0" w:color="auto"/>
                  </w:divBdr>
                </w:div>
              </w:divsChild>
            </w:div>
            <w:div w:id="336269555">
              <w:marLeft w:val="0"/>
              <w:marRight w:val="0"/>
              <w:marTop w:val="0"/>
              <w:marBottom w:val="0"/>
              <w:divBdr>
                <w:top w:val="none" w:sz="0" w:space="0" w:color="auto"/>
                <w:left w:val="none" w:sz="0" w:space="0" w:color="auto"/>
                <w:bottom w:val="none" w:sz="0" w:space="0" w:color="auto"/>
                <w:right w:val="none" w:sz="0" w:space="0" w:color="auto"/>
              </w:divBdr>
              <w:divsChild>
                <w:div w:id="1685865527">
                  <w:marLeft w:val="0"/>
                  <w:marRight w:val="0"/>
                  <w:marTop w:val="0"/>
                  <w:marBottom w:val="0"/>
                  <w:divBdr>
                    <w:top w:val="none" w:sz="0" w:space="0" w:color="auto"/>
                    <w:left w:val="none" w:sz="0" w:space="0" w:color="auto"/>
                    <w:bottom w:val="none" w:sz="0" w:space="0" w:color="auto"/>
                    <w:right w:val="none" w:sz="0" w:space="0" w:color="auto"/>
                  </w:divBdr>
                </w:div>
              </w:divsChild>
            </w:div>
            <w:div w:id="793905468">
              <w:marLeft w:val="0"/>
              <w:marRight w:val="0"/>
              <w:marTop w:val="0"/>
              <w:marBottom w:val="0"/>
              <w:divBdr>
                <w:top w:val="none" w:sz="0" w:space="0" w:color="auto"/>
                <w:left w:val="none" w:sz="0" w:space="0" w:color="auto"/>
                <w:bottom w:val="none" w:sz="0" w:space="0" w:color="auto"/>
                <w:right w:val="none" w:sz="0" w:space="0" w:color="auto"/>
              </w:divBdr>
              <w:divsChild>
                <w:div w:id="1457790502">
                  <w:marLeft w:val="0"/>
                  <w:marRight w:val="0"/>
                  <w:marTop w:val="0"/>
                  <w:marBottom w:val="0"/>
                  <w:divBdr>
                    <w:top w:val="none" w:sz="0" w:space="0" w:color="auto"/>
                    <w:left w:val="none" w:sz="0" w:space="0" w:color="auto"/>
                    <w:bottom w:val="none" w:sz="0" w:space="0" w:color="auto"/>
                    <w:right w:val="none" w:sz="0" w:space="0" w:color="auto"/>
                  </w:divBdr>
                </w:div>
              </w:divsChild>
            </w:div>
            <w:div w:id="1819222161">
              <w:marLeft w:val="0"/>
              <w:marRight w:val="0"/>
              <w:marTop w:val="0"/>
              <w:marBottom w:val="0"/>
              <w:divBdr>
                <w:top w:val="none" w:sz="0" w:space="0" w:color="auto"/>
                <w:left w:val="none" w:sz="0" w:space="0" w:color="auto"/>
                <w:bottom w:val="none" w:sz="0" w:space="0" w:color="auto"/>
                <w:right w:val="none" w:sz="0" w:space="0" w:color="auto"/>
              </w:divBdr>
              <w:divsChild>
                <w:div w:id="1240485119">
                  <w:marLeft w:val="0"/>
                  <w:marRight w:val="0"/>
                  <w:marTop w:val="0"/>
                  <w:marBottom w:val="0"/>
                  <w:divBdr>
                    <w:top w:val="none" w:sz="0" w:space="0" w:color="auto"/>
                    <w:left w:val="none" w:sz="0" w:space="0" w:color="auto"/>
                    <w:bottom w:val="none" w:sz="0" w:space="0" w:color="auto"/>
                    <w:right w:val="none" w:sz="0" w:space="0" w:color="auto"/>
                  </w:divBdr>
                </w:div>
              </w:divsChild>
            </w:div>
            <w:div w:id="26221511">
              <w:marLeft w:val="0"/>
              <w:marRight w:val="0"/>
              <w:marTop w:val="0"/>
              <w:marBottom w:val="0"/>
              <w:divBdr>
                <w:top w:val="none" w:sz="0" w:space="0" w:color="auto"/>
                <w:left w:val="none" w:sz="0" w:space="0" w:color="auto"/>
                <w:bottom w:val="none" w:sz="0" w:space="0" w:color="auto"/>
                <w:right w:val="none" w:sz="0" w:space="0" w:color="auto"/>
              </w:divBdr>
              <w:divsChild>
                <w:div w:id="1987323089">
                  <w:marLeft w:val="0"/>
                  <w:marRight w:val="0"/>
                  <w:marTop w:val="0"/>
                  <w:marBottom w:val="0"/>
                  <w:divBdr>
                    <w:top w:val="none" w:sz="0" w:space="0" w:color="auto"/>
                    <w:left w:val="none" w:sz="0" w:space="0" w:color="auto"/>
                    <w:bottom w:val="none" w:sz="0" w:space="0" w:color="auto"/>
                    <w:right w:val="none" w:sz="0" w:space="0" w:color="auto"/>
                  </w:divBdr>
                </w:div>
              </w:divsChild>
            </w:div>
            <w:div w:id="1072317752">
              <w:marLeft w:val="0"/>
              <w:marRight w:val="0"/>
              <w:marTop w:val="0"/>
              <w:marBottom w:val="0"/>
              <w:divBdr>
                <w:top w:val="none" w:sz="0" w:space="0" w:color="auto"/>
                <w:left w:val="none" w:sz="0" w:space="0" w:color="auto"/>
                <w:bottom w:val="none" w:sz="0" w:space="0" w:color="auto"/>
                <w:right w:val="none" w:sz="0" w:space="0" w:color="auto"/>
              </w:divBdr>
              <w:divsChild>
                <w:div w:id="703557408">
                  <w:marLeft w:val="0"/>
                  <w:marRight w:val="0"/>
                  <w:marTop w:val="0"/>
                  <w:marBottom w:val="0"/>
                  <w:divBdr>
                    <w:top w:val="none" w:sz="0" w:space="0" w:color="auto"/>
                    <w:left w:val="none" w:sz="0" w:space="0" w:color="auto"/>
                    <w:bottom w:val="none" w:sz="0" w:space="0" w:color="auto"/>
                    <w:right w:val="none" w:sz="0" w:space="0" w:color="auto"/>
                  </w:divBdr>
                </w:div>
              </w:divsChild>
            </w:div>
            <w:div w:id="1309237982">
              <w:marLeft w:val="0"/>
              <w:marRight w:val="0"/>
              <w:marTop w:val="0"/>
              <w:marBottom w:val="0"/>
              <w:divBdr>
                <w:top w:val="none" w:sz="0" w:space="0" w:color="auto"/>
                <w:left w:val="none" w:sz="0" w:space="0" w:color="auto"/>
                <w:bottom w:val="none" w:sz="0" w:space="0" w:color="auto"/>
                <w:right w:val="none" w:sz="0" w:space="0" w:color="auto"/>
              </w:divBdr>
              <w:divsChild>
                <w:div w:id="162166327">
                  <w:marLeft w:val="0"/>
                  <w:marRight w:val="0"/>
                  <w:marTop w:val="0"/>
                  <w:marBottom w:val="0"/>
                  <w:divBdr>
                    <w:top w:val="none" w:sz="0" w:space="0" w:color="auto"/>
                    <w:left w:val="none" w:sz="0" w:space="0" w:color="auto"/>
                    <w:bottom w:val="none" w:sz="0" w:space="0" w:color="auto"/>
                    <w:right w:val="none" w:sz="0" w:space="0" w:color="auto"/>
                  </w:divBdr>
                </w:div>
              </w:divsChild>
            </w:div>
            <w:div w:id="75903891">
              <w:marLeft w:val="0"/>
              <w:marRight w:val="0"/>
              <w:marTop w:val="0"/>
              <w:marBottom w:val="0"/>
              <w:divBdr>
                <w:top w:val="none" w:sz="0" w:space="0" w:color="auto"/>
                <w:left w:val="none" w:sz="0" w:space="0" w:color="auto"/>
                <w:bottom w:val="none" w:sz="0" w:space="0" w:color="auto"/>
                <w:right w:val="none" w:sz="0" w:space="0" w:color="auto"/>
              </w:divBdr>
              <w:divsChild>
                <w:div w:id="53696451">
                  <w:marLeft w:val="0"/>
                  <w:marRight w:val="0"/>
                  <w:marTop w:val="0"/>
                  <w:marBottom w:val="0"/>
                  <w:divBdr>
                    <w:top w:val="none" w:sz="0" w:space="0" w:color="auto"/>
                    <w:left w:val="none" w:sz="0" w:space="0" w:color="auto"/>
                    <w:bottom w:val="none" w:sz="0" w:space="0" w:color="auto"/>
                    <w:right w:val="none" w:sz="0" w:space="0" w:color="auto"/>
                  </w:divBdr>
                </w:div>
              </w:divsChild>
            </w:div>
            <w:div w:id="1816484091">
              <w:marLeft w:val="0"/>
              <w:marRight w:val="0"/>
              <w:marTop w:val="0"/>
              <w:marBottom w:val="0"/>
              <w:divBdr>
                <w:top w:val="none" w:sz="0" w:space="0" w:color="auto"/>
                <w:left w:val="none" w:sz="0" w:space="0" w:color="auto"/>
                <w:bottom w:val="none" w:sz="0" w:space="0" w:color="auto"/>
                <w:right w:val="none" w:sz="0" w:space="0" w:color="auto"/>
              </w:divBdr>
              <w:divsChild>
                <w:div w:id="568611788">
                  <w:marLeft w:val="0"/>
                  <w:marRight w:val="0"/>
                  <w:marTop w:val="0"/>
                  <w:marBottom w:val="0"/>
                  <w:divBdr>
                    <w:top w:val="none" w:sz="0" w:space="0" w:color="auto"/>
                    <w:left w:val="none" w:sz="0" w:space="0" w:color="auto"/>
                    <w:bottom w:val="none" w:sz="0" w:space="0" w:color="auto"/>
                    <w:right w:val="none" w:sz="0" w:space="0" w:color="auto"/>
                  </w:divBdr>
                </w:div>
              </w:divsChild>
            </w:div>
            <w:div w:id="1357148037">
              <w:marLeft w:val="0"/>
              <w:marRight w:val="0"/>
              <w:marTop w:val="0"/>
              <w:marBottom w:val="0"/>
              <w:divBdr>
                <w:top w:val="none" w:sz="0" w:space="0" w:color="auto"/>
                <w:left w:val="none" w:sz="0" w:space="0" w:color="auto"/>
                <w:bottom w:val="none" w:sz="0" w:space="0" w:color="auto"/>
                <w:right w:val="none" w:sz="0" w:space="0" w:color="auto"/>
              </w:divBdr>
              <w:divsChild>
                <w:div w:id="707073334">
                  <w:marLeft w:val="0"/>
                  <w:marRight w:val="0"/>
                  <w:marTop w:val="0"/>
                  <w:marBottom w:val="0"/>
                  <w:divBdr>
                    <w:top w:val="none" w:sz="0" w:space="0" w:color="auto"/>
                    <w:left w:val="none" w:sz="0" w:space="0" w:color="auto"/>
                    <w:bottom w:val="none" w:sz="0" w:space="0" w:color="auto"/>
                    <w:right w:val="none" w:sz="0" w:space="0" w:color="auto"/>
                  </w:divBdr>
                </w:div>
              </w:divsChild>
            </w:div>
            <w:div w:id="2126540295">
              <w:marLeft w:val="0"/>
              <w:marRight w:val="0"/>
              <w:marTop w:val="0"/>
              <w:marBottom w:val="0"/>
              <w:divBdr>
                <w:top w:val="none" w:sz="0" w:space="0" w:color="auto"/>
                <w:left w:val="none" w:sz="0" w:space="0" w:color="auto"/>
                <w:bottom w:val="none" w:sz="0" w:space="0" w:color="auto"/>
                <w:right w:val="none" w:sz="0" w:space="0" w:color="auto"/>
              </w:divBdr>
              <w:divsChild>
                <w:div w:id="1480075010">
                  <w:marLeft w:val="0"/>
                  <w:marRight w:val="0"/>
                  <w:marTop w:val="0"/>
                  <w:marBottom w:val="0"/>
                  <w:divBdr>
                    <w:top w:val="none" w:sz="0" w:space="0" w:color="auto"/>
                    <w:left w:val="none" w:sz="0" w:space="0" w:color="auto"/>
                    <w:bottom w:val="none" w:sz="0" w:space="0" w:color="auto"/>
                    <w:right w:val="none" w:sz="0" w:space="0" w:color="auto"/>
                  </w:divBdr>
                </w:div>
              </w:divsChild>
            </w:div>
            <w:div w:id="1284730005">
              <w:marLeft w:val="0"/>
              <w:marRight w:val="0"/>
              <w:marTop w:val="0"/>
              <w:marBottom w:val="0"/>
              <w:divBdr>
                <w:top w:val="none" w:sz="0" w:space="0" w:color="auto"/>
                <w:left w:val="none" w:sz="0" w:space="0" w:color="auto"/>
                <w:bottom w:val="none" w:sz="0" w:space="0" w:color="auto"/>
                <w:right w:val="none" w:sz="0" w:space="0" w:color="auto"/>
              </w:divBdr>
              <w:divsChild>
                <w:div w:id="954213514">
                  <w:marLeft w:val="0"/>
                  <w:marRight w:val="0"/>
                  <w:marTop w:val="0"/>
                  <w:marBottom w:val="0"/>
                  <w:divBdr>
                    <w:top w:val="none" w:sz="0" w:space="0" w:color="auto"/>
                    <w:left w:val="none" w:sz="0" w:space="0" w:color="auto"/>
                    <w:bottom w:val="none" w:sz="0" w:space="0" w:color="auto"/>
                    <w:right w:val="none" w:sz="0" w:space="0" w:color="auto"/>
                  </w:divBdr>
                </w:div>
              </w:divsChild>
            </w:div>
            <w:div w:id="444808182">
              <w:marLeft w:val="0"/>
              <w:marRight w:val="0"/>
              <w:marTop w:val="0"/>
              <w:marBottom w:val="0"/>
              <w:divBdr>
                <w:top w:val="none" w:sz="0" w:space="0" w:color="auto"/>
                <w:left w:val="none" w:sz="0" w:space="0" w:color="auto"/>
                <w:bottom w:val="none" w:sz="0" w:space="0" w:color="auto"/>
                <w:right w:val="none" w:sz="0" w:space="0" w:color="auto"/>
              </w:divBdr>
              <w:divsChild>
                <w:div w:id="946156061">
                  <w:marLeft w:val="0"/>
                  <w:marRight w:val="0"/>
                  <w:marTop w:val="0"/>
                  <w:marBottom w:val="0"/>
                  <w:divBdr>
                    <w:top w:val="none" w:sz="0" w:space="0" w:color="auto"/>
                    <w:left w:val="none" w:sz="0" w:space="0" w:color="auto"/>
                    <w:bottom w:val="none" w:sz="0" w:space="0" w:color="auto"/>
                    <w:right w:val="none" w:sz="0" w:space="0" w:color="auto"/>
                  </w:divBdr>
                </w:div>
              </w:divsChild>
            </w:div>
            <w:div w:id="1665935344">
              <w:marLeft w:val="0"/>
              <w:marRight w:val="0"/>
              <w:marTop w:val="0"/>
              <w:marBottom w:val="0"/>
              <w:divBdr>
                <w:top w:val="none" w:sz="0" w:space="0" w:color="auto"/>
                <w:left w:val="none" w:sz="0" w:space="0" w:color="auto"/>
                <w:bottom w:val="none" w:sz="0" w:space="0" w:color="auto"/>
                <w:right w:val="none" w:sz="0" w:space="0" w:color="auto"/>
              </w:divBdr>
              <w:divsChild>
                <w:div w:id="1411270567">
                  <w:marLeft w:val="0"/>
                  <w:marRight w:val="0"/>
                  <w:marTop w:val="0"/>
                  <w:marBottom w:val="0"/>
                  <w:divBdr>
                    <w:top w:val="none" w:sz="0" w:space="0" w:color="auto"/>
                    <w:left w:val="none" w:sz="0" w:space="0" w:color="auto"/>
                    <w:bottom w:val="none" w:sz="0" w:space="0" w:color="auto"/>
                    <w:right w:val="none" w:sz="0" w:space="0" w:color="auto"/>
                  </w:divBdr>
                </w:div>
              </w:divsChild>
            </w:div>
            <w:div w:id="303394283">
              <w:marLeft w:val="0"/>
              <w:marRight w:val="0"/>
              <w:marTop w:val="0"/>
              <w:marBottom w:val="0"/>
              <w:divBdr>
                <w:top w:val="none" w:sz="0" w:space="0" w:color="auto"/>
                <w:left w:val="none" w:sz="0" w:space="0" w:color="auto"/>
                <w:bottom w:val="none" w:sz="0" w:space="0" w:color="auto"/>
                <w:right w:val="none" w:sz="0" w:space="0" w:color="auto"/>
              </w:divBdr>
              <w:divsChild>
                <w:div w:id="1076631370">
                  <w:marLeft w:val="0"/>
                  <w:marRight w:val="0"/>
                  <w:marTop w:val="0"/>
                  <w:marBottom w:val="0"/>
                  <w:divBdr>
                    <w:top w:val="none" w:sz="0" w:space="0" w:color="auto"/>
                    <w:left w:val="none" w:sz="0" w:space="0" w:color="auto"/>
                    <w:bottom w:val="none" w:sz="0" w:space="0" w:color="auto"/>
                    <w:right w:val="none" w:sz="0" w:space="0" w:color="auto"/>
                  </w:divBdr>
                </w:div>
              </w:divsChild>
            </w:div>
            <w:div w:id="470488989">
              <w:marLeft w:val="0"/>
              <w:marRight w:val="0"/>
              <w:marTop w:val="0"/>
              <w:marBottom w:val="0"/>
              <w:divBdr>
                <w:top w:val="none" w:sz="0" w:space="0" w:color="auto"/>
                <w:left w:val="none" w:sz="0" w:space="0" w:color="auto"/>
                <w:bottom w:val="none" w:sz="0" w:space="0" w:color="auto"/>
                <w:right w:val="none" w:sz="0" w:space="0" w:color="auto"/>
              </w:divBdr>
              <w:divsChild>
                <w:div w:id="1989238818">
                  <w:marLeft w:val="0"/>
                  <w:marRight w:val="0"/>
                  <w:marTop w:val="0"/>
                  <w:marBottom w:val="0"/>
                  <w:divBdr>
                    <w:top w:val="none" w:sz="0" w:space="0" w:color="auto"/>
                    <w:left w:val="none" w:sz="0" w:space="0" w:color="auto"/>
                    <w:bottom w:val="none" w:sz="0" w:space="0" w:color="auto"/>
                    <w:right w:val="none" w:sz="0" w:space="0" w:color="auto"/>
                  </w:divBdr>
                </w:div>
              </w:divsChild>
            </w:div>
            <w:div w:id="1526676298">
              <w:marLeft w:val="0"/>
              <w:marRight w:val="0"/>
              <w:marTop w:val="0"/>
              <w:marBottom w:val="0"/>
              <w:divBdr>
                <w:top w:val="none" w:sz="0" w:space="0" w:color="auto"/>
                <w:left w:val="none" w:sz="0" w:space="0" w:color="auto"/>
                <w:bottom w:val="none" w:sz="0" w:space="0" w:color="auto"/>
                <w:right w:val="none" w:sz="0" w:space="0" w:color="auto"/>
              </w:divBdr>
              <w:divsChild>
                <w:div w:id="1645616903">
                  <w:marLeft w:val="0"/>
                  <w:marRight w:val="0"/>
                  <w:marTop w:val="0"/>
                  <w:marBottom w:val="0"/>
                  <w:divBdr>
                    <w:top w:val="none" w:sz="0" w:space="0" w:color="auto"/>
                    <w:left w:val="none" w:sz="0" w:space="0" w:color="auto"/>
                    <w:bottom w:val="none" w:sz="0" w:space="0" w:color="auto"/>
                    <w:right w:val="none" w:sz="0" w:space="0" w:color="auto"/>
                  </w:divBdr>
                </w:div>
              </w:divsChild>
            </w:div>
            <w:div w:id="979384092">
              <w:marLeft w:val="0"/>
              <w:marRight w:val="0"/>
              <w:marTop w:val="0"/>
              <w:marBottom w:val="0"/>
              <w:divBdr>
                <w:top w:val="none" w:sz="0" w:space="0" w:color="auto"/>
                <w:left w:val="none" w:sz="0" w:space="0" w:color="auto"/>
                <w:bottom w:val="none" w:sz="0" w:space="0" w:color="auto"/>
                <w:right w:val="none" w:sz="0" w:space="0" w:color="auto"/>
              </w:divBdr>
              <w:divsChild>
                <w:div w:id="559362326">
                  <w:marLeft w:val="0"/>
                  <w:marRight w:val="0"/>
                  <w:marTop w:val="0"/>
                  <w:marBottom w:val="0"/>
                  <w:divBdr>
                    <w:top w:val="none" w:sz="0" w:space="0" w:color="auto"/>
                    <w:left w:val="none" w:sz="0" w:space="0" w:color="auto"/>
                    <w:bottom w:val="none" w:sz="0" w:space="0" w:color="auto"/>
                    <w:right w:val="none" w:sz="0" w:space="0" w:color="auto"/>
                  </w:divBdr>
                </w:div>
              </w:divsChild>
            </w:div>
            <w:div w:id="1295674384">
              <w:marLeft w:val="0"/>
              <w:marRight w:val="0"/>
              <w:marTop w:val="0"/>
              <w:marBottom w:val="0"/>
              <w:divBdr>
                <w:top w:val="none" w:sz="0" w:space="0" w:color="auto"/>
                <w:left w:val="none" w:sz="0" w:space="0" w:color="auto"/>
                <w:bottom w:val="none" w:sz="0" w:space="0" w:color="auto"/>
                <w:right w:val="none" w:sz="0" w:space="0" w:color="auto"/>
              </w:divBdr>
              <w:divsChild>
                <w:div w:id="897326114">
                  <w:marLeft w:val="0"/>
                  <w:marRight w:val="0"/>
                  <w:marTop w:val="0"/>
                  <w:marBottom w:val="0"/>
                  <w:divBdr>
                    <w:top w:val="none" w:sz="0" w:space="0" w:color="auto"/>
                    <w:left w:val="none" w:sz="0" w:space="0" w:color="auto"/>
                    <w:bottom w:val="none" w:sz="0" w:space="0" w:color="auto"/>
                    <w:right w:val="none" w:sz="0" w:space="0" w:color="auto"/>
                  </w:divBdr>
                </w:div>
              </w:divsChild>
            </w:div>
            <w:div w:id="907879189">
              <w:marLeft w:val="0"/>
              <w:marRight w:val="0"/>
              <w:marTop w:val="0"/>
              <w:marBottom w:val="0"/>
              <w:divBdr>
                <w:top w:val="none" w:sz="0" w:space="0" w:color="auto"/>
                <w:left w:val="none" w:sz="0" w:space="0" w:color="auto"/>
                <w:bottom w:val="none" w:sz="0" w:space="0" w:color="auto"/>
                <w:right w:val="none" w:sz="0" w:space="0" w:color="auto"/>
              </w:divBdr>
              <w:divsChild>
                <w:div w:id="9677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5081">
          <w:marLeft w:val="0"/>
          <w:marRight w:val="0"/>
          <w:marTop w:val="0"/>
          <w:marBottom w:val="0"/>
          <w:divBdr>
            <w:top w:val="none" w:sz="0" w:space="0" w:color="auto"/>
            <w:left w:val="none" w:sz="0" w:space="0" w:color="auto"/>
            <w:bottom w:val="none" w:sz="0" w:space="0" w:color="auto"/>
            <w:right w:val="none" w:sz="0" w:space="0" w:color="auto"/>
          </w:divBdr>
        </w:div>
        <w:div w:id="2068605072">
          <w:marLeft w:val="0"/>
          <w:marRight w:val="0"/>
          <w:marTop w:val="0"/>
          <w:marBottom w:val="0"/>
          <w:divBdr>
            <w:top w:val="none" w:sz="0" w:space="0" w:color="auto"/>
            <w:left w:val="none" w:sz="0" w:space="0" w:color="auto"/>
            <w:bottom w:val="none" w:sz="0" w:space="0" w:color="auto"/>
            <w:right w:val="none" w:sz="0" w:space="0" w:color="auto"/>
          </w:divBdr>
        </w:div>
        <w:div w:id="31464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m.ac.uk/opioids-aware-structured-approach-opioid-prescribing/dose-equivalents-and-changing-opioi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hssomerset.nhs.uk/wp-content/uploads/2022/08/ICB-Analgesic-tapering-guidelines-general-with-flow-chart-approved-v1.2-1.doc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pm.ac.uk/opioids-aware-structured-approach-opioid-prescribing/tapering-and-stoppin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Spry Helen (Roaming)</dc:creator>
  <cp:lastModifiedBy>Ezmerelda White</cp:lastModifiedBy>
  <cp:revision>7</cp:revision>
  <dcterms:created xsi:type="dcterms:W3CDTF">2021-05-07T14:04:00Z</dcterms:created>
  <dcterms:modified xsi:type="dcterms:W3CDTF">2022-08-10T07:56:00Z</dcterms:modified>
</cp:coreProperties>
</file>