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550B" w14:textId="77777777" w:rsidR="00832C61" w:rsidRDefault="00832C61" w:rsidP="000A4BA2">
      <w:pPr>
        <w:spacing w:after="0" w:line="240" w:lineRule="auto"/>
        <w:jc w:val="center"/>
        <w:rPr>
          <w:rFonts w:ascii="Arial" w:hAnsi="Arial" w:cs="Arial"/>
          <w:b/>
          <w:bCs/>
          <w:sz w:val="24"/>
          <w:szCs w:val="24"/>
          <w:u w:val="single"/>
        </w:rPr>
      </w:pPr>
    </w:p>
    <w:p w14:paraId="3B3461A9" w14:textId="77777777" w:rsidR="00872AEA" w:rsidRDefault="00872AEA" w:rsidP="000A4BA2">
      <w:pPr>
        <w:spacing w:after="0" w:line="240" w:lineRule="auto"/>
        <w:jc w:val="center"/>
        <w:rPr>
          <w:rFonts w:ascii="Arial" w:hAnsi="Arial" w:cs="Arial"/>
          <w:b/>
          <w:bCs/>
          <w:sz w:val="24"/>
          <w:szCs w:val="24"/>
          <w:u w:val="single"/>
        </w:rPr>
      </w:pPr>
    </w:p>
    <w:p w14:paraId="639361FD" w14:textId="77777777" w:rsidR="00872AEA" w:rsidRDefault="00872AEA" w:rsidP="000A4BA2">
      <w:pPr>
        <w:spacing w:after="0" w:line="240" w:lineRule="auto"/>
        <w:jc w:val="center"/>
        <w:rPr>
          <w:rFonts w:ascii="Arial" w:hAnsi="Arial" w:cs="Arial"/>
          <w:b/>
          <w:bCs/>
          <w:sz w:val="24"/>
          <w:szCs w:val="24"/>
          <w:u w:val="single"/>
        </w:rPr>
      </w:pPr>
    </w:p>
    <w:p w14:paraId="28231FB2" w14:textId="77777777" w:rsidR="00872AEA" w:rsidRDefault="00872AEA" w:rsidP="000A4BA2">
      <w:pPr>
        <w:spacing w:after="0" w:line="240" w:lineRule="auto"/>
        <w:jc w:val="center"/>
        <w:rPr>
          <w:rFonts w:ascii="Arial" w:hAnsi="Arial" w:cs="Arial"/>
          <w:b/>
          <w:bCs/>
          <w:sz w:val="24"/>
          <w:szCs w:val="24"/>
          <w:u w:val="single"/>
        </w:rPr>
      </w:pPr>
    </w:p>
    <w:p w14:paraId="6683C202" w14:textId="77777777" w:rsidR="00872AEA" w:rsidRDefault="00872AEA" w:rsidP="000A4BA2">
      <w:pPr>
        <w:spacing w:after="0" w:line="240" w:lineRule="auto"/>
        <w:jc w:val="center"/>
        <w:rPr>
          <w:rFonts w:ascii="Arial" w:hAnsi="Arial" w:cs="Arial"/>
          <w:b/>
          <w:bCs/>
          <w:sz w:val="24"/>
          <w:szCs w:val="24"/>
          <w:u w:val="single"/>
        </w:rPr>
      </w:pPr>
    </w:p>
    <w:p w14:paraId="67B6B877" w14:textId="77777777" w:rsidR="000A4BA2" w:rsidRPr="000A4BA2" w:rsidRDefault="000A4BA2" w:rsidP="000A4BA2">
      <w:pPr>
        <w:spacing w:after="0" w:line="240" w:lineRule="auto"/>
        <w:jc w:val="center"/>
        <w:rPr>
          <w:rFonts w:ascii="Arial" w:hAnsi="Arial" w:cs="Arial"/>
          <w:sz w:val="24"/>
          <w:szCs w:val="24"/>
        </w:rPr>
      </w:pPr>
      <w:r w:rsidRPr="000A4BA2">
        <w:rPr>
          <w:rFonts w:ascii="Arial" w:hAnsi="Arial" w:cs="Arial"/>
          <w:b/>
          <w:bCs/>
          <w:sz w:val="24"/>
          <w:szCs w:val="24"/>
          <w:u w:val="single"/>
        </w:rPr>
        <w:t>Tapentadol suggested tapering regime</w:t>
      </w:r>
    </w:p>
    <w:p w14:paraId="67CFA317"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23B09ED8" w14:textId="77777777" w:rsidR="000A4BA2" w:rsidRDefault="000A4BA2" w:rsidP="000A4BA2">
      <w:pPr>
        <w:spacing w:after="0" w:line="240" w:lineRule="auto"/>
        <w:rPr>
          <w:rFonts w:ascii="Arial" w:hAnsi="Arial" w:cs="Arial"/>
          <w:sz w:val="24"/>
          <w:szCs w:val="24"/>
        </w:rPr>
      </w:pPr>
      <w:r w:rsidRPr="000A4BA2">
        <w:rPr>
          <w:rFonts w:ascii="Arial" w:hAnsi="Arial" w:cs="Arial"/>
          <w:sz w:val="24"/>
          <w:szCs w:val="24"/>
        </w:rPr>
        <w:t>This document is to be used in conjunction with the following guidance document: </w:t>
      </w:r>
    </w:p>
    <w:p w14:paraId="49CA971D" w14:textId="77777777" w:rsidR="000A4BA2" w:rsidRDefault="000A4BA2" w:rsidP="000A4BA2">
      <w:pPr>
        <w:spacing w:after="0" w:line="240" w:lineRule="auto"/>
        <w:rPr>
          <w:rFonts w:ascii="Arial" w:hAnsi="Arial" w:cs="Arial"/>
          <w:sz w:val="24"/>
          <w:szCs w:val="24"/>
        </w:rPr>
      </w:pPr>
    </w:p>
    <w:p w14:paraId="7C141AC8" w14:textId="1BE8EB58" w:rsidR="000A4BA2" w:rsidRPr="00696963" w:rsidRDefault="00731F8E" w:rsidP="000A4BA2">
      <w:pPr>
        <w:spacing w:after="0" w:line="240" w:lineRule="auto"/>
        <w:rPr>
          <w:rFonts w:ascii="Arial" w:hAnsi="Arial" w:cs="Arial"/>
          <w:i/>
          <w:iCs/>
          <w:sz w:val="24"/>
          <w:szCs w:val="24"/>
        </w:rPr>
      </w:pPr>
      <w:hyperlink r:id="rId7" w:history="1">
        <w:r w:rsidR="000A4BA2" w:rsidRPr="00696963">
          <w:rPr>
            <w:rStyle w:val="Hyperlink"/>
            <w:rFonts w:ascii="Arial" w:hAnsi="Arial" w:cs="Arial"/>
            <w:b/>
            <w:bCs/>
            <w:i/>
            <w:iCs/>
            <w:sz w:val="24"/>
            <w:szCs w:val="24"/>
            <w:u w:val="none"/>
          </w:rPr>
          <w:t>Analgesic Tapering Guidelines</w:t>
        </w:r>
        <w:r w:rsidR="005F3A64" w:rsidRPr="00696963">
          <w:rPr>
            <w:rStyle w:val="Hyperlink"/>
            <w:rFonts w:ascii="Arial" w:hAnsi="Arial" w:cs="Arial"/>
            <w:b/>
            <w:bCs/>
            <w:i/>
            <w:iCs/>
            <w:sz w:val="24"/>
            <w:szCs w:val="24"/>
            <w:u w:val="none"/>
          </w:rPr>
          <w:t xml:space="preserve"> f</w:t>
        </w:r>
        <w:r w:rsidR="000A4BA2" w:rsidRPr="00696963">
          <w:rPr>
            <w:rStyle w:val="Hyperlink"/>
            <w:rFonts w:ascii="Arial" w:hAnsi="Arial" w:cs="Arial"/>
            <w:b/>
            <w:bCs/>
            <w:i/>
            <w:iCs/>
            <w:sz w:val="24"/>
            <w:szCs w:val="24"/>
            <w:u w:val="none"/>
          </w:rPr>
          <w:t>or adult patients with persistent pain patients taking strong opioids and/or gabapentinoids</w:t>
        </w:r>
        <w:r w:rsidR="000A4BA2" w:rsidRPr="00696963">
          <w:rPr>
            <w:rStyle w:val="Hyperlink"/>
            <w:rFonts w:ascii="Arial" w:hAnsi="Arial" w:cs="Arial"/>
            <w:i/>
            <w:iCs/>
            <w:sz w:val="24"/>
            <w:szCs w:val="24"/>
            <w:u w:val="none"/>
          </w:rPr>
          <w:t> </w:t>
        </w:r>
      </w:hyperlink>
    </w:p>
    <w:p w14:paraId="2A547666" w14:textId="77777777" w:rsidR="000A4BA2" w:rsidRPr="000A4BA2" w:rsidRDefault="000A4BA2" w:rsidP="000A4BA2">
      <w:pPr>
        <w:spacing w:after="0" w:line="240" w:lineRule="auto"/>
        <w:rPr>
          <w:rFonts w:ascii="Arial" w:hAnsi="Arial" w:cs="Arial"/>
          <w:sz w:val="24"/>
          <w:szCs w:val="24"/>
        </w:rPr>
      </w:pPr>
    </w:p>
    <w:p w14:paraId="054EF7C2" w14:textId="77777777" w:rsidR="005F3A64" w:rsidRDefault="000A4BA2" w:rsidP="000A4BA2">
      <w:pPr>
        <w:spacing w:after="0" w:line="240" w:lineRule="auto"/>
        <w:rPr>
          <w:rFonts w:ascii="Arial" w:hAnsi="Arial" w:cs="Arial"/>
          <w:sz w:val="24"/>
          <w:szCs w:val="24"/>
        </w:rPr>
      </w:pPr>
      <w:r w:rsidRPr="000A4BA2">
        <w:rPr>
          <w:rFonts w:ascii="Arial" w:hAnsi="Arial" w:cs="Arial"/>
          <w:sz w:val="24"/>
          <w:szCs w:val="24"/>
        </w:rPr>
        <w:t>Tapentadol is an</w:t>
      </w:r>
      <w:r w:rsidR="008D2CE4">
        <w:rPr>
          <w:rFonts w:ascii="Arial" w:hAnsi="Arial" w:cs="Arial"/>
          <w:sz w:val="24"/>
          <w:szCs w:val="24"/>
        </w:rPr>
        <w:t xml:space="preserve"> opioid licenced in the UK for m</w:t>
      </w:r>
      <w:r w:rsidRPr="000A4BA2">
        <w:rPr>
          <w:rFonts w:ascii="Arial" w:hAnsi="Arial" w:cs="Arial"/>
          <w:sz w:val="24"/>
          <w:szCs w:val="24"/>
        </w:rPr>
        <w:t xml:space="preserve">oderate to severe acute pain which can be managed only with opioid analgesics.  </w:t>
      </w:r>
    </w:p>
    <w:p w14:paraId="418372A4" w14:textId="77777777" w:rsidR="005F3A64" w:rsidRDefault="005F3A64" w:rsidP="000A4BA2">
      <w:pPr>
        <w:spacing w:after="0" w:line="240" w:lineRule="auto"/>
        <w:rPr>
          <w:rFonts w:ascii="Arial" w:hAnsi="Arial" w:cs="Arial"/>
          <w:sz w:val="24"/>
          <w:szCs w:val="24"/>
        </w:rPr>
      </w:pPr>
    </w:p>
    <w:p w14:paraId="6AD1DB03"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25mg of oral tapentadol is approximately equivalent to 10mg of oral morphine</w:t>
      </w:r>
      <w:r w:rsidR="00D84F7C" w:rsidRPr="00D84F7C">
        <w:rPr>
          <w:rFonts w:ascii="Arial" w:hAnsi="Arial" w:cs="Arial"/>
          <w:sz w:val="24"/>
          <w:szCs w:val="24"/>
          <w:vertAlign w:val="superscript"/>
        </w:rPr>
        <w:t>1</w:t>
      </w:r>
      <w:r w:rsidRPr="000A4BA2">
        <w:rPr>
          <w:rFonts w:ascii="Arial" w:hAnsi="Arial" w:cs="Arial"/>
          <w:sz w:val="24"/>
          <w:szCs w:val="24"/>
        </w:rPr>
        <w:t>. </w:t>
      </w:r>
    </w:p>
    <w:p w14:paraId="0FCBEF57"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1DA989CA"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As with all opioids, the dose used should be the lowest possible for benefit, for the shortest possible time.  </w:t>
      </w:r>
    </w:p>
    <w:p w14:paraId="0C17D22B"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08E66F8D"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Long term use of opioids in non-malignant pain (longer than 3 months) carries an increased risk of dependence and addiction, so at the end of treatment the dosage should be tapered slowly to reduce the risk of withdrawal effects; tapering from a high dose may take weeks or months.  </w:t>
      </w:r>
    </w:p>
    <w:p w14:paraId="0B5222FB" w14:textId="77777777" w:rsidR="00D84F7C" w:rsidRDefault="00D84F7C" w:rsidP="000A4BA2">
      <w:pPr>
        <w:spacing w:after="0" w:line="240" w:lineRule="auto"/>
        <w:rPr>
          <w:rFonts w:ascii="Arial" w:hAnsi="Arial" w:cs="Arial"/>
          <w:sz w:val="24"/>
          <w:szCs w:val="24"/>
        </w:rPr>
      </w:pPr>
    </w:p>
    <w:p w14:paraId="6914B7D8" w14:textId="77777777" w:rsidR="00D84F7C" w:rsidRDefault="00D84F7C" w:rsidP="000A4BA2">
      <w:pPr>
        <w:spacing w:after="0" w:line="240" w:lineRule="auto"/>
        <w:rPr>
          <w:rFonts w:ascii="Arial" w:hAnsi="Arial" w:cs="Arial"/>
          <w:sz w:val="24"/>
          <w:szCs w:val="24"/>
        </w:rPr>
      </w:pPr>
      <w:r>
        <w:rPr>
          <w:rFonts w:ascii="Arial" w:hAnsi="Arial" w:cs="Arial"/>
          <w:sz w:val="24"/>
          <w:szCs w:val="24"/>
        </w:rPr>
        <w:t>Only modified release formulations of tapentadol are licensed for chronic pain.</w:t>
      </w:r>
    </w:p>
    <w:p w14:paraId="5ADDD04E" w14:textId="77777777" w:rsidR="00D84F7C" w:rsidRDefault="00D84F7C" w:rsidP="00D84F7C">
      <w:pPr>
        <w:spacing w:after="0" w:line="240" w:lineRule="auto"/>
        <w:rPr>
          <w:rFonts w:ascii="Arial" w:hAnsi="Arial" w:cs="Arial"/>
          <w:sz w:val="24"/>
          <w:szCs w:val="24"/>
        </w:rPr>
      </w:pPr>
      <w:r>
        <w:rPr>
          <w:rFonts w:ascii="Arial" w:hAnsi="Arial" w:cs="Arial"/>
          <w:sz w:val="24"/>
          <w:szCs w:val="24"/>
        </w:rPr>
        <w:t xml:space="preserve">Modified release formulations of tapentadol should be taken at 12hourly intervals. </w:t>
      </w:r>
    </w:p>
    <w:p w14:paraId="0A8D1D53" w14:textId="77777777" w:rsidR="00D84F7C" w:rsidRPr="00FF516F" w:rsidRDefault="00D84F7C" w:rsidP="00D84F7C">
      <w:pPr>
        <w:spacing w:after="0" w:line="240" w:lineRule="auto"/>
        <w:rPr>
          <w:rFonts w:ascii="Arial" w:hAnsi="Arial" w:cs="Arial"/>
          <w:sz w:val="24"/>
          <w:szCs w:val="24"/>
        </w:rPr>
      </w:pPr>
      <w:r>
        <w:rPr>
          <w:rFonts w:ascii="Arial" w:hAnsi="Arial" w:cs="Arial"/>
          <w:sz w:val="24"/>
          <w:szCs w:val="24"/>
        </w:rPr>
        <w:t>Palexia SR</w:t>
      </w:r>
      <w:r w:rsidRPr="0078335F">
        <w:rPr>
          <w:rStyle w:val="Strong"/>
          <w:rFonts w:ascii="Verdana" w:hAnsi="Verdana"/>
          <w:color w:val="444444"/>
          <w:sz w:val="18"/>
          <w:szCs w:val="18"/>
          <w:vertAlign w:val="superscript"/>
        </w:rPr>
        <w:t>®</w:t>
      </w:r>
      <w:r>
        <w:rPr>
          <w:rFonts w:ascii="Arial" w:hAnsi="Arial" w:cs="Arial"/>
          <w:sz w:val="24"/>
          <w:szCs w:val="24"/>
        </w:rPr>
        <w:t xml:space="preserve"> modified release tablets are available in the following strengths; 50mg, 100mg, 150mg, 200mg and 250mg.</w:t>
      </w:r>
    </w:p>
    <w:p w14:paraId="62AABC96" w14:textId="77777777" w:rsidR="00832C61" w:rsidRDefault="00832C61" w:rsidP="000A4BA2">
      <w:pPr>
        <w:spacing w:after="0" w:line="240" w:lineRule="auto"/>
        <w:rPr>
          <w:rFonts w:ascii="Arial" w:hAnsi="Arial" w:cs="Arial"/>
          <w:sz w:val="24"/>
          <w:szCs w:val="24"/>
        </w:rPr>
      </w:pPr>
    </w:p>
    <w:p w14:paraId="4B11B29D"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Dose changes should be individualised to the person.  There are no recommendations as to the speed of reduction.  A suggested regime for a patient who </w:t>
      </w:r>
      <w:r w:rsidRPr="000A4BA2">
        <w:rPr>
          <w:rFonts w:ascii="Arial" w:hAnsi="Arial" w:cs="Arial"/>
          <w:sz w:val="24"/>
          <w:szCs w:val="24"/>
          <w:u w:val="single"/>
        </w:rPr>
        <w:t xml:space="preserve">is already taking tapentadol MR 250mg </w:t>
      </w:r>
      <w:r w:rsidR="00D84F7C">
        <w:rPr>
          <w:rFonts w:ascii="Arial" w:hAnsi="Arial" w:cs="Arial"/>
          <w:sz w:val="24"/>
          <w:szCs w:val="24"/>
          <w:u w:val="single"/>
        </w:rPr>
        <w:t xml:space="preserve">twice </w:t>
      </w:r>
      <w:r w:rsidRPr="000A4BA2">
        <w:rPr>
          <w:rFonts w:ascii="Arial" w:hAnsi="Arial" w:cs="Arial"/>
          <w:sz w:val="24"/>
          <w:szCs w:val="24"/>
          <w:u w:val="single"/>
        </w:rPr>
        <w:t>daily</w:t>
      </w:r>
      <w:r w:rsidRPr="000A4BA2">
        <w:rPr>
          <w:rFonts w:ascii="Arial" w:hAnsi="Arial" w:cs="Arial"/>
          <w:sz w:val="24"/>
          <w:szCs w:val="24"/>
        </w:rPr>
        <w:t xml:space="preserve"> is included </w:t>
      </w:r>
      <w:r w:rsidR="00D84F7C">
        <w:rPr>
          <w:rFonts w:ascii="Arial" w:hAnsi="Arial" w:cs="Arial"/>
          <w:sz w:val="24"/>
          <w:szCs w:val="24"/>
        </w:rPr>
        <w:t>on page 2</w:t>
      </w:r>
      <w:r w:rsidRPr="000A4BA2">
        <w:rPr>
          <w:rFonts w:ascii="Arial" w:hAnsi="Arial" w:cs="Arial"/>
          <w:sz w:val="24"/>
          <w:szCs w:val="24"/>
        </w:rPr>
        <w:t>.   If the patient is taking a lower dose than tapentadol MR 250mg BD then start the process further down the table and follow the suggested tapering guidance. </w:t>
      </w:r>
    </w:p>
    <w:p w14:paraId="00FE0F00"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2D921DEF" w14:textId="77777777" w:rsidR="000A4BA2" w:rsidRPr="00D84F7C" w:rsidRDefault="000A4BA2" w:rsidP="000A4BA2">
      <w:pPr>
        <w:spacing w:after="0" w:line="240" w:lineRule="auto"/>
        <w:rPr>
          <w:rFonts w:ascii="Arial" w:hAnsi="Arial" w:cs="Arial"/>
          <w:b/>
          <w:sz w:val="24"/>
          <w:szCs w:val="24"/>
        </w:rPr>
      </w:pPr>
      <w:r w:rsidRPr="00D84F7C">
        <w:rPr>
          <w:rFonts w:ascii="Arial" w:hAnsi="Arial" w:cs="Arial"/>
          <w:b/>
          <w:sz w:val="24"/>
          <w:szCs w:val="24"/>
        </w:rPr>
        <w:t>Before starting:  </w:t>
      </w:r>
    </w:p>
    <w:p w14:paraId="599336BC" w14:textId="77777777" w:rsidR="000A4BA2" w:rsidRPr="000A4BA2" w:rsidRDefault="000A4BA2" w:rsidP="000A4BA2">
      <w:pPr>
        <w:numPr>
          <w:ilvl w:val="0"/>
          <w:numId w:val="1"/>
        </w:numPr>
        <w:spacing w:after="0" w:line="240" w:lineRule="auto"/>
        <w:rPr>
          <w:rFonts w:ascii="Arial" w:hAnsi="Arial" w:cs="Arial"/>
          <w:sz w:val="24"/>
          <w:szCs w:val="24"/>
        </w:rPr>
      </w:pPr>
      <w:r w:rsidRPr="000A4BA2">
        <w:rPr>
          <w:rFonts w:ascii="Arial" w:hAnsi="Arial" w:cs="Arial"/>
          <w:sz w:val="24"/>
          <w:szCs w:val="24"/>
        </w:rPr>
        <w:t>Where possible, ensure any reduction is discussed and agreed with the patient.  </w:t>
      </w:r>
    </w:p>
    <w:p w14:paraId="7FA7B8A0" w14:textId="77777777" w:rsidR="000A4BA2" w:rsidRPr="000A4BA2" w:rsidRDefault="000A4BA2" w:rsidP="000A4BA2">
      <w:pPr>
        <w:numPr>
          <w:ilvl w:val="0"/>
          <w:numId w:val="1"/>
        </w:numPr>
        <w:spacing w:after="0" w:line="240" w:lineRule="auto"/>
        <w:rPr>
          <w:rFonts w:ascii="Arial" w:hAnsi="Arial" w:cs="Arial"/>
          <w:sz w:val="24"/>
          <w:szCs w:val="24"/>
        </w:rPr>
      </w:pPr>
      <w:r w:rsidRPr="000A4BA2">
        <w:rPr>
          <w:rFonts w:ascii="Arial" w:hAnsi="Arial" w:cs="Arial"/>
          <w:sz w:val="24"/>
          <w:szCs w:val="24"/>
        </w:rPr>
        <w:t>Agree the speed of dose reduction with the patient.  </w:t>
      </w:r>
    </w:p>
    <w:p w14:paraId="6062D10D" w14:textId="77777777" w:rsidR="00832C61" w:rsidRDefault="000A4BA2" w:rsidP="000A4BA2">
      <w:pPr>
        <w:numPr>
          <w:ilvl w:val="0"/>
          <w:numId w:val="1"/>
        </w:numPr>
        <w:spacing w:after="0" w:line="240" w:lineRule="auto"/>
        <w:rPr>
          <w:rFonts w:ascii="Arial" w:hAnsi="Arial" w:cs="Arial"/>
          <w:sz w:val="24"/>
          <w:szCs w:val="24"/>
        </w:rPr>
      </w:pPr>
      <w:r w:rsidRPr="00832C61">
        <w:rPr>
          <w:rFonts w:ascii="Arial" w:hAnsi="Arial" w:cs="Arial"/>
          <w:sz w:val="24"/>
          <w:szCs w:val="24"/>
        </w:rPr>
        <w:t>Typically, one change per week is recommended. Some patients will need space to acclimatise to the new dose so the dose changes may be every one to two weeks.  Inform the patient that reduction can be slowed but not reversed. </w:t>
      </w:r>
    </w:p>
    <w:p w14:paraId="49FAD489" w14:textId="77777777" w:rsidR="000A4BA2" w:rsidRPr="00832C61" w:rsidRDefault="000A4BA2" w:rsidP="000A4BA2">
      <w:pPr>
        <w:numPr>
          <w:ilvl w:val="0"/>
          <w:numId w:val="1"/>
        </w:numPr>
        <w:spacing w:after="0" w:line="240" w:lineRule="auto"/>
        <w:rPr>
          <w:rFonts w:ascii="Arial" w:hAnsi="Arial" w:cs="Arial"/>
          <w:sz w:val="24"/>
          <w:szCs w:val="24"/>
        </w:rPr>
      </w:pPr>
      <w:r w:rsidRPr="00832C61">
        <w:rPr>
          <w:rFonts w:ascii="Arial" w:hAnsi="Arial" w:cs="Arial"/>
          <w:sz w:val="24"/>
          <w:szCs w:val="24"/>
        </w:rPr>
        <w:t>Dose changes should be individualised to the person, and made not more frequently than weekly.  </w:t>
      </w:r>
    </w:p>
    <w:p w14:paraId="36B86C6E" w14:textId="77777777" w:rsid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5C247793" w14:textId="77777777" w:rsidR="00832C61" w:rsidRDefault="00832C61" w:rsidP="000A4BA2">
      <w:pPr>
        <w:spacing w:after="0" w:line="240" w:lineRule="auto"/>
        <w:rPr>
          <w:rFonts w:ascii="Arial" w:hAnsi="Arial" w:cs="Arial"/>
          <w:sz w:val="24"/>
          <w:szCs w:val="24"/>
        </w:rPr>
      </w:pPr>
    </w:p>
    <w:p w14:paraId="7E0C2468" w14:textId="77777777" w:rsidR="00832C61" w:rsidRDefault="00832C61" w:rsidP="000A4BA2">
      <w:pPr>
        <w:spacing w:after="0" w:line="240" w:lineRule="auto"/>
        <w:rPr>
          <w:rFonts w:ascii="Arial" w:hAnsi="Arial" w:cs="Arial"/>
          <w:sz w:val="24"/>
          <w:szCs w:val="24"/>
        </w:rPr>
      </w:pPr>
    </w:p>
    <w:p w14:paraId="32DD9A1A" w14:textId="77777777" w:rsidR="00832C61" w:rsidRDefault="00832C61" w:rsidP="000A4BA2">
      <w:pPr>
        <w:spacing w:after="0" w:line="240" w:lineRule="auto"/>
        <w:rPr>
          <w:rFonts w:ascii="Arial" w:hAnsi="Arial" w:cs="Arial"/>
          <w:sz w:val="24"/>
          <w:szCs w:val="24"/>
        </w:rPr>
      </w:pPr>
    </w:p>
    <w:p w14:paraId="7A6D95B5" w14:textId="77777777" w:rsidR="00872AEA" w:rsidRDefault="00872AEA" w:rsidP="000A4BA2">
      <w:pPr>
        <w:spacing w:after="0" w:line="240" w:lineRule="auto"/>
        <w:rPr>
          <w:rFonts w:ascii="Arial" w:hAnsi="Arial" w:cs="Arial"/>
          <w:sz w:val="24"/>
          <w:szCs w:val="24"/>
        </w:rPr>
      </w:pPr>
    </w:p>
    <w:p w14:paraId="59153EC8" w14:textId="77777777" w:rsidR="00832C61" w:rsidRPr="000A4BA2" w:rsidRDefault="00832C61" w:rsidP="000A4BA2">
      <w:pPr>
        <w:spacing w:after="0" w:line="240" w:lineRule="auto"/>
        <w:rPr>
          <w:rFonts w:ascii="Arial" w:hAnsi="Arial" w:cs="Arial"/>
          <w:sz w:val="24"/>
          <w:szCs w:val="24"/>
        </w:rPr>
      </w:pP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3210"/>
        <w:gridCol w:w="3210"/>
      </w:tblGrid>
      <w:tr w:rsidR="007F7BD2" w:rsidRPr="000A4BA2" w14:paraId="3F51246C" w14:textId="77777777" w:rsidTr="007F7BD2">
        <w:tc>
          <w:tcPr>
            <w:tcW w:w="9630" w:type="dxa"/>
            <w:gridSpan w:val="3"/>
            <w:tcBorders>
              <w:top w:val="single" w:sz="6" w:space="0" w:color="000000"/>
              <w:left w:val="single" w:sz="6" w:space="0" w:color="000000"/>
              <w:bottom w:val="single" w:sz="6" w:space="0" w:color="000000"/>
              <w:right w:val="single" w:sz="6" w:space="0" w:color="000000"/>
            </w:tcBorders>
            <w:shd w:val="clear" w:color="auto" w:fill="auto"/>
          </w:tcPr>
          <w:p w14:paraId="1F166C94" w14:textId="77777777" w:rsidR="007F7BD2" w:rsidRPr="00FE3B01" w:rsidRDefault="007F7BD2" w:rsidP="007F7BD2">
            <w:pPr>
              <w:spacing w:after="0" w:line="240" w:lineRule="auto"/>
              <w:rPr>
                <w:rFonts w:ascii="Arial" w:hAnsi="Arial" w:cs="Arial"/>
                <w:sz w:val="24"/>
                <w:szCs w:val="24"/>
              </w:rPr>
            </w:pPr>
            <w:r w:rsidRPr="00FE3B01">
              <w:rPr>
                <w:rFonts w:ascii="Arial" w:hAnsi="Arial" w:cs="Arial"/>
                <w:b/>
                <w:bCs/>
                <w:i/>
                <w:iCs/>
                <w:sz w:val="24"/>
                <w:szCs w:val="24"/>
              </w:rPr>
              <w:lastRenderedPageBreak/>
              <w:t>Agreed dose reduction interval:  weekly</w:t>
            </w:r>
            <w:r>
              <w:rPr>
                <w:rFonts w:ascii="Arial" w:hAnsi="Arial" w:cs="Arial"/>
                <w:b/>
                <w:bCs/>
                <w:i/>
                <w:iCs/>
                <w:sz w:val="24"/>
                <w:szCs w:val="24"/>
              </w:rPr>
              <w:t xml:space="preserve">, </w:t>
            </w:r>
            <w:r w:rsidRPr="00FE3B01">
              <w:rPr>
                <w:rFonts w:ascii="Arial" w:hAnsi="Arial" w:cs="Arial"/>
                <w:b/>
                <w:bCs/>
                <w:i/>
                <w:iCs/>
                <w:sz w:val="24"/>
                <w:szCs w:val="24"/>
              </w:rPr>
              <w:t>fortnightly</w:t>
            </w:r>
            <w:r>
              <w:rPr>
                <w:rFonts w:ascii="Arial" w:hAnsi="Arial" w:cs="Arial"/>
                <w:b/>
                <w:bCs/>
                <w:i/>
                <w:iCs/>
                <w:sz w:val="24"/>
                <w:szCs w:val="24"/>
              </w:rPr>
              <w:t>, monthly</w:t>
            </w:r>
            <w:r w:rsidRPr="00FE3B01">
              <w:rPr>
                <w:rFonts w:ascii="Arial" w:hAnsi="Arial" w:cs="Arial"/>
                <w:sz w:val="24"/>
                <w:szCs w:val="24"/>
              </w:rPr>
              <w:t> </w:t>
            </w:r>
          </w:p>
          <w:p w14:paraId="3A502F26" w14:textId="77777777" w:rsidR="007F7BD2" w:rsidRDefault="007F7BD2" w:rsidP="007F7BD2">
            <w:pPr>
              <w:spacing w:after="0" w:line="240" w:lineRule="auto"/>
              <w:rPr>
                <w:rFonts w:ascii="Arial" w:hAnsi="Arial" w:cs="Arial"/>
                <w:b/>
                <w:bCs/>
                <w:sz w:val="24"/>
                <w:szCs w:val="24"/>
              </w:rPr>
            </w:pPr>
            <w:r>
              <w:rPr>
                <w:rFonts w:ascii="Arial" w:hAnsi="Arial" w:cs="Arial"/>
                <w:b/>
                <w:bCs/>
                <w:sz w:val="24"/>
                <w:szCs w:val="24"/>
              </w:rPr>
              <w:t>Enter the table at the appropriate dose level</w:t>
            </w:r>
          </w:p>
          <w:p w14:paraId="312DA64A" w14:textId="77777777" w:rsidR="007F7BD2" w:rsidRPr="000A4BA2" w:rsidRDefault="007F7BD2" w:rsidP="007F7BD2">
            <w:pPr>
              <w:spacing w:after="0" w:line="240" w:lineRule="auto"/>
              <w:rPr>
                <w:rFonts w:ascii="Arial" w:hAnsi="Arial" w:cs="Arial"/>
                <w:b/>
                <w:bCs/>
                <w:sz w:val="24"/>
                <w:szCs w:val="24"/>
              </w:rPr>
            </w:pPr>
            <w:r w:rsidRPr="00832C61">
              <w:rPr>
                <w:rFonts w:ascii="Arial" w:hAnsi="Arial" w:cs="Arial"/>
                <w:sz w:val="24"/>
                <w:szCs w:val="24"/>
              </w:rPr>
              <w:t>Tapentadol (Palexia SR</w:t>
            </w:r>
            <w:r w:rsidRPr="00832C61">
              <w:rPr>
                <w:rStyle w:val="Strong"/>
                <w:rFonts w:ascii="Arial" w:hAnsi="Arial" w:cs="Arial"/>
                <w:color w:val="444444"/>
                <w:sz w:val="24"/>
                <w:szCs w:val="24"/>
                <w:vertAlign w:val="superscript"/>
              </w:rPr>
              <w:t>®</w:t>
            </w:r>
            <w:r w:rsidRPr="00832C61">
              <w:rPr>
                <w:rFonts w:ascii="Arial" w:hAnsi="Arial" w:cs="Arial"/>
                <w:sz w:val="24"/>
                <w:szCs w:val="24"/>
              </w:rPr>
              <w:t>) modified release tablets are available in the following strengths 50mg, 100mg, 150mg, 200mg and 250mg. Doses should be at 12hourly intervals</w:t>
            </w:r>
            <w:r w:rsidRPr="0023485B">
              <w:rPr>
                <w:rFonts w:ascii="Arial" w:hAnsi="Arial" w:cs="Arial"/>
              </w:rPr>
              <w:t>.</w:t>
            </w:r>
          </w:p>
        </w:tc>
      </w:tr>
      <w:tr w:rsidR="000A4BA2" w:rsidRPr="000A4BA2" w14:paraId="76FDA836" w14:textId="77777777" w:rsidTr="007F7BD2">
        <w:tc>
          <w:tcPr>
            <w:tcW w:w="3210" w:type="dxa"/>
            <w:tcBorders>
              <w:top w:val="single" w:sz="6" w:space="0" w:color="000000"/>
              <w:left w:val="single" w:sz="6" w:space="0" w:color="000000"/>
              <w:bottom w:val="single" w:sz="6" w:space="0" w:color="000000"/>
              <w:right w:val="nil"/>
            </w:tcBorders>
            <w:shd w:val="clear" w:color="auto" w:fill="auto"/>
            <w:hideMark/>
          </w:tcPr>
          <w:p w14:paraId="26EF1E46"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b/>
                <w:bCs/>
                <w:sz w:val="24"/>
                <w:szCs w:val="24"/>
              </w:rPr>
              <w:t>Change (e.g. weekly / fortnightly / monthly)</w:t>
            </w:r>
            <w:r w:rsidRPr="000A4BA2">
              <w:rPr>
                <w:rFonts w:ascii="Arial" w:hAnsi="Arial" w:cs="Arial"/>
                <w:sz w:val="24"/>
                <w:szCs w:val="24"/>
              </w:rPr>
              <w:t> </w:t>
            </w:r>
          </w:p>
        </w:tc>
        <w:tc>
          <w:tcPr>
            <w:tcW w:w="3210" w:type="dxa"/>
            <w:tcBorders>
              <w:top w:val="single" w:sz="6" w:space="0" w:color="000000"/>
              <w:left w:val="single" w:sz="6" w:space="0" w:color="000000"/>
              <w:bottom w:val="single" w:sz="6" w:space="0" w:color="000000"/>
              <w:right w:val="nil"/>
            </w:tcBorders>
            <w:shd w:val="clear" w:color="auto" w:fill="auto"/>
            <w:hideMark/>
          </w:tcPr>
          <w:p w14:paraId="3E693181"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b/>
                <w:bCs/>
                <w:sz w:val="24"/>
                <w:szCs w:val="24"/>
              </w:rPr>
              <w:t>Morning Tapentadol MR dose </w:t>
            </w:r>
            <w:r w:rsidRPr="000A4BA2">
              <w:rPr>
                <w:rFonts w:ascii="Arial" w:hAnsi="Arial" w:cs="Arial"/>
                <w:sz w:val="24"/>
                <w:szCs w:val="24"/>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49D060A"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b/>
                <w:bCs/>
                <w:sz w:val="24"/>
                <w:szCs w:val="24"/>
              </w:rPr>
              <w:t> Evening Tapentadol MR dose</w:t>
            </w:r>
            <w:r w:rsidRPr="000A4BA2">
              <w:rPr>
                <w:rFonts w:ascii="Arial" w:hAnsi="Arial" w:cs="Arial"/>
                <w:sz w:val="24"/>
                <w:szCs w:val="24"/>
              </w:rPr>
              <w:t> </w:t>
            </w:r>
          </w:p>
        </w:tc>
      </w:tr>
      <w:tr w:rsidR="000A4BA2" w:rsidRPr="000A4BA2" w14:paraId="094A8580"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7C2B261C"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1</w:t>
            </w:r>
          </w:p>
        </w:tc>
        <w:tc>
          <w:tcPr>
            <w:tcW w:w="3210" w:type="dxa"/>
            <w:tcBorders>
              <w:top w:val="single" w:sz="6" w:space="0" w:color="000000"/>
              <w:left w:val="single" w:sz="6" w:space="0" w:color="000000"/>
              <w:bottom w:val="single" w:sz="6" w:space="0" w:color="000000"/>
              <w:right w:val="nil"/>
            </w:tcBorders>
            <w:shd w:val="clear" w:color="auto" w:fill="auto"/>
            <w:hideMark/>
          </w:tcPr>
          <w:p w14:paraId="1E62022D"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200mg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0FA3185"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250mg </w:t>
            </w:r>
          </w:p>
        </w:tc>
      </w:tr>
      <w:tr w:rsidR="000A4BA2" w:rsidRPr="000A4BA2" w14:paraId="47EB583C"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0AF02C3C"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2</w:t>
            </w:r>
          </w:p>
        </w:tc>
        <w:tc>
          <w:tcPr>
            <w:tcW w:w="3210" w:type="dxa"/>
            <w:tcBorders>
              <w:top w:val="single" w:sz="6" w:space="0" w:color="000000"/>
              <w:left w:val="single" w:sz="6" w:space="0" w:color="000000"/>
              <w:bottom w:val="single" w:sz="6" w:space="0" w:color="000000"/>
              <w:right w:val="nil"/>
            </w:tcBorders>
            <w:shd w:val="clear" w:color="auto" w:fill="auto"/>
            <w:hideMark/>
          </w:tcPr>
          <w:p w14:paraId="3ADDBE22"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200mg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7D3EB00"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200mg </w:t>
            </w:r>
          </w:p>
        </w:tc>
      </w:tr>
      <w:tr w:rsidR="000A4BA2" w:rsidRPr="000A4BA2" w14:paraId="02DCB6D7"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2AA4CB97"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3</w:t>
            </w:r>
          </w:p>
        </w:tc>
        <w:tc>
          <w:tcPr>
            <w:tcW w:w="3210" w:type="dxa"/>
            <w:tcBorders>
              <w:top w:val="single" w:sz="6" w:space="0" w:color="000000"/>
              <w:left w:val="single" w:sz="6" w:space="0" w:color="000000"/>
              <w:bottom w:val="single" w:sz="6" w:space="0" w:color="000000"/>
              <w:right w:val="nil"/>
            </w:tcBorders>
            <w:shd w:val="clear" w:color="auto" w:fill="auto"/>
            <w:hideMark/>
          </w:tcPr>
          <w:p w14:paraId="0F2338E0"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150mg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54994C2"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200mg </w:t>
            </w:r>
          </w:p>
        </w:tc>
      </w:tr>
      <w:tr w:rsidR="000A4BA2" w:rsidRPr="000A4BA2" w14:paraId="502C813A"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685EF9D8"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4</w:t>
            </w:r>
          </w:p>
        </w:tc>
        <w:tc>
          <w:tcPr>
            <w:tcW w:w="3210" w:type="dxa"/>
            <w:tcBorders>
              <w:top w:val="single" w:sz="6" w:space="0" w:color="000000"/>
              <w:left w:val="single" w:sz="6" w:space="0" w:color="000000"/>
              <w:bottom w:val="single" w:sz="6" w:space="0" w:color="000000"/>
              <w:right w:val="nil"/>
            </w:tcBorders>
            <w:shd w:val="clear" w:color="auto" w:fill="auto"/>
            <w:hideMark/>
          </w:tcPr>
          <w:p w14:paraId="1EA3C5F7"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150mg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BEE4DD4"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150mg </w:t>
            </w:r>
          </w:p>
        </w:tc>
      </w:tr>
      <w:tr w:rsidR="000A4BA2" w:rsidRPr="000A4BA2" w14:paraId="24F7540E"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56666549"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5</w:t>
            </w:r>
          </w:p>
        </w:tc>
        <w:tc>
          <w:tcPr>
            <w:tcW w:w="3210" w:type="dxa"/>
            <w:tcBorders>
              <w:top w:val="single" w:sz="6" w:space="0" w:color="000000"/>
              <w:left w:val="single" w:sz="6" w:space="0" w:color="000000"/>
              <w:bottom w:val="single" w:sz="6" w:space="0" w:color="000000"/>
              <w:right w:val="nil"/>
            </w:tcBorders>
            <w:shd w:val="clear" w:color="auto" w:fill="auto"/>
            <w:hideMark/>
          </w:tcPr>
          <w:p w14:paraId="31488BD8"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100mg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4729ADA4"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150mg </w:t>
            </w:r>
          </w:p>
        </w:tc>
      </w:tr>
      <w:tr w:rsidR="000A4BA2" w:rsidRPr="000A4BA2" w14:paraId="0CC2F65D"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3F607102"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6</w:t>
            </w:r>
          </w:p>
        </w:tc>
        <w:tc>
          <w:tcPr>
            <w:tcW w:w="3210" w:type="dxa"/>
            <w:tcBorders>
              <w:top w:val="single" w:sz="6" w:space="0" w:color="000000"/>
              <w:left w:val="single" w:sz="6" w:space="0" w:color="000000"/>
              <w:bottom w:val="single" w:sz="6" w:space="0" w:color="000000"/>
              <w:right w:val="nil"/>
            </w:tcBorders>
            <w:shd w:val="clear" w:color="auto" w:fill="auto"/>
            <w:hideMark/>
          </w:tcPr>
          <w:p w14:paraId="71DC1DFC"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100mg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24773898"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100mg </w:t>
            </w:r>
          </w:p>
        </w:tc>
      </w:tr>
      <w:tr w:rsidR="000A4BA2" w:rsidRPr="000A4BA2" w14:paraId="207863AA"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2E720AC7"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7</w:t>
            </w:r>
          </w:p>
        </w:tc>
        <w:tc>
          <w:tcPr>
            <w:tcW w:w="3210" w:type="dxa"/>
            <w:tcBorders>
              <w:top w:val="single" w:sz="6" w:space="0" w:color="000000"/>
              <w:left w:val="single" w:sz="6" w:space="0" w:color="000000"/>
              <w:bottom w:val="single" w:sz="6" w:space="0" w:color="000000"/>
              <w:right w:val="nil"/>
            </w:tcBorders>
            <w:shd w:val="clear" w:color="auto" w:fill="auto"/>
            <w:hideMark/>
          </w:tcPr>
          <w:p w14:paraId="68144896"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50mg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D318997"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100mg </w:t>
            </w:r>
          </w:p>
        </w:tc>
      </w:tr>
      <w:tr w:rsidR="000A4BA2" w:rsidRPr="000A4BA2" w14:paraId="74410E56"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45942356"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8</w:t>
            </w:r>
          </w:p>
        </w:tc>
        <w:tc>
          <w:tcPr>
            <w:tcW w:w="3210" w:type="dxa"/>
            <w:tcBorders>
              <w:top w:val="single" w:sz="6" w:space="0" w:color="000000"/>
              <w:left w:val="single" w:sz="6" w:space="0" w:color="000000"/>
              <w:bottom w:val="single" w:sz="6" w:space="0" w:color="000000"/>
              <w:right w:val="nil"/>
            </w:tcBorders>
            <w:shd w:val="clear" w:color="auto" w:fill="auto"/>
            <w:hideMark/>
          </w:tcPr>
          <w:p w14:paraId="5F1C6505"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50mg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F5C554B"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50mg </w:t>
            </w:r>
          </w:p>
        </w:tc>
      </w:tr>
      <w:tr w:rsidR="000A4BA2" w:rsidRPr="000A4BA2" w14:paraId="69D2D902"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7ECFEF40"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9</w:t>
            </w:r>
          </w:p>
        </w:tc>
        <w:tc>
          <w:tcPr>
            <w:tcW w:w="3210" w:type="dxa"/>
            <w:tcBorders>
              <w:top w:val="single" w:sz="6" w:space="0" w:color="000000"/>
              <w:left w:val="single" w:sz="6" w:space="0" w:color="000000"/>
              <w:bottom w:val="single" w:sz="6" w:space="0" w:color="000000"/>
              <w:right w:val="nil"/>
            </w:tcBorders>
            <w:shd w:val="clear" w:color="auto" w:fill="auto"/>
            <w:hideMark/>
          </w:tcPr>
          <w:p w14:paraId="0A1A6DC1"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STOP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2F13033"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50mg </w:t>
            </w:r>
          </w:p>
        </w:tc>
      </w:tr>
      <w:tr w:rsidR="000A4BA2" w:rsidRPr="000A4BA2" w14:paraId="4D20F747" w14:textId="77777777" w:rsidTr="00832C61">
        <w:tc>
          <w:tcPr>
            <w:tcW w:w="3210" w:type="dxa"/>
            <w:tcBorders>
              <w:top w:val="single" w:sz="6" w:space="0" w:color="000000"/>
              <w:left w:val="single" w:sz="6" w:space="0" w:color="000000"/>
              <w:bottom w:val="single" w:sz="6" w:space="0" w:color="000000"/>
              <w:right w:val="nil"/>
            </w:tcBorders>
            <w:shd w:val="clear" w:color="auto" w:fill="auto"/>
            <w:hideMark/>
          </w:tcPr>
          <w:p w14:paraId="58DC22AD" w14:textId="77777777" w:rsidR="000C2037" w:rsidRPr="000A4BA2" w:rsidRDefault="000A4BA2" w:rsidP="00832C61">
            <w:pPr>
              <w:spacing w:after="0" w:line="240" w:lineRule="auto"/>
              <w:jc w:val="center"/>
              <w:rPr>
                <w:rFonts w:ascii="Arial" w:hAnsi="Arial" w:cs="Arial"/>
                <w:sz w:val="24"/>
                <w:szCs w:val="24"/>
              </w:rPr>
            </w:pPr>
            <w:r w:rsidRPr="000A4BA2">
              <w:rPr>
                <w:rFonts w:ascii="Arial" w:hAnsi="Arial" w:cs="Arial"/>
                <w:sz w:val="24"/>
                <w:szCs w:val="24"/>
              </w:rPr>
              <w:t>10</w:t>
            </w:r>
          </w:p>
        </w:tc>
        <w:tc>
          <w:tcPr>
            <w:tcW w:w="3210" w:type="dxa"/>
            <w:tcBorders>
              <w:top w:val="single" w:sz="6" w:space="0" w:color="000000"/>
              <w:left w:val="single" w:sz="6" w:space="0" w:color="000000"/>
              <w:bottom w:val="single" w:sz="6" w:space="0" w:color="000000"/>
              <w:right w:val="nil"/>
            </w:tcBorders>
            <w:shd w:val="clear" w:color="auto" w:fill="auto"/>
            <w:hideMark/>
          </w:tcPr>
          <w:p w14:paraId="102B37D8"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STOP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50A09A5" w14:textId="77777777" w:rsidR="000C2037" w:rsidRPr="000A4BA2" w:rsidRDefault="000A4BA2" w:rsidP="000A4BA2">
            <w:pPr>
              <w:spacing w:after="0" w:line="240" w:lineRule="auto"/>
              <w:rPr>
                <w:rFonts w:ascii="Arial" w:hAnsi="Arial" w:cs="Arial"/>
                <w:sz w:val="24"/>
                <w:szCs w:val="24"/>
              </w:rPr>
            </w:pPr>
            <w:r w:rsidRPr="000A4BA2">
              <w:rPr>
                <w:rFonts w:ascii="Arial" w:hAnsi="Arial" w:cs="Arial"/>
                <w:sz w:val="24"/>
                <w:szCs w:val="24"/>
              </w:rPr>
              <w:t>STOP </w:t>
            </w:r>
          </w:p>
        </w:tc>
      </w:tr>
    </w:tbl>
    <w:p w14:paraId="04BB2DB2" w14:textId="77777777" w:rsidR="000A4BA2" w:rsidRPr="000A4BA2" w:rsidRDefault="000A4BA2" w:rsidP="000A4BA2">
      <w:pPr>
        <w:spacing w:after="0" w:line="240" w:lineRule="auto"/>
        <w:rPr>
          <w:rFonts w:ascii="Arial" w:hAnsi="Arial" w:cs="Arial"/>
          <w:sz w:val="24"/>
          <w:szCs w:val="24"/>
        </w:rPr>
      </w:pPr>
      <w:r w:rsidRPr="000A4BA2">
        <w:rPr>
          <w:rFonts w:ascii="Arial" w:hAnsi="Arial" w:cs="Arial"/>
          <w:sz w:val="24"/>
          <w:szCs w:val="24"/>
        </w:rPr>
        <w:t> </w:t>
      </w:r>
    </w:p>
    <w:p w14:paraId="1BD4C368" w14:textId="77777777" w:rsidR="000A4BA2" w:rsidRPr="00832C61" w:rsidRDefault="00832C61" w:rsidP="000A4BA2">
      <w:pPr>
        <w:spacing w:after="0" w:line="240" w:lineRule="auto"/>
        <w:rPr>
          <w:rFonts w:ascii="Arial" w:hAnsi="Arial" w:cs="Arial"/>
          <w:b/>
          <w:sz w:val="24"/>
          <w:szCs w:val="24"/>
        </w:rPr>
      </w:pPr>
      <w:r w:rsidRPr="00832C61">
        <w:rPr>
          <w:rFonts w:ascii="Arial" w:hAnsi="Arial" w:cs="Arial"/>
          <w:b/>
          <w:bCs/>
          <w:iCs/>
          <w:sz w:val="24"/>
          <w:szCs w:val="24"/>
        </w:rPr>
        <w:t>Notes</w:t>
      </w:r>
    </w:p>
    <w:p w14:paraId="4C593A08" w14:textId="77777777" w:rsidR="000A4BA2" w:rsidRPr="000A4BA2" w:rsidRDefault="000A4BA2" w:rsidP="000A4BA2">
      <w:pPr>
        <w:numPr>
          <w:ilvl w:val="0"/>
          <w:numId w:val="2"/>
        </w:numPr>
        <w:spacing w:after="0" w:line="240" w:lineRule="auto"/>
        <w:rPr>
          <w:rFonts w:ascii="Arial" w:hAnsi="Arial" w:cs="Arial"/>
          <w:sz w:val="24"/>
          <w:szCs w:val="24"/>
        </w:rPr>
      </w:pPr>
      <w:r w:rsidRPr="000A4BA2">
        <w:rPr>
          <w:rFonts w:ascii="Arial" w:hAnsi="Arial" w:cs="Arial"/>
          <w:sz w:val="24"/>
          <w:szCs w:val="24"/>
        </w:rPr>
        <w:t>Tapentadol can be difficult to reduce, due to its dual action as an opioid and noradrenaline reuptake inhibitor (making its effects less predictable).  </w:t>
      </w:r>
    </w:p>
    <w:p w14:paraId="1614292A" w14:textId="77777777" w:rsidR="00D17D77" w:rsidRPr="00D17D77" w:rsidRDefault="000A4BA2" w:rsidP="000A4BA2">
      <w:pPr>
        <w:numPr>
          <w:ilvl w:val="0"/>
          <w:numId w:val="3"/>
        </w:numPr>
        <w:spacing w:after="0" w:line="240" w:lineRule="auto"/>
        <w:rPr>
          <w:rFonts w:ascii="Arial" w:hAnsi="Arial" w:cs="Arial"/>
          <w:sz w:val="24"/>
          <w:szCs w:val="24"/>
        </w:rPr>
      </w:pPr>
      <w:r w:rsidRPr="00D17D77">
        <w:rPr>
          <w:rFonts w:ascii="Arial" w:hAnsi="Arial" w:cs="Arial"/>
          <w:sz w:val="24"/>
          <w:szCs w:val="24"/>
        </w:rPr>
        <w:t>It is suggested doses are “see-sawed” down</w:t>
      </w:r>
      <w:r w:rsidR="00D17D77" w:rsidRPr="00D17D77">
        <w:rPr>
          <w:rFonts w:ascii="Arial" w:hAnsi="Arial" w:cs="Arial"/>
          <w:sz w:val="24"/>
          <w:szCs w:val="24"/>
        </w:rPr>
        <w:t xml:space="preserve">, </w:t>
      </w:r>
      <w:r w:rsidR="00D17D77" w:rsidRPr="00D17D77">
        <w:rPr>
          <w:rFonts w:ascii="Arial" w:hAnsi="Arial" w:cs="Arial"/>
          <w:bCs/>
          <w:iCs/>
          <w:color w:val="000000" w:themeColor="text1"/>
          <w:sz w:val="24"/>
          <w:szCs w:val="24"/>
        </w:rPr>
        <w:t xml:space="preserve">i.e. different morning and evening doses in the reduction regime. </w:t>
      </w:r>
    </w:p>
    <w:p w14:paraId="1E7BE516" w14:textId="77777777" w:rsidR="000A4BA2" w:rsidRPr="00D17D77" w:rsidRDefault="000A4BA2" w:rsidP="000A4BA2">
      <w:pPr>
        <w:numPr>
          <w:ilvl w:val="0"/>
          <w:numId w:val="3"/>
        </w:numPr>
        <w:spacing w:after="0" w:line="240" w:lineRule="auto"/>
        <w:rPr>
          <w:rFonts w:ascii="Arial" w:hAnsi="Arial" w:cs="Arial"/>
          <w:sz w:val="24"/>
          <w:szCs w:val="24"/>
        </w:rPr>
      </w:pPr>
      <w:r w:rsidRPr="00D17D77">
        <w:rPr>
          <w:rFonts w:ascii="Arial" w:hAnsi="Arial" w:cs="Arial"/>
          <w:sz w:val="24"/>
          <w:szCs w:val="24"/>
        </w:rPr>
        <w:t>In the instance a someone finds reducing Tapentadol too difficult, they could be considered (if appropriate) for conversion to the oral morphine equivalent dose to enable more gradual tapering. </w:t>
      </w:r>
      <w:r w:rsidR="005F69AF" w:rsidRPr="00D17D77">
        <w:rPr>
          <w:rFonts w:ascii="Arial" w:hAnsi="Arial" w:cs="Arial"/>
          <w:sz w:val="24"/>
          <w:szCs w:val="24"/>
        </w:rPr>
        <w:t xml:space="preserve"> </w:t>
      </w:r>
      <w:r w:rsidRPr="00D17D77">
        <w:rPr>
          <w:rFonts w:ascii="Arial" w:hAnsi="Arial" w:cs="Arial"/>
          <w:sz w:val="24"/>
          <w:szCs w:val="24"/>
        </w:rPr>
        <w:t>If converting to morphine, consider referring to the “Consolidating Opioids” document. </w:t>
      </w:r>
    </w:p>
    <w:p w14:paraId="121032A5" w14:textId="77777777" w:rsidR="005F69AF" w:rsidRPr="00FE3B01" w:rsidRDefault="005F69AF" w:rsidP="005F69AF">
      <w:pPr>
        <w:numPr>
          <w:ilvl w:val="0"/>
          <w:numId w:val="4"/>
        </w:numPr>
        <w:spacing w:after="0" w:line="240" w:lineRule="auto"/>
        <w:rPr>
          <w:rFonts w:ascii="Arial" w:hAnsi="Arial" w:cs="Arial"/>
          <w:sz w:val="24"/>
          <w:szCs w:val="24"/>
        </w:rPr>
      </w:pPr>
      <w:r w:rsidRPr="00FE3B01">
        <w:rPr>
          <w:rFonts w:ascii="Arial" w:hAnsi="Arial" w:cs="Arial"/>
          <w:sz w:val="24"/>
          <w:szCs w:val="24"/>
        </w:rPr>
        <w:t>The F</w:t>
      </w:r>
      <w:r>
        <w:rPr>
          <w:rFonts w:ascii="Arial" w:hAnsi="Arial" w:cs="Arial"/>
          <w:sz w:val="24"/>
          <w:szCs w:val="24"/>
        </w:rPr>
        <w:t xml:space="preserve">aculty of </w:t>
      </w:r>
      <w:r w:rsidRPr="00FE3B01">
        <w:rPr>
          <w:rFonts w:ascii="Arial" w:hAnsi="Arial" w:cs="Arial"/>
          <w:sz w:val="24"/>
          <w:szCs w:val="24"/>
        </w:rPr>
        <w:t>P</w:t>
      </w:r>
      <w:r>
        <w:rPr>
          <w:rFonts w:ascii="Arial" w:hAnsi="Arial" w:cs="Arial"/>
          <w:sz w:val="24"/>
          <w:szCs w:val="24"/>
        </w:rPr>
        <w:t xml:space="preserve">ain </w:t>
      </w:r>
      <w:r w:rsidRPr="00FE3B01">
        <w:rPr>
          <w:rFonts w:ascii="Arial" w:hAnsi="Arial" w:cs="Arial"/>
          <w:sz w:val="24"/>
          <w:szCs w:val="24"/>
        </w:rPr>
        <w:t>M</w:t>
      </w:r>
      <w:r>
        <w:rPr>
          <w:rFonts w:ascii="Arial" w:hAnsi="Arial" w:cs="Arial"/>
          <w:sz w:val="24"/>
          <w:szCs w:val="24"/>
        </w:rPr>
        <w:t>edicine</w:t>
      </w:r>
      <w:r w:rsidRPr="00FE3B01">
        <w:rPr>
          <w:rFonts w:ascii="Arial" w:hAnsi="Arial" w:cs="Arial"/>
          <w:sz w:val="24"/>
          <w:szCs w:val="24"/>
        </w:rPr>
        <w:t> recommends reducing opioids by no more than 10% every 1-2 weeks.</w:t>
      </w:r>
      <w:r>
        <w:rPr>
          <w:rFonts w:ascii="Arial" w:hAnsi="Arial" w:cs="Arial"/>
          <w:sz w:val="24"/>
          <w:szCs w:val="24"/>
          <w:vertAlign w:val="superscript"/>
        </w:rPr>
        <w:t>2</w:t>
      </w:r>
      <w:r w:rsidRPr="00FE3B01">
        <w:rPr>
          <w:rFonts w:ascii="Arial" w:hAnsi="Arial" w:cs="Arial"/>
          <w:sz w:val="24"/>
          <w:szCs w:val="24"/>
        </w:rPr>
        <w:t>  </w:t>
      </w:r>
    </w:p>
    <w:p w14:paraId="12739985" w14:textId="77777777" w:rsidR="005F69AF" w:rsidRPr="00FE3B01" w:rsidRDefault="005F69AF" w:rsidP="005F69AF">
      <w:pPr>
        <w:numPr>
          <w:ilvl w:val="0"/>
          <w:numId w:val="4"/>
        </w:numPr>
        <w:spacing w:after="0" w:line="240" w:lineRule="auto"/>
        <w:rPr>
          <w:rFonts w:ascii="Arial" w:hAnsi="Arial" w:cs="Arial"/>
          <w:sz w:val="24"/>
          <w:szCs w:val="24"/>
        </w:rPr>
      </w:pPr>
      <w:r w:rsidRPr="00FE3B01">
        <w:rPr>
          <w:rFonts w:ascii="Arial" w:hAnsi="Arial" w:cs="Arial"/>
          <w:sz w:val="24"/>
          <w:szCs w:val="24"/>
        </w:rPr>
        <w:t>In the UK there are no readily available </w:t>
      </w:r>
      <w:r>
        <w:rPr>
          <w:rFonts w:ascii="Arial" w:hAnsi="Arial" w:cs="Arial"/>
          <w:sz w:val="24"/>
          <w:szCs w:val="24"/>
        </w:rPr>
        <w:t xml:space="preserve">MR tapentadol </w:t>
      </w:r>
      <w:r w:rsidRPr="00FE3B01">
        <w:rPr>
          <w:rFonts w:ascii="Arial" w:hAnsi="Arial" w:cs="Arial"/>
          <w:sz w:val="24"/>
          <w:szCs w:val="24"/>
        </w:rPr>
        <w:t>preparations to allow this approach throughout the reducing regime.  </w:t>
      </w:r>
    </w:p>
    <w:p w14:paraId="77D531EB" w14:textId="77777777" w:rsidR="005F69AF" w:rsidRPr="00FE3B01" w:rsidRDefault="005F69AF" w:rsidP="005F69AF">
      <w:pPr>
        <w:numPr>
          <w:ilvl w:val="0"/>
          <w:numId w:val="5"/>
        </w:numPr>
        <w:spacing w:after="0" w:line="240" w:lineRule="auto"/>
        <w:rPr>
          <w:rFonts w:ascii="Arial" w:hAnsi="Arial" w:cs="Arial"/>
          <w:sz w:val="24"/>
          <w:szCs w:val="24"/>
        </w:rPr>
      </w:pPr>
      <w:r w:rsidRPr="00FE3B01">
        <w:rPr>
          <w:rFonts w:ascii="Arial" w:hAnsi="Arial" w:cs="Arial"/>
          <w:sz w:val="24"/>
          <w:szCs w:val="24"/>
        </w:rPr>
        <w:t>This leads to a larger reduction as the regime progresses.  </w:t>
      </w:r>
    </w:p>
    <w:p w14:paraId="48E903D3" w14:textId="77777777" w:rsidR="005F69AF" w:rsidRPr="000A4BA2" w:rsidRDefault="005F69AF" w:rsidP="005F69AF">
      <w:pPr>
        <w:numPr>
          <w:ilvl w:val="0"/>
          <w:numId w:val="3"/>
        </w:numPr>
        <w:spacing w:after="0" w:line="240" w:lineRule="auto"/>
        <w:rPr>
          <w:rFonts w:ascii="Arial" w:hAnsi="Arial" w:cs="Arial"/>
          <w:sz w:val="24"/>
          <w:szCs w:val="24"/>
        </w:rPr>
      </w:pPr>
      <w:r w:rsidRPr="00FE3B01">
        <w:rPr>
          <w:rFonts w:ascii="Arial" w:hAnsi="Arial" w:cs="Arial"/>
          <w:sz w:val="24"/>
          <w:szCs w:val="24"/>
        </w:rPr>
        <w:t>This may mean that some patients want to slow the speed of the reduction as the regime progresses</w:t>
      </w:r>
    </w:p>
    <w:p w14:paraId="2E448E72" w14:textId="77777777" w:rsidR="00C277FB" w:rsidRDefault="00C277FB" w:rsidP="00C277FB">
      <w:pPr>
        <w:spacing w:after="0" w:line="240" w:lineRule="auto"/>
        <w:rPr>
          <w:rFonts w:ascii="Arial" w:hAnsi="Arial" w:cs="Arial"/>
          <w:sz w:val="24"/>
          <w:szCs w:val="24"/>
        </w:rPr>
      </w:pPr>
    </w:p>
    <w:p w14:paraId="17196842" w14:textId="77777777" w:rsidR="00743431" w:rsidRDefault="00743431" w:rsidP="00C277FB">
      <w:pPr>
        <w:spacing w:after="0" w:line="240" w:lineRule="auto"/>
        <w:rPr>
          <w:rFonts w:ascii="Arial" w:hAnsi="Arial" w:cs="Arial"/>
          <w:sz w:val="24"/>
          <w:szCs w:val="24"/>
        </w:rPr>
      </w:pPr>
    </w:p>
    <w:p w14:paraId="44C17256" w14:textId="77777777" w:rsidR="00743431" w:rsidRPr="00832C61" w:rsidRDefault="005F3A64" w:rsidP="005F69AF">
      <w:pPr>
        <w:spacing w:after="0" w:line="240" w:lineRule="auto"/>
        <w:rPr>
          <w:rFonts w:ascii="Arial" w:hAnsi="Arial" w:cs="Arial"/>
          <w:sz w:val="20"/>
          <w:szCs w:val="20"/>
        </w:rPr>
      </w:pPr>
      <w:r w:rsidRPr="00832C61">
        <w:rPr>
          <w:rFonts w:ascii="Arial" w:hAnsi="Arial" w:cs="Arial"/>
          <w:sz w:val="20"/>
          <w:szCs w:val="20"/>
        </w:rPr>
        <w:t>References</w:t>
      </w:r>
    </w:p>
    <w:p w14:paraId="4C4C1639" w14:textId="77777777" w:rsidR="005F3A64" w:rsidRDefault="00731F8E" w:rsidP="005F69AF">
      <w:pPr>
        <w:numPr>
          <w:ilvl w:val="1"/>
          <w:numId w:val="3"/>
        </w:numPr>
        <w:spacing w:after="0" w:line="240" w:lineRule="auto"/>
        <w:ind w:left="0" w:firstLine="0"/>
        <w:rPr>
          <w:rStyle w:val="Hyperlink"/>
          <w:rFonts w:ascii="Arial" w:hAnsi="Arial" w:cs="Arial"/>
          <w:color w:val="000000" w:themeColor="text1"/>
          <w:sz w:val="20"/>
          <w:szCs w:val="20"/>
          <w:u w:val="none"/>
        </w:rPr>
      </w:pPr>
      <w:hyperlink r:id="rId8" w:history="1">
        <w:r w:rsidR="00D84F7C" w:rsidRPr="00832C61">
          <w:rPr>
            <w:rStyle w:val="Hyperlink"/>
            <w:rFonts w:ascii="Arial" w:hAnsi="Arial" w:cs="Arial"/>
            <w:sz w:val="20"/>
            <w:szCs w:val="20"/>
          </w:rPr>
          <w:t>Dose equivalents and changing opioids | Faculty of Pain Medicine (fpm.ac.uk)</w:t>
        </w:r>
      </w:hyperlink>
      <w:r w:rsidR="00832C61" w:rsidRPr="00832C61">
        <w:rPr>
          <w:rStyle w:val="Hyperlink"/>
          <w:rFonts w:ascii="Arial" w:hAnsi="Arial" w:cs="Arial"/>
          <w:sz w:val="20"/>
          <w:szCs w:val="20"/>
        </w:rPr>
        <w:t xml:space="preserve"> </w:t>
      </w:r>
      <w:r w:rsidR="00832C61" w:rsidRPr="00832C61">
        <w:rPr>
          <w:rStyle w:val="Hyperlink"/>
          <w:rFonts w:ascii="Arial" w:hAnsi="Arial" w:cs="Arial"/>
          <w:color w:val="000000" w:themeColor="text1"/>
          <w:sz w:val="20"/>
          <w:szCs w:val="20"/>
          <w:u w:val="none"/>
        </w:rPr>
        <w:t>accessed 19/3/21</w:t>
      </w:r>
    </w:p>
    <w:p w14:paraId="1DFD5F67" w14:textId="77777777" w:rsidR="005F69AF" w:rsidRPr="00AF1765" w:rsidRDefault="00731F8E" w:rsidP="005F69AF">
      <w:pPr>
        <w:numPr>
          <w:ilvl w:val="1"/>
          <w:numId w:val="3"/>
        </w:numPr>
        <w:spacing w:after="0" w:line="240" w:lineRule="auto"/>
        <w:ind w:left="0" w:firstLine="0"/>
        <w:rPr>
          <w:rFonts w:ascii="Arial" w:hAnsi="Arial" w:cs="Arial"/>
          <w:sz w:val="24"/>
          <w:szCs w:val="24"/>
        </w:rPr>
      </w:pPr>
      <w:hyperlink r:id="rId9" w:history="1">
        <w:r w:rsidR="005F69AF">
          <w:rPr>
            <w:rStyle w:val="Hyperlink"/>
          </w:rPr>
          <w:t>Tapering and stopping | Faculty of Pain Medicine (fpm.ac.uk)</w:t>
        </w:r>
      </w:hyperlink>
      <w:r w:rsidR="005F69AF">
        <w:t xml:space="preserve"> accessed 19/3/21</w:t>
      </w:r>
    </w:p>
    <w:p w14:paraId="1C41ABF7" w14:textId="77777777" w:rsidR="005F69AF" w:rsidRPr="00832C61" w:rsidRDefault="005F69AF" w:rsidP="005F69AF">
      <w:pPr>
        <w:spacing w:after="0" w:line="240" w:lineRule="auto"/>
        <w:rPr>
          <w:rFonts w:ascii="Arial" w:hAnsi="Arial" w:cs="Arial"/>
          <w:color w:val="000000" w:themeColor="text1"/>
          <w:sz w:val="20"/>
          <w:szCs w:val="20"/>
        </w:rPr>
      </w:pPr>
    </w:p>
    <w:sectPr w:rsidR="005F69AF" w:rsidRPr="00832C61" w:rsidSect="000A4BA2">
      <w:headerReference w:type="default" r:id="rId10"/>
      <w:footerReference w:type="default" r:id="rId11"/>
      <w:headerReference w:type="first" r:id="rId12"/>
      <w:footerReference w:type="first" r:id="rId13"/>
      <w:pgSz w:w="11906" w:h="16838" w:code="9"/>
      <w:pgMar w:top="1440"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E16F" w14:textId="77777777" w:rsidR="00BE51AA" w:rsidRDefault="00BE51AA" w:rsidP="001D776D">
      <w:pPr>
        <w:spacing w:after="0" w:line="240" w:lineRule="auto"/>
      </w:pPr>
      <w:r>
        <w:separator/>
      </w:r>
    </w:p>
  </w:endnote>
  <w:endnote w:type="continuationSeparator" w:id="0">
    <w:p w14:paraId="4CFA2AF6" w14:textId="77777777" w:rsidR="00BE51AA" w:rsidRDefault="00BE51AA"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B93C" w14:textId="554F773E" w:rsidR="000A4BA2" w:rsidRPr="000A4BA2" w:rsidRDefault="000A4BA2">
    <w:pPr>
      <w:pStyle w:val="Footer"/>
      <w:jc w:val="center"/>
      <w:rPr>
        <w:lang w:val="en-GB"/>
      </w:rPr>
    </w:pPr>
    <w:r>
      <w:rPr>
        <w:lang w:val="en-GB"/>
      </w:rPr>
      <w:tab/>
    </w:r>
    <w:r>
      <w:fldChar w:fldCharType="begin"/>
    </w:r>
    <w:r>
      <w:instrText xml:space="preserve"> PAGE   \* MERGEFORMAT </w:instrText>
    </w:r>
    <w:r>
      <w:fldChar w:fldCharType="separate"/>
    </w:r>
    <w:r w:rsidR="00B160A6">
      <w:rPr>
        <w:noProof/>
      </w:rPr>
      <w:t>2</w:t>
    </w:r>
    <w:r>
      <w:rPr>
        <w:noProof/>
      </w:rPr>
      <w:fldChar w:fldCharType="end"/>
    </w:r>
    <w:r>
      <w:rPr>
        <w:noProof/>
        <w:lang w:val="en-GB"/>
      </w:rPr>
      <w:tab/>
      <w:t xml:space="preserve">Version 1.0 </w:t>
    </w:r>
    <w:r w:rsidR="0006664B">
      <w:rPr>
        <w:noProof/>
        <w:lang w:val="en-GB"/>
      </w:rPr>
      <w:t>August</w:t>
    </w:r>
    <w:r>
      <w:rPr>
        <w:noProof/>
        <w:lang w:val="en-GB"/>
      </w:rPr>
      <w:t xml:space="preserve"> 202</w:t>
    </w:r>
    <w:r w:rsidR="0006664B">
      <w:rPr>
        <w:noProof/>
        <w:lang w:val="en-GB"/>
      </w:rPr>
      <w:t>2</w:t>
    </w:r>
  </w:p>
  <w:p w14:paraId="7267F0C3" w14:textId="77777777" w:rsidR="000A4BA2" w:rsidRDefault="000A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C31D" w14:textId="3E3656A7"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B160A6">
      <w:rPr>
        <w:noProof/>
      </w:rPr>
      <w:t>1</w:t>
    </w:r>
    <w:r>
      <w:rPr>
        <w:noProof/>
      </w:rPr>
      <w:fldChar w:fldCharType="end"/>
    </w:r>
    <w:r>
      <w:rPr>
        <w:noProof/>
        <w:lang w:val="en-GB"/>
      </w:rPr>
      <w:tab/>
      <w:t xml:space="preserve">Version 1.0 </w:t>
    </w:r>
    <w:r w:rsidR="0006664B">
      <w:rPr>
        <w:noProof/>
        <w:lang w:val="en-GB"/>
      </w:rPr>
      <w:t>August</w:t>
    </w:r>
    <w:r>
      <w:rPr>
        <w:noProof/>
        <w:lang w:val="en-GB"/>
      </w:rPr>
      <w:t xml:space="preserve"> 202</w:t>
    </w:r>
    <w:r w:rsidR="0006664B">
      <w:rPr>
        <w:noProof/>
        <w:lang w:val="en-GB"/>
      </w:rPr>
      <w:t>2</w:t>
    </w:r>
  </w:p>
  <w:p w14:paraId="0A0A2972"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E964" w14:textId="77777777" w:rsidR="00BE51AA" w:rsidRDefault="00BE51AA" w:rsidP="001D776D">
      <w:pPr>
        <w:spacing w:after="0" w:line="240" w:lineRule="auto"/>
      </w:pPr>
      <w:r>
        <w:separator/>
      </w:r>
    </w:p>
  </w:footnote>
  <w:footnote w:type="continuationSeparator" w:id="0">
    <w:p w14:paraId="2FF4C180" w14:textId="77777777" w:rsidR="00BE51AA" w:rsidRDefault="00BE51AA"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0000" w14:textId="77777777" w:rsidR="001D776D" w:rsidRDefault="001D776D" w:rsidP="00C02A88">
    <w:pPr>
      <w:pStyle w:val="Header"/>
      <w:tabs>
        <w:tab w:val="clear" w:pos="9026"/>
      </w:tabs>
      <w:jc w:val="right"/>
    </w:pPr>
  </w:p>
  <w:p w14:paraId="5E3FDE42"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F0AD" w14:textId="1D7A06E9" w:rsidR="00C02A88" w:rsidRDefault="00731F8E">
    <w:pPr>
      <w:pStyle w:val="Header"/>
    </w:pPr>
    <w:r>
      <w:rPr>
        <w:noProof/>
      </w:rPr>
      <w:pict w14:anchorId="74F0E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6" type="#_x0000_t75" alt="Graphical user interface&#10;&#10;Description automatically generated" style="position:absolute;margin-left:242.2pt;margin-top:-9.95pt;width:260pt;height:84.2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64 2893 15064 9064 13757 11957 9897 16393 9773 16779 9773 19093 11703 19479 12325 19479 20729 19093 20791 16393 20293 16200 10769 15236 20666 15043 20853 12729 20480 12150 20729 9064 20729 2893 15064 2893">
          <v:imagedata r:id="rId1" o:title="Graphical user interface&#10;&#10;Description automatically generated"/>
          <w10:wrap type="tight"/>
        </v:shape>
      </w:pict>
    </w:r>
    <w:r>
      <w:rPr>
        <w:noProof/>
        <w:lang w:val="en-GB" w:eastAsia="en-GB"/>
      </w:rPr>
      <w:pict w14:anchorId="0BAEEB27">
        <v:shape id="Picture 3" o:spid="_x0000_s4105" type="#_x0000_t75" style="position:absolute;margin-left:-13.7pt;margin-top:-5.25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507FF834">
        <v:shape id="Picture 4" o:spid="_x0000_s4104" type="#_x0000_t75" style="position:absolute;margin-left:151.3pt;margin-top:-9.95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p w14:paraId="1F8F0719" w14:textId="77777777" w:rsidR="00C277FB" w:rsidRDefault="00C277FB" w:rsidP="00A54F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C42"/>
    <w:multiLevelType w:val="multilevel"/>
    <w:tmpl w:val="29C8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419DD"/>
    <w:multiLevelType w:val="hybridMultilevel"/>
    <w:tmpl w:val="9732FE20"/>
    <w:lvl w:ilvl="0" w:tplc="CF42CEC0">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608D5"/>
    <w:multiLevelType w:val="multilevel"/>
    <w:tmpl w:val="E55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07963"/>
    <w:multiLevelType w:val="multilevel"/>
    <w:tmpl w:val="3ECC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A9E"/>
    <w:multiLevelType w:val="multilevel"/>
    <w:tmpl w:val="65E2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80327F"/>
    <w:multiLevelType w:val="multilevel"/>
    <w:tmpl w:val="5B5EA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0"/>
        <w:szCs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842464">
    <w:abstractNumId w:val="3"/>
  </w:num>
  <w:num w:numId="2" w16cid:durableId="522091466">
    <w:abstractNumId w:val="2"/>
  </w:num>
  <w:num w:numId="3" w16cid:durableId="794100095">
    <w:abstractNumId w:val="5"/>
  </w:num>
  <w:num w:numId="4" w16cid:durableId="1234701881">
    <w:abstractNumId w:val="0"/>
  </w:num>
  <w:num w:numId="5" w16cid:durableId="771390127">
    <w:abstractNumId w:val="4"/>
  </w:num>
  <w:num w:numId="6" w16cid:durableId="113424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6664B"/>
    <w:rsid w:val="000A4BA2"/>
    <w:rsid w:val="000C2037"/>
    <w:rsid w:val="001D776D"/>
    <w:rsid w:val="00224297"/>
    <w:rsid w:val="00240016"/>
    <w:rsid w:val="00253535"/>
    <w:rsid w:val="002C4EC5"/>
    <w:rsid w:val="003144CB"/>
    <w:rsid w:val="003478FA"/>
    <w:rsid w:val="004546FF"/>
    <w:rsid w:val="00473316"/>
    <w:rsid w:val="00503C3F"/>
    <w:rsid w:val="005F3A64"/>
    <w:rsid w:val="005F69AF"/>
    <w:rsid w:val="00685965"/>
    <w:rsid w:val="00696963"/>
    <w:rsid w:val="00731F8E"/>
    <w:rsid w:val="00743431"/>
    <w:rsid w:val="007548C9"/>
    <w:rsid w:val="007F7BD2"/>
    <w:rsid w:val="00814586"/>
    <w:rsid w:val="00832C61"/>
    <w:rsid w:val="008333B8"/>
    <w:rsid w:val="00872AEA"/>
    <w:rsid w:val="008B4288"/>
    <w:rsid w:val="008D2CE4"/>
    <w:rsid w:val="00941CC1"/>
    <w:rsid w:val="00A54F97"/>
    <w:rsid w:val="00AF1765"/>
    <w:rsid w:val="00B160A6"/>
    <w:rsid w:val="00B71395"/>
    <w:rsid w:val="00BA7AAC"/>
    <w:rsid w:val="00BE51AA"/>
    <w:rsid w:val="00BF762A"/>
    <w:rsid w:val="00C02A88"/>
    <w:rsid w:val="00C12BC9"/>
    <w:rsid w:val="00C277FB"/>
    <w:rsid w:val="00D17D77"/>
    <w:rsid w:val="00D400F8"/>
    <w:rsid w:val="00D84F7C"/>
    <w:rsid w:val="00DA3CE0"/>
    <w:rsid w:val="00EA163F"/>
    <w:rsid w:val="00F375F9"/>
    <w:rsid w:val="00F44E54"/>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4EF16D86"/>
  <w15:docId w15:val="{EF027AE0-015A-4884-888A-99EB27C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Hyperlink">
    <w:name w:val="Hyperlink"/>
    <w:uiPriority w:val="99"/>
    <w:unhideWhenUsed/>
    <w:rsid w:val="000A4BA2"/>
    <w:rPr>
      <w:color w:val="0000FF"/>
      <w:u w:val="single"/>
    </w:rPr>
  </w:style>
  <w:style w:type="character" w:styleId="CommentReference">
    <w:name w:val="annotation reference"/>
    <w:uiPriority w:val="99"/>
    <w:semiHidden/>
    <w:unhideWhenUsed/>
    <w:rsid w:val="000A4BA2"/>
    <w:rPr>
      <w:sz w:val="16"/>
      <w:szCs w:val="16"/>
    </w:rPr>
  </w:style>
  <w:style w:type="paragraph" w:styleId="CommentText">
    <w:name w:val="annotation text"/>
    <w:basedOn w:val="Normal"/>
    <w:link w:val="CommentTextChar"/>
    <w:uiPriority w:val="99"/>
    <w:semiHidden/>
    <w:unhideWhenUsed/>
    <w:rsid w:val="000A4BA2"/>
    <w:rPr>
      <w:sz w:val="20"/>
      <w:szCs w:val="20"/>
    </w:rPr>
  </w:style>
  <w:style w:type="character" w:customStyle="1" w:styleId="CommentTextChar">
    <w:name w:val="Comment Text Char"/>
    <w:link w:val="CommentText"/>
    <w:uiPriority w:val="99"/>
    <w:semiHidden/>
    <w:rsid w:val="000A4BA2"/>
    <w:rPr>
      <w:lang w:eastAsia="en-US"/>
    </w:rPr>
  </w:style>
  <w:style w:type="paragraph" w:styleId="CommentSubject">
    <w:name w:val="annotation subject"/>
    <w:basedOn w:val="CommentText"/>
    <w:next w:val="CommentText"/>
    <w:link w:val="CommentSubjectChar"/>
    <w:uiPriority w:val="99"/>
    <w:semiHidden/>
    <w:unhideWhenUsed/>
    <w:rsid w:val="000A4BA2"/>
    <w:rPr>
      <w:b/>
      <w:bCs/>
    </w:rPr>
  </w:style>
  <w:style w:type="character" w:customStyle="1" w:styleId="CommentSubjectChar">
    <w:name w:val="Comment Subject Char"/>
    <w:link w:val="CommentSubject"/>
    <w:uiPriority w:val="99"/>
    <w:semiHidden/>
    <w:rsid w:val="000A4BA2"/>
    <w:rPr>
      <w:b/>
      <w:bCs/>
      <w:lang w:eastAsia="en-US"/>
    </w:rPr>
  </w:style>
  <w:style w:type="character" w:styleId="FollowedHyperlink">
    <w:name w:val="FollowedHyperlink"/>
    <w:basedOn w:val="DefaultParagraphFont"/>
    <w:uiPriority w:val="99"/>
    <w:semiHidden/>
    <w:unhideWhenUsed/>
    <w:rsid w:val="00D84F7C"/>
    <w:rPr>
      <w:color w:val="800080" w:themeColor="followedHyperlink"/>
      <w:u w:val="single"/>
    </w:rPr>
  </w:style>
  <w:style w:type="character" w:styleId="Strong">
    <w:name w:val="Strong"/>
    <w:uiPriority w:val="22"/>
    <w:qFormat/>
    <w:rsid w:val="00D84F7C"/>
    <w:rPr>
      <w:b/>
      <w:bCs/>
    </w:rPr>
  </w:style>
  <w:style w:type="character" w:styleId="UnresolvedMention">
    <w:name w:val="Unresolved Mention"/>
    <w:basedOn w:val="DefaultParagraphFont"/>
    <w:uiPriority w:val="99"/>
    <w:semiHidden/>
    <w:unhideWhenUsed/>
    <w:rsid w:val="00696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2893">
      <w:bodyDiv w:val="1"/>
      <w:marLeft w:val="0"/>
      <w:marRight w:val="0"/>
      <w:marTop w:val="0"/>
      <w:marBottom w:val="0"/>
      <w:divBdr>
        <w:top w:val="none" w:sz="0" w:space="0" w:color="auto"/>
        <w:left w:val="none" w:sz="0" w:space="0" w:color="auto"/>
        <w:bottom w:val="none" w:sz="0" w:space="0" w:color="auto"/>
        <w:right w:val="none" w:sz="0" w:space="0" w:color="auto"/>
      </w:divBdr>
      <w:divsChild>
        <w:div w:id="1537504374">
          <w:marLeft w:val="0"/>
          <w:marRight w:val="0"/>
          <w:marTop w:val="0"/>
          <w:marBottom w:val="0"/>
          <w:divBdr>
            <w:top w:val="none" w:sz="0" w:space="0" w:color="auto"/>
            <w:left w:val="none" w:sz="0" w:space="0" w:color="auto"/>
            <w:bottom w:val="none" w:sz="0" w:space="0" w:color="auto"/>
            <w:right w:val="none" w:sz="0" w:space="0" w:color="auto"/>
          </w:divBdr>
        </w:div>
        <w:div w:id="1737044283">
          <w:marLeft w:val="0"/>
          <w:marRight w:val="0"/>
          <w:marTop w:val="0"/>
          <w:marBottom w:val="0"/>
          <w:divBdr>
            <w:top w:val="none" w:sz="0" w:space="0" w:color="auto"/>
            <w:left w:val="none" w:sz="0" w:space="0" w:color="auto"/>
            <w:bottom w:val="none" w:sz="0" w:space="0" w:color="auto"/>
            <w:right w:val="none" w:sz="0" w:space="0" w:color="auto"/>
          </w:divBdr>
        </w:div>
        <w:div w:id="732434832">
          <w:marLeft w:val="0"/>
          <w:marRight w:val="0"/>
          <w:marTop w:val="0"/>
          <w:marBottom w:val="0"/>
          <w:divBdr>
            <w:top w:val="none" w:sz="0" w:space="0" w:color="auto"/>
            <w:left w:val="none" w:sz="0" w:space="0" w:color="auto"/>
            <w:bottom w:val="none" w:sz="0" w:space="0" w:color="auto"/>
            <w:right w:val="none" w:sz="0" w:space="0" w:color="auto"/>
          </w:divBdr>
        </w:div>
        <w:div w:id="557130680">
          <w:marLeft w:val="-75"/>
          <w:marRight w:val="0"/>
          <w:marTop w:val="30"/>
          <w:marBottom w:val="30"/>
          <w:divBdr>
            <w:top w:val="none" w:sz="0" w:space="0" w:color="auto"/>
            <w:left w:val="none" w:sz="0" w:space="0" w:color="auto"/>
            <w:bottom w:val="none" w:sz="0" w:space="0" w:color="auto"/>
            <w:right w:val="none" w:sz="0" w:space="0" w:color="auto"/>
          </w:divBdr>
          <w:divsChild>
            <w:div w:id="1896046590">
              <w:marLeft w:val="0"/>
              <w:marRight w:val="0"/>
              <w:marTop w:val="0"/>
              <w:marBottom w:val="0"/>
              <w:divBdr>
                <w:top w:val="none" w:sz="0" w:space="0" w:color="auto"/>
                <w:left w:val="none" w:sz="0" w:space="0" w:color="auto"/>
                <w:bottom w:val="none" w:sz="0" w:space="0" w:color="auto"/>
                <w:right w:val="none" w:sz="0" w:space="0" w:color="auto"/>
              </w:divBdr>
              <w:divsChild>
                <w:div w:id="1053313395">
                  <w:marLeft w:val="0"/>
                  <w:marRight w:val="0"/>
                  <w:marTop w:val="0"/>
                  <w:marBottom w:val="0"/>
                  <w:divBdr>
                    <w:top w:val="none" w:sz="0" w:space="0" w:color="auto"/>
                    <w:left w:val="none" w:sz="0" w:space="0" w:color="auto"/>
                    <w:bottom w:val="none" w:sz="0" w:space="0" w:color="auto"/>
                    <w:right w:val="none" w:sz="0" w:space="0" w:color="auto"/>
                  </w:divBdr>
                </w:div>
              </w:divsChild>
            </w:div>
            <w:div w:id="147286686">
              <w:marLeft w:val="0"/>
              <w:marRight w:val="0"/>
              <w:marTop w:val="0"/>
              <w:marBottom w:val="0"/>
              <w:divBdr>
                <w:top w:val="none" w:sz="0" w:space="0" w:color="auto"/>
                <w:left w:val="none" w:sz="0" w:space="0" w:color="auto"/>
                <w:bottom w:val="none" w:sz="0" w:space="0" w:color="auto"/>
                <w:right w:val="none" w:sz="0" w:space="0" w:color="auto"/>
              </w:divBdr>
              <w:divsChild>
                <w:div w:id="981539759">
                  <w:marLeft w:val="0"/>
                  <w:marRight w:val="0"/>
                  <w:marTop w:val="0"/>
                  <w:marBottom w:val="0"/>
                  <w:divBdr>
                    <w:top w:val="none" w:sz="0" w:space="0" w:color="auto"/>
                    <w:left w:val="none" w:sz="0" w:space="0" w:color="auto"/>
                    <w:bottom w:val="none" w:sz="0" w:space="0" w:color="auto"/>
                    <w:right w:val="none" w:sz="0" w:space="0" w:color="auto"/>
                  </w:divBdr>
                </w:div>
              </w:divsChild>
            </w:div>
            <w:div w:id="207104998">
              <w:marLeft w:val="0"/>
              <w:marRight w:val="0"/>
              <w:marTop w:val="0"/>
              <w:marBottom w:val="0"/>
              <w:divBdr>
                <w:top w:val="none" w:sz="0" w:space="0" w:color="auto"/>
                <w:left w:val="none" w:sz="0" w:space="0" w:color="auto"/>
                <w:bottom w:val="none" w:sz="0" w:space="0" w:color="auto"/>
                <w:right w:val="none" w:sz="0" w:space="0" w:color="auto"/>
              </w:divBdr>
              <w:divsChild>
                <w:div w:id="1681159610">
                  <w:marLeft w:val="0"/>
                  <w:marRight w:val="0"/>
                  <w:marTop w:val="0"/>
                  <w:marBottom w:val="0"/>
                  <w:divBdr>
                    <w:top w:val="none" w:sz="0" w:space="0" w:color="auto"/>
                    <w:left w:val="none" w:sz="0" w:space="0" w:color="auto"/>
                    <w:bottom w:val="none" w:sz="0" w:space="0" w:color="auto"/>
                    <w:right w:val="none" w:sz="0" w:space="0" w:color="auto"/>
                  </w:divBdr>
                </w:div>
              </w:divsChild>
            </w:div>
            <w:div w:id="1832064798">
              <w:marLeft w:val="0"/>
              <w:marRight w:val="0"/>
              <w:marTop w:val="0"/>
              <w:marBottom w:val="0"/>
              <w:divBdr>
                <w:top w:val="none" w:sz="0" w:space="0" w:color="auto"/>
                <w:left w:val="none" w:sz="0" w:space="0" w:color="auto"/>
                <w:bottom w:val="none" w:sz="0" w:space="0" w:color="auto"/>
                <w:right w:val="none" w:sz="0" w:space="0" w:color="auto"/>
              </w:divBdr>
              <w:divsChild>
                <w:div w:id="933706822">
                  <w:marLeft w:val="0"/>
                  <w:marRight w:val="0"/>
                  <w:marTop w:val="0"/>
                  <w:marBottom w:val="0"/>
                  <w:divBdr>
                    <w:top w:val="none" w:sz="0" w:space="0" w:color="auto"/>
                    <w:left w:val="none" w:sz="0" w:space="0" w:color="auto"/>
                    <w:bottom w:val="none" w:sz="0" w:space="0" w:color="auto"/>
                    <w:right w:val="none" w:sz="0" w:space="0" w:color="auto"/>
                  </w:divBdr>
                </w:div>
              </w:divsChild>
            </w:div>
            <w:div w:id="1382096008">
              <w:marLeft w:val="0"/>
              <w:marRight w:val="0"/>
              <w:marTop w:val="0"/>
              <w:marBottom w:val="0"/>
              <w:divBdr>
                <w:top w:val="none" w:sz="0" w:space="0" w:color="auto"/>
                <w:left w:val="none" w:sz="0" w:space="0" w:color="auto"/>
                <w:bottom w:val="none" w:sz="0" w:space="0" w:color="auto"/>
                <w:right w:val="none" w:sz="0" w:space="0" w:color="auto"/>
              </w:divBdr>
              <w:divsChild>
                <w:div w:id="1963726191">
                  <w:marLeft w:val="0"/>
                  <w:marRight w:val="0"/>
                  <w:marTop w:val="0"/>
                  <w:marBottom w:val="0"/>
                  <w:divBdr>
                    <w:top w:val="none" w:sz="0" w:space="0" w:color="auto"/>
                    <w:left w:val="none" w:sz="0" w:space="0" w:color="auto"/>
                    <w:bottom w:val="none" w:sz="0" w:space="0" w:color="auto"/>
                    <w:right w:val="none" w:sz="0" w:space="0" w:color="auto"/>
                  </w:divBdr>
                </w:div>
              </w:divsChild>
            </w:div>
            <w:div w:id="1560550004">
              <w:marLeft w:val="0"/>
              <w:marRight w:val="0"/>
              <w:marTop w:val="0"/>
              <w:marBottom w:val="0"/>
              <w:divBdr>
                <w:top w:val="none" w:sz="0" w:space="0" w:color="auto"/>
                <w:left w:val="none" w:sz="0" w:space="0" w:color="auto"/>
                <w:bottom w:val="none" w:sz="0" w:space="0" w:color="auto"/>
                <w:right w:val="none" w:sz="0" w:space="0" w:color="auto"/>
              </w:divBdr>
              <w:divsChild>
                <w:div w:id="719939120">
                  <w:marLeft w:val="0"/>
                  <w:marRight w:val="0"/>
                  <w:marTop w:val="0"/>
                  <w:marBottom w:val="0"/>
                  <w:divBdr>
                    <w:top w:val="none" w:sz="0" w:space="0" w:color="auto"/>
                    <w:left w:val="none" w:sz="0" w:space="0" w:color="auto"/>
                    <w:bottom w:val="none" w:sz="0" w:space="0" w:color="auto"/>
                    <w:right w:val="none" w:sz="0" w:space="0" w:color="auto"/>
                  </w:divBdr>
                </w:div>
              </w:divsChild>
            </w:div>
            <w:div w:id="979072608">
              <w:marLeft w:val="0"/>
              <w:marRight w:val="0"/>
              <w:marTop w:val="0"/>
              <w:marBottom w:val="0"/>
              <w:divBdr>
                <w:top w:val="none" w:sz="0" w:space="0" w:color="auto"/>
                <w:left w:val="none" w:sz="0" w:space="0" w:color="auto"/>
                <w:bottom w:val="none" w:sz="0" w:space="0" w:color="auto"/>
                <w:right w:val="none" w:sz="0" w:space="0" w:color="auto"/>
              </w:divBdr>
              <w:divsChild>
                <w:div w:id="1924292826">
                  <w:marLeft w:val="0"/>
                  <w:marRight w:val="0"/>
                  <w:marTop w:val="0"/>
                  <w:marBottom w:val="0"/>
                  <w:divBdr>
                    <w:top w:val="none" w:sz="0" w:space="0" w:color="auto"/>
                    <w:left w:val="none" w:sz="0" w:space="0" w:color="auto"/>
                    <w:bottom w:val="none" w:sz="0" w:space="0" w:color="auto"/>
                    <w:right w:val="none" w:sz="0" w:space="0" w:color="auto"/>
                  </w:divBdr>
                </w:div>
              </w:divsChild>
            </w:div>
            <w:div w:id="1738551654">
              <w:marLeft w:val="0"/>
              <w:marRight w:val="0"/>
              <w:marTop w:val="0"/>
              <w:marBottom w:val="0"/>
              <w:divBdr>
                <w:top w:val="none" w:sz="0" w:space="0" w:color="auto"/>
                <w:left w:val="none" w:sz="0" w:space="0" w:color="auto"/>
                <w:bottom w:val="none" w:sz="0" w:space="0" w:color="auto"/>
                <w:right w:val="none" w:sz="0" w:space="0" w:color="auto"/>
              </w:divBdr>
              <w:divsChild>
                <w:div w:id="1842967946">
                  <w:marLeft w:val="0"/>
                  <w:marRight w:val="0"/>
                  <w:marTop w:val="0"/>
                  <w:marBottom w:val="0"/>
                  <w:divBdr>
                    <w:top w:val="none" w:sz="0" w:space="0" w:color="auto"/>
                    <w:left w:val="none" w:sz="0" w:space="0" w:color="auto"/>
                    <w:bottom w:val="none" w:sz="0" w:space="0" w:color="auto"/>
                    <w:right w:val="none" w:sz="0" w:space="0" w:color="auto"/>
                  </w:divBdr>
                </w:div>
              </w:divsChild>
            </w:div>
            <w:div w:id="766584682">
              <w:marLeft w:val="0"/>
              <w:marRight w:val="0"/>
              <w:marTop w:val="0"/>
              <w:marBottom w:val="0"/>
              <w:divBdr>
                <w:top w:val="none" w:sz="0" w:space="0" w:color="auto"/>
                <w:left w:val="none" w:sz="0" w:space="0" w:color="auto"/>
                <w:bottom w:val="none" w:sz="0" w:space="0" w:color="auto"/>
                <w:right w:val="none" w:sz="0" w:space="0" w:color="auto"/>
              </w:divBdr>
              <w:divsChild>
                <w:div w:id="1030956990">
                  <w:marLeft w:val="0"/>
                  <w:marRight w:val="0"/>
                  <w:marTop w:val="0"/>
                  <w:marBottom w:val="0"/>
                  <w:divBdr>
                    <w:top w:val="none" w:sz="0" w:space="0" w:color="auto"/>
                    <w:left w:val="none" w:sz="0" w:space="0" w:color="auto"/>
                    <w:bottom w:val="none" w:sz="0" w:space="0" w:color="auto"/>
                    <w:right w:val="none" w:sz="0" w:space="0" w:color="auto"/>
                  </w:divBdr>
                </w:div>
              </w:divsChild>
            </w:div>
            <w:div w:id="1584530718">
              <w:marLeft w:val="0"/>
              <w:marRight w:val="0"/>
              <w:marTop w:val="0"/>
              <w:marBottom w:val="0"/>
              <w:divBdr>
                <w:top w:val="none" w:sz="0" w:space="0" w:color="auto"/>
                <w:left w:val="none" w:sz="0" w:space="0" w:color="auto"/>
                <w:bottom w:val="none" w:sz="0" w:space="0" w:color="auto"/>
                <w:right w:val="none" w:sz="0" w:space="0" w:color="auto"/>
              </w:divBdr>
              <w:divsChild>
                <w:div w:id="609431881">
                  <w:marLeft w:val="0"/>
                  <w:marRight w:val="0"/>
                  <w:marTop w:val="0"/>
                  <w:marBottom w:val="0"/>
                  <w:divBdr>
                    <w:top w:val="none" w:sz="0" w:space="0" w:color="auto"/>
                    <w:left w:val="none" w:sz="0" w:space="0" w:color="auto"/>
                    <w:bottom w:val="none" w:sz="0" w:space="0" w:color="auto"/>
                    <w:right w:val="none" w:sz="0" w:space="0" w:color="auto"/>
                  </w:divBdr>
                </w:div>
              </w:divsChild>
            </w:div>
            <w:div w:id="601375329">
              <w:marLeft w:val="0"/>
              <w:marRight w:val="0"/>
              <w:marTop w:val="0"/>
              <w:marBottom w:val="0"/>
              <w:divBdr>
                <w:top w:val="none" w:sz="0" w:space="0" w:color="auto"/>
                <w:left w:val="none" w:sz="0" w:space="0" w:color="auto"/>
                <w:bottom w:val="none" w:sz="0" w:space="0" w:color="auto"/>
                <w:right w:val="none" w:sz="0" w:space="0" w:color="auto"/>
              </w:divBdr>
              <w:divsChild>
                <w:div w:id="1628202853">
                  <w:marLeft w:val="0"/>
                  <w:marRight w:val="0"/>
                  <w:marTop w:val="0"/>
                  <w:marBottom w:val="0"/>
                  <w:divBdr>
                    <w:top w:val="none" w:sz="0" w:space="0" w:color="auto"/>
                    <w:left w:val="none" w:sz="0" w:space="0" w:color="auto"/>
                    <w:bottom w:val="none" w:sz="0" w:space="0" w:color="auto"/>
                    <w:right w:val="none" w:sz="0" w:space="0" w:color="auto"/>
                  </w:divBdr>
                </w:div>
              </w:divsChild>
            </w:div>
            <w:div w:id="1834905775">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sChild>
            </w:div>
            <w:div w:id="49153491">
              <w:marLeft w:val="0"/>
              <w:marRight w:val="0"/>
              <w:marTop w:val="0"/>
              <w:marBottom w:val="0"/>
              <w:divBdr>
                <w:top w:val="none" w:sz="0" w:space="0" w:color="auto"/>
                <w:left w:val="none" w:sz="0" w:space="0" w:color="auto"/>
                <w:bottom w:val="none" w:sz="0" w:space="0" w:color="auto"/>
                <w:right w:val="none" w:sz="0" w:space="0" w:color="auto"/>
              </w:divBdr>
              <w:divsChild>
                <w:div w:id="18434797">
                  <w:marLeft w:val="0"/>
                  <w:marRight w:val="0"/>
                  <w:marTop w:val="0"/>
                  <w:marBottom w:val="0"/>
                  <w:divBdr>
                    <w:top w:val="none" w:sz="0" w:space="0" w:color="auto"/>
                    <w:left w:val="none" w:sz="0" w:space="0" w:color="auto"/>
                    <w:bottom w:val="none" w:sz="0" w:space="0" w:color="auto"/>
                    <w:right w:val="none" w:sz="0" w:space="0" w:color="auto"/>
                  </w:divBdr>
                </w:div>
              </w:divsChild>
            </w:div>
            <w:div w:id="1599800152">
              <w:marLeft w:val="0"/>
              <w:marRight w:val="0"/>
              <w:marTop w:val="0"/>
              <w:marBottom w:val="0"/>
              <w:divBdr>
                <w:top w:val="none" w:sz="0" w:space="0" w:color="auto"/>
                <w:left w:val="none" w:sz="0" w:space="0" w:color="auto"/>
                <w:bottom w:val="none" w:sz="0" w:space="0" w:color="auto"/>
                <w:right w:val="none" w:sz="0" w:space="0" w:color="auto"/>
              </w:divBdr>
              <w:divsChild>
                <w:div w:id="1808819620">
                  <w:marLeft w:val="0"/>
                  <w:marRight w:val="0"/>
                  <w:marTop w:val="0"/>
                  <w:marBottom w:val="0"/>
                  <w:divBdr>
                    <w:top w:val="none" w:sz="0" w:space="0" w:color="auto"/>
                    <w:left w:val="none" w:sz="0" w:space="0" w:color="auto"/>
                    <w:bottom w:val="none" w:sz="0" w:space="0" w:color="auto"/>
                    <w:right w:val="none" w:sz="0" w:space="0" w:color="auto"/>
                  </w:divBdr>
                </w:div>
              </w:divsChild>
            </w:div>
            <w:div w:id="1350986966">
              <w:marLeft w:val="0"/>
              <w:marRight w:val="0"/>
              <w:marTop w:val="0"/>
              <w:marBottom w:val="0"/>
              <w:divBdr>
                <w:top w:val="none" w:sz="0" w:space="0" w:color="auto"/>
                <w:left w:val="none" w:sz="0" w:space="0" w:color="auto"/>
                <w:bottom w:val="none" w:sz="0" w:space="0" w:color="auto"/>
                <w:right w:val="none" w:sz="0" w:space="0" w:color="auto"/>
              </w:divBdr>
              <w:divsChild>
                <w:div w:id="1453089030">
                  <w:marLeft w:val="0"/>
                  <w:marRight w:val="0"/>
                  <w:marTop w:val="0"/>
                  <w:marBottom w:val="0"/>
                  <w:divBdr>
                    <w:top w:val="none" w:sz="0" w:space="0" w:color="auto"/>
                    <w:left w:val="none" w:sz="0" w:space="0" w:color="auto"/>
                    <w:bottom w:val="none" w:sz="0" w:space="0" w:color="auto"/>
                    <w:right w:val="none" w:sz="0" w:space="0" w:color="auto"/>
                  </w:divBdr>
                </w:div>
              </w:divsChild>
            </w:div>
            <w:div w:id="1890022860">
              <w:marLeft w:val="0"/>
              <w:marRight w:val="0"/>
              <w:marTop w:val="0"/>
              <w:marBottom w:val="0"/>
              <w:divBdr>
                <w:top w:val="none" w:sz="0" w:space="0" w:color="auto"/>
                <w:left w:val="none" w:sz="0" w:space="0" w:color="auto"/>
                <w:bottom w:val="none" w:sz="0" w:space="0" w:color="auto"/>
                <w:right w:val="none" w:sz="0" w:space="0" w:color="auto"/>
              </w:divBdr>
              <w:divsChild>
                <w:div w:id="2078236104">
                  <w:marLeft w:val="0"/>
                  <w:marRight w:val="0"/>
                  <w:marTop w:val="0"/>
                  <w:marBottom w:val="0"/>
                  <w:divBdr>
                    <w:top w:val="none" w:sz="0" w:space="0" w:color="auto"/>
                    <w:left w:val="none" w:sz="0" w:space="0" w:color="auto"/>
                    <w:bottom w:val="none" w:sz="0" w:space="0" w:color="auto"/>
                    <w:right w:val="none" w:sz="0" w:space="0" w:color="auto"/>
                  </w:divBdr>
                </w:div>
              </w:divsChild>
            </w:div>
            <w:div w:id="1154298944">
              <w:marLeft w:val="0"/>
              <w:marRight w:val="0"/>
              <w:marTop w:val="0"/>
              <w:marBottom w:val="0"/>
              <w:divBdr>
                <w:top w:val="none" w:sz="0" w:space="0" w:color="auto"/>
                <w:left w:val="none" w:sz="0" w:space="0" w:color="auto"/>
                <w:bottom w:val="none" w:sz="0" w:space="0" w:color="auto"/>
                <w:right w:val="none" w:sz="0" w:space="0" w:color="auto"/>
              </w:divBdr>
              <w:divsChild>
                <w:div w:id="1133215604">
                  <w:marLeft w:val="0"/>
                  <w:marRight w:val="0"/>
                  <w:marTop w:val="0"/>
                  <w:marBottom w:val="0"/>
                  <w:divBdr>
                    <w:top w:val="none" w:sz="0" w:space="0" w:color="auto"/>
                    <w:left w:val="none" w:sz="0" w:space="0" w:color="auto"/>
                    <w:bottom w:val="none" w:sz="0" w:space="0" w:color="auto"/>
                    <w:right w:val="none" w:sz="0" w:space="0" w:color="auto"/>
                  </w:divBdr>
                </w:div>
              </w:divsChild>
            </w:div>
            <w:div w:id="563368714">
              <w:marLeft w:val="0"/>
              <w:marRight w:val="0"/>
              <w:marTop w:val="0"/>
              <w:marBottom w:val="0"/>
              <w:divBdr>
                <w:top w:val="none" w:sz="0" w:space="0" w:color="auto"/>
                <w:left w:val="none" w:sz="0" w:space="0" w:color="auto"/>
                <w:bottom w:val="none" w:sz="0" w:space="0" w:color="auto"/>
                <w:right w:val="none" w:sz="0" w:space="0" w:color="auto"/>
              </w:divBdr>
              <w:divsChild>
                <w:div w:id="179856025">
                  <w:marLeft w:val="0"/>
                  <w:marRight w:val="0"/>
                  <w:marTop w:val="0"/>
                  <w:marBottom w:val="0"/>
                  <w:divBdr>
                    <w:top w:val="none" w:sz="0" w:space="0" w:color="auto"/>
                    <w:left w:val="none" w:sz="0" w:space="0" w:color="auto"/>
                    <w:bottom w:val="none" w:sz="0" w:space="0" w:color="auto"/>
                    <w:right w:val="none" w:sz="0" w:space="0" w:color="auto"/>
                  </w:divBdr>
                </w:div>
              </w:divsChild>
            </w:div>
            <w:div w:id="1453329664">
              <w:marLeft w:val="0"/>
              <w:marRight w:val="0"/>
              <w:marTop w:val="0"/>
              <w:marBottom w:val="0"/>
              <w:divBdr>
                <w:top w:val="none" w:sz="0" w:space="0" w:color="auto"/>
                <w:left w:val="none" w:sz="0" w:space="0" w:color="auto"/>
                <w:bottom w:val="none" w:sz="0" w:space="0" w:color="auto"/>
                <w:right w:val="none" w:sz="0" w:space="0" w:color="auto"/>
              </w:divBdr>
              <w:divsChild>
                <w:div w:id="1366904026">
                  <w:marLeft w:val="0"/>
                  <w:marRight w:val="0"/>
                  <w:marTop w:val="0"/>
                  <w:marBottom w:val="0"/>
                  <w:divBdr>
                    <w:top w:val="none" w:sz="0" w:space="0" w:color="auto"/>
                    <w:left w:val="none" w:sz="0" w:space="0" w:color="auto"/>
                    <w:bottom w:val="none" w:sz="0" w:space="0" w:color="auto"/>
                    <w:right w:val="none" w:sz="0" w:space="0" w:color="auto"/>
                  </w:divBdr>
                </w:div>
              </w:divsChild>
            </w:div>
            <w:div w:id="1190601653">
              <w:marLeft w:val="0"/>
              <w:marRight w:val="0"/>
              <w:marTop w:val="0"/>
              <w:marBottom w:val="0"/>
              <w:divBdr>
                <w:top w:val="none" w:sz="0" w:space="0" w:color="auto"/>
                <w:left w:val="none" w:sz="0" w:space="0" w:color="auto"/>
                <w:bottom w:val="none" w:sz="0" w:space="0" w:color="auto"/>
                <w:right w:val="none" w:sz="0" w:space="0" w:color="auto"/>
              </w:divBdr>
              <w:divsChild>
                <w:div w:id="1231427200">
                  <w:marLeft w:val="0"/>
                  <w:marRight w:val="0"/>
                  <w:marTop w:val="0"/>
                  <w:marBottom w:val="0"/>
                  <w:divBdr>
                    <w:top w:val="none" w:sz="0" w:space="0" w:color="auto"/>
                    <w:left w:val="none" w:sz="0" w:space="0" w:color="auto"/>
                    <w:bottom w:val="none" w:sz="0" w:space="0" w:color="auto"/>
                    <w:right w:val="none" w:sz="0" w:space="0" w:color="auto"/>
                  </w:divBdr>
                </w:div>
              </w:divsChild>
            </w:div>
            <w:div w:id="1319773812">
              <w:marLeft w:val="0"/>
              <w:marRight w:val="0"/>
              <w:marTop w:val="0"/>
              <w:marBottom w:val="0"/>
              <w:divBdr>
                <w:top w:val="none" w:sz="0" w:space="0" w:color="auto"/>
                <w:left w:val="none" w:sz="0" w:space="0" w:color="auto"/>
                <w:bottom w:val="none" w:sz="0" w:space="0" w:color="auto"/>
                <w:right w:val="none" w:sz="0" w:space="0" w:color="auto"/>
              </w:divBdr>
              <w:divsChild>
                <w:div w:id="1816412447">
                  <w:marLeft w:val="0"/>
                  <w:marRight w:val="0"/>
                  <w:marTop w:val="0"/>
                  <w:marBottom w:val="0"/>
                  <w:divBdr>
                    <w:top w:val="none" w:sz="0" w:space="0" w:color="auto"/>
                    <w:left w:val="none" w:sz="0" w:space="0" w:color="auto"/>
                    <w:bottom w:val="none" w:sz="0" w:space="0" w:color="auto"/>
                    <w:right w:val="none" w:sz="0" w:space="0" w:color="auto"/>
                  </w:divBdr>
                </w:div>
              </w:divsChild>
            </w:div>
            <w:div w:id="1902520118">
              <w:marLeft w:val="0"/>
              <w:marRight w:val="0"/>
              <w:marTop w:val="0"/>
              <w:marBottom w:val="0"/>
              <w:divBdr>
                <w:top w:val="none" w:sz="0" w:space="0" w:color="auto"/>
                <w:left w:val="none" w:sz="0" w:space="0" w:color="auto"/>
                <w:bottom w:val="none" w:sz="0" w:space="0" w:color="auto"/>
                <w:right w:val="none" w:sz="0" w:space="0" w:color="auto"/>
              </w:divBdr>
              <w:divsChild>
                <w:div w:id="1365599168">
                  <w:marLeft w:val="0"/>
                  <w:marRight w:val="0"/>
                  <w:marTop w:val="0"/>
                  <w:marBottom w:val="0"/>
                  <w:divBdr>
                    <w:top w:val="none" w:sz="0" w:space="0" w:color="auto"/>
                    <w:left w:val="none" w:sz="0" w:space="0" w:color="auto"/>
                    <w:bottom w:val="none" w:sz="0" w:space="0" w:color="auto"/>
                    <w:right w:val="none" w:sz="0" w:space="0" w:color="auto"/>
                  </w:divBdr>
                </w:div>
              </w:divsChild>
            </w:div>
            <w:div w:id="1108813980">
              <w:marLeft w:val="0"/>
              <w:marRight w:val="0"/>
              <w:marTop w:val="0"/>
              <w:marBottom w:val="0"/>
              <w:divBdr>
                <w:top w:val="none" w:sz="0" w:space="0" w:color="auto"/>
                <w:left w:val="none" w:sz="0" w:space="0" w:color="auto"/>
                <w:bottom w:val="none" w:sz="0" w:space="0" w:color="auto"/>
                <w:right w:val="none" w:sz="0" w:space="0" w:color="auto"/>
              </w:divBdr>
              <w:divsChild>
                <w:div w:id="1559432818">
                  <w:marLeft w:val="0"/>
                  <w:marRight w:val="0"/>
                  <w:marTop w:val="0"/>
                  <w:marBottom w:val="0"/>
                  <w:divBdr>
                    <w:top w:val="none" w:sz="0" w:space="0" w:color="auto"/>
                    <w:left w:val="none" w:sz="0" w:space="0" w:color="auto"/>
                    <w:bottom w:val="none" w:sz="0" w:space="0" w:color="auto"/>
                    <w:right w:val="none" w:sz="0" w:space="0" w:color="auto"/>
                  </w:divBdr>
                </w:div>
              </w:divsChild>
            </w:div>
            <w:div w:id="1640844457">
              <w:marLeft w:val="0"/>
              <w:marRight w:val="0"/>
              <w:marTop w:val="0"/>
              <w:marBottom w:val="0"/>
              <w:divBdr>
                <w:top w:val="none" w:sz="0" w:space="0" w:color="auto"/>
                <w:left w:val="none" w:sz="0" w:space="0" w:color="auto"/>
                <w:bottom w:val="none" w:sz="0" w:space="0" w:color="auto"/>
                <w:right w:val="none" w:sz="0" w:space="0" w:color="auto"/>
              </w:divBdr>
              <w:divsChild>
                <w:div w:id="52042146">
                  <w:marLeft w:val="0"/>
                  <w:marRight w:val="0"/>
                  <w:marTop w:val="0"/>
                  <w:marBottom w:val="0"/>
                  <w:divBdr>
                    <w:top w:val="none" w:sz="0" w:space="0" w:color="auto"/>
                    <w:left w:val="none" w:sz="0" w:space="0" w:color="auto"/>
                    <w:bottom w:val="none" w:sz="0" w:space="0" w:color="auto"/>
                    <w:right w:val="none" w:sz="0" w:space="0" w:color="auto"/>
                  </w:divBdr>
                </w:div>
              </w:divsChild>
            </w:div>
            <w:div w:id="1650816950">
              <w:marLeft w:val="0"/>
              <w:marRight w:val="0"/>
              <w:marTop w:val="0"/>
              <w:marBottom w:val="0"/>
              <w:divBdr>
                <w:top w:val="none" w:sz="0" w:space="0" w:color="auto"/>
                <w:left w:val="none" w:sz="0" w:space="0" w:color="auto"/>
                <w:bottom w:val="none" w:sz="0" w:space="0" w:color="auto"/>
                <w:right w:val="none" w:sz="0" w:space="0" w:color="auto"/>
              </w:divBdr>
              <w:divsChild>
                <w:div w:id="222757600">
                  <w:marLeft w:val="0"/>
                  <w:marRight w:val="0"/>
                  <w:marTop w:val="0"/>
                  <w:marBottom w:val="0"/>
                  <w:divBdr>
                    <w:top w:val="none" w:sz="0" w:space="0" w:color="auto"/>
                    <w:left w:val="none" w:sz="0" w:space="0" w:color="auto"/>
                    <w:bottom w:val="none" w:sz="0" w:space="0" w:color="auto"/>
                    <w:right w:val="none" w:sz="0" w:space="0" w:color="auto"/>
                  </w:divBdr>
                </w:div>
              </w:divsChild>
            </w:div>
            <w:div w:id="2083020753">
              <w:marLeft w:val="0"/>
              <w:marRight w:val="0"/>
              <w:marTop w:val="0"/>
              <w:marBottom w:val="0"/>
              <w:divBdr>
                <w:top w:val="none" w:sz="0" w:space="0" w:color="auto"/>
                <w:left w:val="none" w:sz="0" w:space="0" w:color="auto"/>
                <w:bottom w:val="none" w:sz="0" w:space="0" w:color="auto"/>
                <w:right w:val="none" w:sz="0" w:space="0" w:color="auto"/>
              </w:divBdr>
              <w:divsChild>
                <w:div w:id="650673094">
                  <w:marLeft w:val="0"/>
                  <w:marRight w:val="0"/>
                  <w:marTop w:val="0"/>
                  <w:marBottom w:val="0"/>
                  <w:divBdr>
                    <w:top w:val="none" w:sz="0" w:space="0" w:color="auto"/>
                    <w:left w:val="none" w:sz="0" w:space="0" w:color="auto"/>
                    <w:bottom w:val="none" w:sz="0" w:space="0" w:color="auto"/>
                    <w:right w:val="none" w:sz="0" w:space="0" w:color="auto"/>
                  </w:divBdr>
                </w:div>
              </w:divsChild>
            </w:div>
            <w:div w:id="411511000">
              <w:marLeft w:val="0"/>
              <w:marRight w:val="0"/>
              <w:marTop w:val="0"/>
              <w:marBottom w:val="0"/>
              <w:divBdr>
                <w:top w:val="none" w:sz="0" w:space="0" w:color="auto"/>
                <w:left w:val="none" w:sz="0" w:space="0" w:color="auto"/>
                <w:bottom w:val="none" w:sz="0" w:space="0" w:color="auto"/>
                <w:right w:val="none" w:sz="0" w:space="0" w:color="auto"/>
              </w:divBdr>
              <w:divsChild>
                <w:div w:id="97458005">
                  <w:marLeft w:val="0"/>
                  <w:marRight w:val="0"/>
                  <w:marTop w:val="0"/>
                  <w:marBottom w:val="0"/>
                  <w:divBdr>
                    <w:top w:val="none" w:sz="0" w:space="0" w:color="auto"/>
                    <w:left w:val="none" w:sz="0" w:space="0" w:color="auto"/>
                    <w:bottom w:val="none" w:sz="0" w:space="0" w:color="auto"/>
                    <w:right w:val="none" w:sz="0" w:space="0" w:color="auto"/>
                  </w:divBdr>
                </w:div>
              </w:divsChild>
            </w:div>
            <w:div w:id="807011303">
              <w:marLeft w:val="0"/>
              <w:marRight w:val="0"/>
              <w:marTop w:val="0"/>
              <w:marBottom w:val="0"/>
              <w:divBdr>
                <w:top w:val="none" w:sz="0" w:space="0" w:color="auto"/>
                <w:left w:val="none" w:sz="0" w:space="0" w:color="auto"/>
                <w:bottom w:val="none" w:sz="0" w:space="0" w:color="auto"/>
                <w:right w:val="none" w:sz="0" w:space="0" w:color="auto"/>
              </w:divBdr>
              <w:divsChild>
                <w:div w:id="129589970">
                  <w:marLeft w:val="0"/>
                  <w:marRight w:val="0"/>
                  <w:marTop w:val="0"/>
                  <w:marBottom w:val="0"/>
                  <w:divBdr>
                    <w:top w:val="none" w:sz="0" w:space="0" w:color="auto"/>
                    <w:left w:val="none" w:sz="0" w:space="0" w:color="auto"/>
                    <w:bottom w:val="none" w:sz="0" w:space="0" w:color="auto"/>
                    <w:right w:val="none" w:sz="0" w:space="0" w:color="auto"/>
                  </w:divBdr>
                </w:div>
              </w:divsChild>
            </w:div>
            <w:div w:id="1182162440">
              <w:marLeft w:val="0"/>
              <w:marRight w:val="0"/>
              <w:marTop w:val="0"/>
              <w:marBottom w:val="0"/>
              <w:divBdr>
                <w:top w:val="none" w:sz="0" w:space="0" w:color="auto"/>
                <w:left w:val="none" w:sz="0" w:space="0" w:color="auto"/>
                <w:bottom w:val="none" w:sz="0" w:space="0" w:color="auto"/>
                <w:right w:val="none" w:sz="0" w:space="0" w:color="auto"/>
              </w:divBdr>
              <w:divsChild>
                <w:div w:id="1155685578">
                  <w:marLeft w:val="0"/>
                  <w:marRight w:val="0"/>
                  <w:marTop w:val="0"/>
                  <w:marBottom w:val="0"/>
                  <w:divBdr>
                    <w:top w:val="none" w:sz="0" w:space="0" w:color="auto"/>
                    <w:left w:val="none" w:sz="0" w:space="0" w:color="auto"/>
                    <w:bottom w:val="none" w:sz="0" w:space="0" w:color="auto"/>
                    <w:right w:val="none" w:sz="0" w:space="0" w:color="auto"/>
                  </w:divBdr>
                </w:div>
              </w:divsChild>
            </w:div>
            <w:div w:id="58944263">
              <w:marLeft w:val="0"/>
              <w:marRight w:val="0"/>
              <w:marTop w:val="0"/>
              <w:marBottom w:val="0"/>
              <w:divBdr>
                <w:top w:val="none" w:sz="0" w:space="0" w:color="auto"/>
                <w:left w:val="none" w:sz="0" w:space="0" w:color="auto"/>
                <w:bottom w:val="none" w:sz="0" w:space="0" w:color="auto"/>
                <w:right w:val="none" w:sz="0" w:space="0" w:color="auto"/>
              </w:divBdr>
              <w:divsChild>
                <w:div w:id="245187011">
                  <w:marLeft w:val="0"/>
                  <w:marRight w:val="0"/>
                  <w:marTop w:val="0"/>
                  <w:marBottom w:val="0"/>
                  <w:divBdr>
                    <w:top w:val="none" w:sz="0" w:space="0" w:color="auto"/>
                    <w:left w:val="none" w:sz="0" w:space="0" w:color="auto"/>
                    <w:bottom w:val="none" w:sz="0" w:space="0" w:color="auto"/>
                    <w:right w:val="none" w:sz="0" w:space="0" w:color="auto"/>
                  </w:divBdr>
                </w:div>
              </w:divsChild>
            </w:div>
            <w:div w:id="2129159644">
              <w:marLeft w:val="0"/>
              <w:marRight w:val="0"/>
              <w:marTop w:val="0"/>
              <w:marBottom w:val="0"/>
              <w:divBdr>
                <w:top w:val="none" w:sz="0" w:space="0" w:color="auto"/>
                <w:left w:val="none" w:sz="0" w:space="0" w:color="auto"/>
                <w:bottom w:val="none" w:sz="0" w:space="0" w:color="auto"/>
                <w:right w:val="none" w:sz="0" w:space="0" w:color="auto"/>
              </w:divBdr>
              <w:divsChild>
                <w:div w:id="104816416">
                  <w:marLeft w:val="0"/>
                  <w:marRight w:val="0"/>
                  <w:marTop w:val="0"/>
                  <w:marBottom w:val="0"/>
                  <w:divBdr>
                    <w:top w:val="none" w:sz="0" w:space="0" w:color="auto"/>
                    <w:left w:val="none" w:sz="0" w:space="0" w:color="auto"/>
                    <w:bottom w:val="none" w:sz="0" w:space="0" w:color="auto"/>
                    <w:right w:val="none" w:sz="0" w:space="0" w:color="auto"/>
                  </w:divBdr>
                </w:div>
              </w:divsChild>
            </w:div>
            <w:div w:id="925378590">
              <w:marLeft w:val="0"/>
              <w:marRight w:val="0"/>
              <w:marTop w:val="0"/>
              <w:marBottom w:val="0"/>
              <w:divBdr>
                <w:top w:val="none" w:sz="0" w:space="0" w:color="auto"/>
                <w:left w:val="none" w:sz="0" w:space="0" w:color="auto"/>
                <w:bottom w:val="none" w:sz="0" w:space="0" w:color="auto"/>
                <w:right w:val="none" w:sz="0" w:space="0" w:color="auto"/>
              </w:divBdr>
              <w:divsChild>
                <w:div w:id="1172645352">
                  <w:marLeft w:val="0"/>
                  <w:marRight w:val="0"/>
                  <w:marTop w:val="0"/>
                  <w:marBottom w:val="0"/>
                  <w:divBdr>
                    <w:top w:val="none" w:sz="0" w:space="0" w:color="auto"/>
                    <w:left w:val="none" w:sz="0" w:space="0" w:color="auto"/>
                    <w:bottom w:val="none" w:sz="0" w:space="0" w:color="auto"/>
                    <w:right w:val="none" w:sz="0" w:space="0" w:color="auto"/>
                  </w:divBdr>
                </w:div>
              </w:divsChild>
            </w:div>
            <w:div w:id="2078355349">
              <w:marLeft w:val="0"/>
              <w:marRight w:val="0"/>
              <w:marTop w:val="0"/>
              <w:marBottom w:val="0"/>
              <w:divBdr>
                <w:top w:val="none" w:sz="0" w:space="0" w:color="auto"/>
                <w:left w:val="none" w:sz="0" w:space="0" w:color="auto"/>
                <w:bottom w:val="none" w:sz="0" w:space="0" w:color="auto"/>
                <w:right w:val="none" w:sz="0" w:space="0" w:color="auto"/>
              </w:divBdr>
              <w:divsChild>
                <w:div w:id="7457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8809">
          <w:marLeft w:val="0"/>
          <w:marRight w:val="0"/>
          <w:marTop w:val="0"/>
          <w:marBottom w:val="0"/>
          <w:divBdr>
            <w:top w:val="none" w:sz="0" w:space="0" w:color="auto"/>
            <w:left w:val="none" w:sz="0" w:space="0" w:color="auto"/>
            <w:bottom w:val="none" w:sz="0" w:space="0" w:color="auto"/>
            <w:right w:val="none" w:sz="0" w:space="0" w:color="auto"/>
          </w:divBdr>
        </w:div>
        <w:div w:id="618950961">
          <w:marLeft w:val="0"/>
          <w:marRight w:val="0"/>
          <w:marTop w:val="0"/>
          <w:marBottom w:val="0"/>
          <w:divBdr>
            <w:top w:val="none" w:sz="0" w:space="0" w:color="auto"/>
            <w:left w:val="none" w:sz="0" w:space="0" w:color="auto"/>
            <w:bottom w:val="none" w:sz="0" w:space="0" w:color="auto"/>
            <w:right w:val="none" w:sz="0" w:space="0" w:color="auto"/>
          </w:divBdr>
        </w:div>
        <w:div w:id="1845167527">
          <w:marLeft w:val="0"/>
          <w:marRight w:val="0"/>
          <w:marTop w:val="0"/>
          <w:marBottom w:val="0"/>
          <w:divBdr>
            <w:top w:val="none" w:sz="0" w:space="0" w:color="auto"/>
            <w:left w:val="none" w:sz="0" w:space="0" w:color="auto"/>
            <w:bottom w:val="none" w:sz="0" w:space="0" w:color="auto"/>
            <w:right w:val="none" w:sz="0" w:space="0" w:color="auto"/>
          </w:divBdr>
        </w:div>
        <w:div w:id="97688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m.ac.uk/opioids-aware-structured-approach-opioid-prescribing/dose-equivalents-and-changing-opioi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hssomerset.nhs.uk/wp-content/uploads/2022/08/ICB-Analgesic-tapering-guidelines-general-with-flow-chart-approved-v1.2-1.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pm.ac.uk/opioids-aware-structured-approach-opioid-prescribing/tapering-and-stopp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Ezmerelda White</cp:lastModifiedBy>
  <cp:revision>9</cp:revision>
  <dcterms:created xsi:type="dcterms:W3CDTF">2021-05-07T13:55:00Z</dcterms:created>
  <dcterms:modified xsi:type="dcterms:W3CDTF">2022-08-10T07:58:00Z</dcterms:modified>
</cp:coreProperties>
</file>