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4B097" w14:textId="77777777" w:rsidR="00127B6B" w:rsidRDefault="00127B6B" w:rsidP="00936B73">
      <w:pPr>
        <w:spacing w:after="0" w:line="240" w:lineRule="auto"/>
        <w:ind w:left="284"/>
        <w:jc w:val="center"/>
        <w:rPr>
          <w:rFonts w:ascii="Arial" w:hAnsi="Arial" w:cs="Arial"/>
          <w:b/>
          <w:bCs/>
          <w:sz w:val="24"/>
          <w:szCs w:val="24"/>
          <w:u w:val="single"/>
        </w:rPr>
      </w:pPr>
    </w:p>
    <w:p w14:paraId="69077256" w14:textId="77777777" w:rsidR="00126E26" w:rsidRDefault="00126E26" w:rsidP="00936B73">
      <w:pPr>
        <w:spacing w:after="0" w:line="240" w:lineRule="auto"/>
        <w:ind w:left="284"/>
        <w:jc w:val="center"/>
        <w:rPr>
          <w:rFonts w:ascii="Arial" w:hAnsi="Arial" w:cs="Arial"/>
          <w:b/>
          <w:bCs/>
          <w:sz w:val="24"/>
          <w:szCs w:val="24"/>
          <w:u w:val="single"/>
        </w:rPr>
      </w:pPr>
    </w:p>
    <w:p w14:paraId="5DBA3325" w14:textId="77777777" w:rsidR="00126E26" w:rsidRDefault="00126E26" w:rsidP="00936B73">
      <w:pPr>
        <w:spacing w:after="0" w:line="240" w:lineRule="auto"/>
        <w:ind w:left="284"/>
        <w:jc w:val="center"/>
        <w:rPr>
          <w:rFonts w:ascii="Arial" w:hAnsi="Arial" w:cs="Arial"/>
          <w:b/>
          <w:bCs/>
          <w:sz w:val="24"/>
          <w:szCs w:val="24"/>
          <w:u w:val="single"/>
        </w:rPr>
      </w:pPr>
    </w:p>
    <w:p w14:paraId="4B48ED7B" w14:textId="77777777" w:rsidR="00936B73" w:rsidRPr="00936B73" w:rsidRDefault="00936B73" w:rsidP="00936B73">
      <w:pPr>
        <w:spacing w:after="0" w:line="240" w:lineRule="auto"/>
        <w:ind w:left="284"/>
        <w:jc w:val="center"/>
        <w:rPr>
          <w:rFonts w:ascii="Arial" w:hAnsi="Arial" w:cs="Arial"/>
          <w:b/>
          <w:sz w:val="24"/>
          <w:szCs w:val="24"/>
          <w:u w:val="single"/>
        </w:rPr>
      </w:pPr>
      <w:r w:rsidRPr="00936B73">
        <w:rPr>
          <w:rFonts w:ascii="Arial" w:hAnsi="Arial" w:cs="Arial"/>
          <w:b/>
          <w:bCs/>
          <w:sz w:val="24"/>
          <w:szCs w:val="24"/>
          <w:u w:val="single"/>
        </w:rPr>
        <w:t>Tramadol suggested tapering regime</w:t>
      </w:r>
    </w:p>
    <w:p w14:paraId="47CB55C2" w14:textId="77777777" w:rsidR="00936B73" w:rsidRDefault="00936B73" w:rsidP="00936B73">
      <w:pPr>
        <w:spacing w:after="0" w:line="240" w:lineRule="auto"/>
        <w:rPr>
          <w:rFonts w:ascii="Arial" w:hAnsi="Arial" w:cs="Arial"/>
          <w:sz w:val="24"/>
          <w:szCs w:val="24"/>
        </w:rPr>
      </w:pPr>
    </w:p>
    <w:p w14:paraId="5EA5D7A7" w14:textId="77777777" w:rsidR="006C3AB5" w:rsidRPr="00936B73" w:rsidRDefault="006C3AB5" w:rsidP="00936B73">
      <w:pPr>
        <w:spacing w:after="0" w:line="240" w:lineRule="auto"/>
        <w:rPr>
          <w:rFonts w:ascii="Arial" w:hAnsi="Arial" w:cs="Arial"/>
          <w:sz w:val="24"/>
          <w:szCs w:val="24"/>
        </w:rPr>
      </w:pPr>
    </w:p>
    <w:p w14:paraId="1B4F1C41" w14:textId="77777777" w:rsidR="006C3AB5" w:rsidRDefault="00936B73" w:rsidP="00936B73">
      <w:pPr>
        <w:spacing w:after="0" w:line="240" w:lineRule="auto"/>
        <w:rPr>
          <w:rFonts w:ascii="Arial" w:hAnsi="Arial" w:cs="Arial"/>
          <w:sz w:val="24"/>
          <w:szCs w:val="24"/>
        </w:rPr>
      </w:pPr>
      <w:r w:rsidRPr="00936B73">
        <w:rPr>
          <w:rFonts w:ascii="Arial" w:hAnsi="Arial" w:cs="Arial"/>
          <w:sz w:val="24"/>
          <w:szCs w:val="24"/>
        </w:rPr>
        <w:t xml:space="preserve">This document is to be used in conjunction with the following guidance document: </w:t>
      </w:r>
    </w:p>
    <w:p w14:paraId="44FBA362" w14:textId="77777777" w:rsidR="006C3AB5" w:rsidRDefault="006C3AB5" w:rsidP="00936B73">
      <w:pPr>
        <w:spacing w:after="0" w:line="240" w:lineRule="auto"/>
        <w:rPr>
          <w:rFonts w:ascii="Arial" w:hAnsi="Arial" w:cs="Arial"/>
          <w:sz w:val="24"/>
          <w:szCs w:val="24"/>
        </w:rPr>
      </w:pPr>
    </w:p>
    <w:p w14:paraId="04B7C22B" w14:textId="77777777" w:rsidR="006C3AB5" w:rsidRDefault="006C3AB5" w:rsidP="00936B73">
      <w:pPr>
        <w:spacing w:after="0" w:line="240" w:lineRule="auto"/>
        <w:rPr>
          <w:rFonts w:ascii="Arial" w:hAnsi="Arial" w:cs="Arial"/>
          <w:sz w:val="24"/>
          <w:szCs w:val="24"/>
        </w:rPr>
      </w:pPr>
    </w:p>
    <w:p w14:paraId="18A09DC0" w14:textId="5C3D6D81" w:rsidR="00936B73" w:rsidRPr="003F4BEA" w:rsidRDefault="00BB4D25" w:rsidP="00936B73">
      <w:pPr>
        <w:spacing w:after="0" w:line="240" w:lineRule="auto"/>
        <w:rPr>
          <w:rFonts w:ascii="Arial" w:hAnsi="Arial" w:cs="Arial"/>
          <w:b/>
          <w:bCs/>
          <w:i/>
          <w:iCs/>
          <w:sz w:val="24"/>
          <w:szCs w:val="24"/>
        </w:rPr>
      </w:pPr>
      <w:hyperlink r:id="rId8" w:history="1">
        <w:r w:rsidR="00936B73" w:rsidRPr="003F4BEA">
          <w:rPr>
            <w:rStyle w:val="Hyperlink"/>
            <w:rFonts w:ascii="Arial" w:hAnsi="Arial" w:cs="Arial"/>
            <w:b/>
            <w:bCs/>
            <w:i/>
            <w:iCs/>
            <w:sz w:val="24"/>
            <w:szCs w:val="24"/>
            <w:u w:val="none"/>
          </w:rPr>
          <w:t>Analgesic Tapering Guidelines for adult patients with persistent pain taking strong opioids and/or gabapentinoids</w:t>
        </w:r>
      </w:hyperlink>
    </w:p>
    <w:p w14:paraId="64D09614" w14:textId="77777777" w:rsidR="006C3AB5" w:rsidRDefault="006C3AB5" w:rsidP="00936B73">
      <w:pPr>
        <w:spacing w:after="0" w:line="240" w:lineRule="auto"/>
        <w:rPr>
          <w:rFonts w:ascii="Arial" w:hAnsi="Arial" w:cs="Arial"/>
          <w:b/>
          <w:bCs/>
          <w:sz w:val="24"/>
          <w:szCs w:val="24"/>
          <w:u w:val="single"/>
        </w:rPr>
      </w:pPr>
    </w:p>
    <w:p w14:paraId="311A7A79" w14:textId="77777777" w:rsidR="006C3AB5" w:rsidRDefault="006C3AB5" w:rsidP="00936B73">
      <w:pPr>
        <w:spacing w:after="0" w:line="240" w:lineRule="auto"/>
        <w:rPr>
          <w:rFonts w:ascii="Arial" w:hAnsi="Arial" w:cs="Arial"/>
          <w:b/>
          <w:bCs/>
          <w:sz w:val="24"/>
          <w:szCs w:val="24"/>
          <w:u w:val="single"/>
        </w:rPr>
      </w:pPr>
    </w:p>
    <w:p w14:paraId="5FD93B70" w14:textId="77777777" w:rsidR="00CA4D2D" w:rsidRDefault="00936B73" w:rsidP="00936B73">
      <w:pPr>
        <w:spacing w:after="0" w:line="240" w:lineRule="auto"/>
        <w:rPr>
          <w:rFonts w:ascii="Arial" w:hAnsi="Arial" w:cs="Arial"/>
          <w:sz w:val="24"/>
          <w:szCs w:val="24"/>
        </w:rPr>
      </w:pPr>
      <w:r w:rsidRPr="00936B73">
        <w:rPr>
          <w:rFonts w:ascii="Arial" w:hAnsi="Arial" w:cs="Arial"/>
          <w:sz w:val="24"/>
          <w:szCs w:val="24"/>
        </w:rPr>
        <w:t>Tramadol is an opioid licenced in the UK for moderate to severe pain.  Its maximum licenced adult dose is 400mg in 24 hours</w:t>
      </w:r>
      <w:r w:rsidR="008410E6">
        <w:rPr>
          <w:rFonts w:ascii="Arial" w:hAnsi="Arial" w:cs="Arial"/>
          <w:sz w:val="24"/>
          <w:szCs w:val="24"/>
        </w:rPr>
        <w:t>.</w:t>
      </w:r>
      <w:r w:rsidR="00CA4D2D" w:rsidRPr="00CA4D2D">
        <w:rPr>
          <w:rFonts w:ascii="Arial" w:hAnsi="Arial" w:cs="Arial"/>
          <w:sz w:val="24"/>
          <w:szCs w:val="24"/>
          <w:vertAlign w:val="superscript"/>
        </w:rPr>
        <w:t>1</w:t>
      </w:r>
      <w:r w:rsidRPr="00936B73">
        <w:rPr>
          <w:rFonts w:ascii="Arial" w:hAnsi="Arial" w:cs="Arial"/>
          <w:sz w:val="24"/>
          <w:szCs w:val="24"/>
        </w:rPr>
        <w:t xml:space="preserve"> As with all opioids, the dose used should be the lowest possible for benefit for the shortest possible time.  The aim is to avoid longer term adverse effects.  When reducing, withdrawal effects can be similar to other opioids.  As well as acting on μ (pain) receptors, tramadol is a weak serotonin and noradrenaline (SNRI) reuptake inhibitor.  Tramadol leads to an increased risk of serotonin syndrome when taken with SSRIs or SNRIs</w:t>
      </w:r>
      <w:r w:rsidR="00CA4D2D">
        <w:rPr>
          <w:rFonts w:ascii="Arial" w:hAnsi="Arial" w:cs="Arial"/>
          <w:sz w:val="24"/>
          <w:szCs w:val="24"/>
        </w:rPr>
        <w:t>.</w:t>
      </w:r>
      <w:r w:rsidR="00CA4D2D" w:rsidRPr="008410E6">
        <w:rPr>
          <w:rFonts w:ascii="Arial" w:hAnsi="Arial" w:cs="Arial"/>
          <w:sz w:val="24"/>
          <w:szCs w:val="24"/>
          <w:vertAlign w:val="superscript"/>
        </w:rPr>
        <w:t>2</w:t>
      </w:r>
      <w:r w:rsidR="008410E6">
        <w:rPr>
          <w:rFonts w:ascii="Arial" w:hAnsi="Arial" w:cs="Arial"/>
          <w:sz w:val="24"/>
          <w:szCs w:val="24"/>
        </w:rPr>
        <w:t xml:space="preserve">  </w:t>
      </w:r>
      <w:r w:rsidRPr="008410E6">
        <w:rPr>
          <w:rFonts w:ascii="Arial" w:hAnsi="Arial" w:cs="Arial"/>
          <w:sz w:val="24"/>
          <w:szCs w:val="24"/>
        </w:rPr>
        <w:t>Therefore</w:t>
      </w:r>
      <w:r w:rsidRPr="00936B73">
        <w:rPr>
          <w:rFonts w:ascii="Arial" w:hAnsi="Arial" w:cs="Arial"/>
          <w:sz w:val="24"/>
          <w:szCs w:val="24"/>
        </w:rPr>
        <w:t>, it should not be used in combination with any SSRI or SNRI. Concomitant use of tramadol with MAO inhibitors, tricyclic antidepressants or mirtazapine may cause serotonin toxicity.</w:t>
      </w:r>
      <w:r w:rsidR="008410E6" w:rsidRPr="008410E6">
        <w:rPr>
          <w:rFonts w:ascii="Arial" w:hAnsi="Arial" w:cs="Arial"/>
          <w:sz w:val="24"/>
          <w:szCs w:val="24"/>
          <w:vertAlign w:val="superscript"/>
        </w:rPr>
        <w:t>3</w:t>
      </w:r>
    </w:p>
    <w:p w14:paraId="2BCA1C78" w14:textId="77777777" w:rsidR="00894014" w:rsidRPr="00936B73" w:rsidRDefault="00894014" w:rsidP="00936B73">
      <w:pPr>
        <w:spacing w:after="0" w:line="240" w:lineRule="auto"/>
        <w:rPr>
          <w:rFonts w:ascii="Arial" w:hAnsi="Arial" w:cs="Arial"/>
          <w:sz w:val="24"/>
          <w:szCs w:val="24"/>
        </w:rPr>
      </w:pPr>
    </w:p>
    <w:p w14:paraId="03B2E6D6" w14:textId="77777777" w:rsidR="00936B73" w:rsidRPr="00936B73" w:rsidRDefault="00127B6B" w:rsidP="00936B73">
      <w:pPr>
        <w:spacing w:after="0" w:line="240" w:lineRule="auto"/>
        <w:rPr>
          <w:rFonts w:ascii="Arial" w:hAnsi="Arial" w:cs="Arial"/>
          <w:sz w:val="24"/>
          <w:szCs w:val="24"/>
        </w:rPr>
      </w:pPr>
      <w:r w:rsidRPr="00127B6B">
        <w:rPr>
          <w:rFonts w:ascii="Arial" w:hAnsi="Arial" w:cs="Arial"/>
          <w:sz w:val="24"/>
          <w:szCs w:val="24"/>
        </w:rPr>
        <w:t>1</w:t>
      </w:r>
      <w:r w:rsidR="00936B73" w:rsidRPr="00127B6B">
        <w:rPr>
          <w:rFonts w:ascii="Arial" w:hAnsi="Arial" w:cs="Arial"/>
          <w:sz w:val="24"/>
          <w:szCs w:val="24"/>
        </w:rPr>
        <w:t xml:space="preserve">00mg oral tramadol is equivalent to approximately </w:t>
      </w:r>
      <w:r w:rsidRPr="00127B6B">
        <w:rPr>
          <w:rFonts w:ascii="Arial" w:hAnsi="Arial" w:cs="Arial"/>
          <w:sz w:val="24"/>
          <w:szCs w:val="24"/>
        </w:rPr>
        <w:t>1</w:t>
      </w:r>
      <w:r w:rsidR="00936B73" w:rsidRPr="00127B6B">
        <w:rPr>
          <w:rFonts w:ascii="Arial" w:hAnsi="Arial" w:cs="Arial"/>
          <w:sz w:val="24"/>
          <w:szCs w:val="24"/>
        </w:rPr>
        <w:t>0mg of oral morphine</w:t>
      </w:r>
      <w:r w:rsidR="00CA4D2D" w:rsidRPr="00936B73">
        <w:rPr>
          <w:rFonts w:ascii="Arial" w:hAnsi="Arial" w:cs="Arial"/>
          <w:sz w:val="24"/>
          <w:szCs w:val="24"/>
        </w:rPr>
        <w:t>.</w:t>
      </w:r>
      <w:r w:rsidR="00CA4D2D" w:rsidRPr="00CA4D2D">
        <w:rPr>
          <w:rFonts w:ascii="Arial" w:hAnsi="Arial" w:cs="Arial"/>
          <w:sz w:val="24"/>
          <w:szCs w:val="24"/>
          <w:vertAlign w:val="superscript"/>
        </w:rPr>
        <w:t>4</w:t>
      </w:r>
    </w:p>
    <w:p w14:paraId="014E5EE9" w14:textId="77777777" w:rsidR="00894014" w:rsidRDefault="00894014" w:rsidP="00936B73">
      <w:pPr>
        <w:spacing w:after="0" w:line="240" w:lineRule="auto"/>
        <w:rPr>
          <w:rFonts w:ascii="Arial" w:hAnsi="Arial" w:cs="Arial"/>
          <w:sz w:val="24"/>
          <w:szCs w:val="24"/>
        </w:rPr>
      </w:pPr>
    </w:p>
    <w:p w14:paraId="369BC8D7" w14:textId="77777777" w:rsidR="00936B73" w:rsidRDefault="00936B73" w:rsidP="00936B73">
      <w:pPr>
        <w:spacing w:after="0" w:line="240" w:lineRule="auto"/>
        <w:rPr>
          <w:rFonts w:ascii="Arial" w:hAnsi="Arial" w:cs="Arial"/>
          <w:sz w:val="24"/>
          <w:szCs w:val="24"/>
        </w:rPr>
      </w:pPr>
      <w:r w:rsidRPr="00936B73">
        <w:rPr>
          <w:rFonts w:ascii="Arial" w:hAnsi="Arial" w:cs="Arial"/>
          <w:sz w:val="24"/>
          <w:szCs w:val="24"/>
        </w:rPr>
        <w:t>Long term use of opioids in non-malignant pain (longer than 3 months) carries an increased risk of dependence and addiction, so at the end of treatment the dosage should be tapered slowly to reduce the risk of withdrawal effects; tapering from a high dose may takes weeks or months.</w:t>
      </w:r>
    </w:p>
    <w:p w14:paraId="1174C2CA" w14:textId="77777777" w:rsidR="00C10FE9" w:rsidRPr="00936B73" w:rsidRDefault="00C10FE9" w:rsidP="00936B73">
      <w:pPr>
        <w:spacing w:after="0" w:line="240" w:lineRule="auto"/>
        <w:rPr>
          <w:rFonts w:ascii="Arial" w:hAnsi="Arial" w:cs="Arial"/>
          <w:sz w:val="24"/>
          <w:szCs w:val="24"/>
        </w:rPr>
      </w:pPr>
    </w:p>
    <w:p w14:paraId="476186CA" w14:textId="77777777" w:rsidR="00C10FE9" w:rsidRDefault="00936B73" w:rsidP="00936B73">
      <w:pPr>
        <w:spacing w:after="0" w:line="240" w:lineRule="auto"/>
        <w:rPr>
          <w:rFonts w:ascii="Arial" w:hAnsi="Arial" w:cs="Arial"/>
          <w:sz w:val="24"/>
          <w:szCs w:val="24"/>
        </w:rPr>
      </w:pPr>
      <w:r w:rsidRPr="00936B73">
        <w:rPr>
          <w:rFonts w:ascii="Arial" w:hAnsi="Arial" w:cs="Arial"/>
          <w:sz w:val="24"/>
          <w:szCs w:val="24"/>
        </w:rPr>
        <w:t xml:space="preserve">Dose changes should be individualised to the person.  </w:t>
      </w:r>
      <w:r w:rsidR="00127B6B" w:rsidRPr="00FF516F">
        <w:rPr>
          <w:rFonts w:ascii="Arial" w:hAnsi="Arial" w:cs="Arial"/>
          <w:sz w:val="24"/>
          <w:szCs w:val="24"/>
        </w:rPr>
        <w:t xml:space="preserve">There are no </w:t>
      </w:r>
      <w:r w:rsidR="00127B6B">
        <w:rPr>
          <w:rFonts w:ascii="Arial" w:hAnsi="Arial" w:cs="Arial"/>
          <w:sz w:val="24"/>
          <w:szCs w:val="24"/>
        </w:rPr>
        <w:t xml:space="preserve">fixed </w:t>
      </w:r>
      <w:r w:rsidR="00127B6B" w:rsidRPr="00FF516F">
        <w:rPr>
          <w:rFonts w:ascii="Arial" w:hAnsi="Arial" w:cs="Arial"/>
          <w:sz w:val="24"/>
          <w:szCs w:val="24"/>
        </w:rPr>
        <w:t xml:space="preserve">recommendations as to the speed of reduction.  </w:t>
      </w:r>
      <w:r w:rsidR="00127B6B" w:rsidRPr="00CD26B8">
        <w:rPr>
          <w:rFonts w:ascii="Arial" w:hAnsi="Arial" w:cs="Arial"/>
          <w:sz w:val="24"/>
          <w:szCs w:val="24"/>
        </w:rPr>
        <w:t>It is suggested changes should not be more frequently than weekly.</w:t>
      </w:r>
      <w:r w:rsidR="00127B6B" w:rsidRPr="006D1B7B">
        <w:rPr>
          <w:rFonts w:ascii="Arial" w:hAnsi="Arial" w:cs="Arial"/>
          <w:sz w:val="24"/>
          <w:szCs w:val="24"/>
        </w:rPr>
        <w:t> Typically, one change per week is recommended</w:t>
      </w:r>
    </w:p>
    <w:p w14:paraId="037CD132" w14:textId="77777777" w:rsidR="00C10FE9" w:rsidRDefault="00C10FE9" w:rsidP="00936B73">
      <w:pPr>
        <w:spacing w:after="0" w:line="240" w:lineRule="auto"/>
        <w:rPr>
          <w:rFonts w:ascii="Arial" w:hAnsi="Arial" w:cs="Arial"/>
          <w:sz w:val="24"/>
          <w:szCs w:val="24"/>
        </w:rPr>
      </w:pPr>
    </w:p>
    <w:p w14:paraId="66722E86" w14:textId="77777777" w:rsidR="00D83D17" w:rsidRDefault="00936B73" w:rsidP="00936B73">
      <w:pPr>
        <w:spacing w:after="0" w:line="240" w:lineRule="auto"/>
        <w:rPr>
          <w:rFonts w:ascii="Arial" w:hAnsi="Arial" w:cs="Arial"/>
          <w:sz w:val="24"/>
          <w:szCs w:val="24"/>
        </w:rPr>
      </w:pPr>
      <w:r w:rsidRPr="00936B73">
        <w:rPr>
          <w:rFonts w:ascii="Arial" w:hAnsi="Arial" w:cs="Arial"/>
          <w:sz w:val="24"/>
          <w:szCs w:val="24"/>
        </w:rPr>
        <w:t xml:space="preserve">A suggested regime for a patient who </w:t>
      </w:r>
      <w:r w:rsidRPr="00936B73">
        <w:rPr>
          <w:rFonts w:ascii="Arial" w:hAnsi="Arial" w:cs="Arial"/>
          <w:sz w:val="24"/>
          <w:szCs w:val="24"/>
          <w:u w:val="single"/>
        </w:rPr>
        <w:t>is already taking tramadol 100mg 4 times daily</w:t>
      </w:r>
      <w:r w:rsidRPr="00936B73">
        <w:rPr>
          <w:rFonts w:ascii="Arial" w:hAnsi="Arial" w:cs="Arial"/>
          <w:sz w:val="24"/>
          <w:szCs w:val="24"/>
        </w:rPr>
        <w:t xml:space="preserve"> is </w:t>
      </w:r>
      <w:r w:rsidR="00D83D17">
        <w:rPr>
          <w:rFonts w:ascii="Arial" w:hAnsi="Arial" w:cs="Arial"/>
          <w:sz w:val="24"/>
          <w:szCs w:val="24"/>
        </w:rPr>
        <w:t>shown</w:t>
      </w:r>
      <w:r w:rsidR="00C10FE9">
        <w:rPr>
          <w:rFonts w:ascii="Arial" w:hAnsi="Arial" w:cs="Arial"/>
          <w:sz w:val="24"/>
          <w:szCs w:val="24"/>
        </w:rPr>
        <w:t xml:space="preserve"> on page 2</w:t>
      </w:r>
      <w:r w:rsidRPr="00936B73">
        <w:rPr>
          <w:rFonts w:ascii="Arial" w:hAnsi="Arial" w:cs="Arial"/>
          <w:sz w:val="24"/>
          <w:szCs w:val="24"/>
        </w:rPr>
        <w:t>.</w:t>
      </w:r>
      <w:r w:rsidR="00C10FE9">
        <w:rPr>
          <w:rFonts w:ascii="Arial" w:hAnsi="Arial" w:cs="Arial"/>
          <w:sz w:val="24"/>
          <w:szCs w:val="24"/>
        </w:rPr>
        <w:t xml:space="preserve"> </w:t>
      </w:r>
      <w:r w:rsidRPr="00936B73">
        <w:rPr>
          <w:rFonts w:ascii="Arial" w:hAnsi="Arial" w:cs="Arial"/>
          <w:sz w:val="24"/>
          <w:szCs w:val="24"/>
        </w:rPr>
        <w:t>If the patient is taking a lower dose than 100mg QDS then start the process further down the table and follow the suggested tapering guidance.</w:t>
      </w:r>
    </w:p>
    <w:p w14:paraId="456FAFD5" w14:textId="77777777" w:rsidR="00D83D17" w:rsidRDefault="00D83D17" w:rsidP="00936B73">
      <w:pPr>
        <w:spacing w:after="0" w:line="240" w:lineRule="auto"/>
        <w:rPr>
          <w:rFonts w:ascii="Arial" w:hAnsi="Arial" w:cs="Arial"/>
          <w:sz w:val="24"/>
          <w:szCs w:val="24"/>
        </w:rPr>
      </w:pPr>
    </w:p>
    <w:p w14:paraId="68B96075" w14:textId="77777777" w:rsidR="00936B73" w:rsidRPr="00936B73" w:rsidRDefault="00936B73" w:rsidP="00936B73">
      <w:pPr>
        <w:spacing w:after="0" w:line="240" w:lineRule="auto"/>
        <w:rPr>
          <w:rFonts w:ascii="Arial" w:hAnsi="Arial" w:cs="Arial"/>
          <w:sz w:val="24"/>
          <w:szCs w:val="24"/>
        </w:rPr>
      </w:pPr>
      <w:r w:rsidRPr="00936B73">
        <w:rPr>
          <w:rFonts w:ascii="Arial" w:hAnsi="Arial" w:cs="Arial"/>
          <w:sz w:val="24"/>
          <w:szCs w:val="24"/>
        </w:rPr>
        <w:t>This suggested regime is for immediate release tramadol formulations. If the patients takes a modified release (SR twice daily or XL once daily) formulation of tramadol, convert them a to short acting immediate release preparation.</w:t>
      </w:r>
    </w:p>
    <w:p w14:paraId="2AB65FCB" w14:textId="77777777" w:rsidR="00127B6B" w:rsidRDefault="00127B6B" w:rsidP="00936B73">
      <w:pPr>
        <w:spacing w:after="0" w:line="240" w:lineRule="auto"/>
        <w:rPr>
          <w:rFonts w:ascii="Arial" w:hAnsi="Arial" w:cs="Arial"/>
          <w:b/>
          <w:sz w:val="24"/>
          <w:szCs w:val="24"/>
        </w:rPr>
      </w:pPr>
      <w:r>
        <w:rPr>
          <w:rFonts w:ascii="Arial" w:hAnsi="Arial" w:cs="Arial"/>
          <w:b/>
          <w:sz w:val="24"/>
          <w:szCs w:val="24"/>
        </w:rPr>
        <w:br/>
      </w:r>
    </w:p>
    <w:p w14:paraId="3185A8D1" w14:textId="77777777" w:rsidR="00936B73" w:rsidRPr="00936B73" w:rsidRDefault="00936B73" w:rsidP="00936B73">
      <w:pPr>
        <w:spacing w:after="0" w:line="240" w:lineRule="auto"/>
        <w:rPr>
          <w:rFonts w:ascii="Arial" w:hAnsi="Arial" w:cs="Arial"/>
          <w:sz w:val="24"/>
          <w:szCs w:val="24"/>
        </w:rPr>
      </w:pPr>
      <w:r w:rsidRPr="00D83D17">
        <w:rPr>
          <w:rFonts w:ascii="Arial" w:hAnsi="Arial" w:cs="Arial"/>
          <w:b/>
          <w:sz w:val="24"/>
          <w:szCs w:val="24"/>
        </w:rPr>
        <w:t>Before starting</w:t>
      </w:r>
      <w:r w:rsidRPr="00936B73">
        <w:rPr>
          <w:rFonts w:ascii="Arial" w:hAnsi="Arial" w:cs="Arial"/>
          <w:sz w:val="24"/>
          <w:szCs w:val="24"/>
        </w:rPr>
        <w:t>:</w:t>
      </w:r>
    </w:p>
    <w:p w14:paraId="6FAA2AFF" w14:textId="77777777" w:rsidR="00936B73" w:rsidRPr="00936B73" w:rsidRDefault="00936B73" w:rsidP="00936B73">
      <w:pPr>
        <w:numPr>
          <w:ilvl w:val="0"/>
          <w:numId w:val="1"/>
        </w:numPr>
        <w:spacing w:after="0" w:line="240" w:lineRule="auto"/>
        <w:rPr>
          <w:rFonts w:ascii="Arial" w:hAnsi="Arial" w:cs="Arial"/>
          <w:sz w:val="24"/>
          <w:szCs w:val="24"/>
        </w:rPr>
      </w:pPr>
      <w:r w:rsidRPr="00936B73">
        <w:rPr>
          <w:rFonts w:ascii="Arial" w:hAnsi="Arial" w:cs="Arial"/>
          <w:sz w:val="24"/>
          <w:szCs w:val="24"/>
        </w:rPr>
        <w:t>Where possible, ensure any reduction is discussed and agreed with the patient.</w:t>
      </w:r>
    </w:p>
    <w:p w14:paraId="6E406701" w14:textId="77777777" w:rsidR="00D83D17" w:rsidRDefault="00936B73" w:rsidP="00936B73">
      <w:pPr>
        <w:numPr>
          <w:ilvl w:val="0"/>
          <w:numId w:val="1"/>
        </w:numPr>
        <w:spacing w:after="0" w:line="240" w:lineRule="auto"/>
        <w:rPr>
          <w:rFonts w:ascii="Arial" w:hAnsi="Arial" w:cs="Arial"/>
          <w:sz w:val="24"/>
          <w:szCs w:val="24"/>
        </w:rPr>
      </w:pPr>
      <w:r w:rsidRPr="00D83D17">
        <w:rPr>
          <w:rFonts w:ascii="Arial" w:hAnsi="Arial" w:cs="Arial"/>
          <w:sz w:val="24"/>
          <w:szCs w:val="24"/>
        </w:rPr>
        <w:t xml:space="preserve">Agree the speed of dose reduction with the patient. Many will want to reduce quickly with a view to stopping over one month, but this may be too fast for some patients. Some will need space to acclimatise to the new dose so the </w:t>
      </w:r>
      <w:r w:rsidRPr="00D83D17">
        <w:rPr>
          <w:rFonts w:ascii="Arial" w:hAnsi="Arial" w:cs="Arial"/>
          <w:sz w:val="24"/>
          <w:szCs w:val="24"/>
        </w:rPr>
        <w:lastRenderedPageBreak/>
        <w:t>dose changes may be every one to two weeks. Inform the patient that reduction can be slowed but not reversed.</w:t>
      </w:r>
    </w:p>
    <w:p w14:paraId="37BC80A2" w14:textId="77777777" w:rsidR="00936B73" w:rsidRPr="00D83D17" w:rsidRDefault="00936B73" w:rsidP="00936B73">
      <w:pPr>
        <w:numPr>
          <w:ilvl w:val="0"/>
          <w:numId w:val="1"/>
        </w:numPr>
        <w:spacing w:after="0" w:line="240" w:lineRule="auto"/>
        <w:rPr>
          <w:rFonts w:ascii="Arial" w:hAnsi="Arial" w:cs="Arial"/>
          <w:sz w:val="24"/>
          <w:szCs w:val="24"/>
        </w:rPr>
      </w:pPr>
      <w:r w:rsidRPr="00D83D17">
        <w:rPr>
          <w:rFonts w:ascii="Arial" w:hAnsi="Arial" w:cs="Arial"/>
          <w:sz w:val="24"/>
          <w:szCs w:val="24"/>
        </w:rPr>
        <w:t>If it is agreed to reduce to stop over one month, a dose reduction is made twice a week, e.g., Mondays and Thursdays.</w:t>
      </w:r>
      <w:r w:rsidR="00D83D17">
        <w:rPr>
          <w:rFonts w:ascii="Arial" w:hAnsi="Arial" w:cs="Arial"/>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C10FE9" w:rsidRPr="00C10FE9" w14:paraId="6663494D" w14:textId="77777777" w:rsidTr="00C10FE9">
        <w:tc>
          <w:tcPr>
            <w:tcW w:w="9242" w:type="dxa"/>
            <w:gridSpan w:val="5"/>
            <w:shd w:val="clear" w:color="auto" w:fill="auto"/>
          </w:tcPr>
          <w:p w14:paraId="559F96A6" w14:textId="77777777" w:rsidR="00936B73" w:rsidRPr="00C10FE9" w:rsidRDefault="00936B73" w:rsidP="00CD26B8">
            <w:pPr>
              <w:spacing w:after="0" w:line="240" w:lineRule="auto"/>
              <w:rPr>
                <w:rFonts w:ascii="Arial" w:hAnsi="Arial" w:cs="Arial"/>
                <w:b/>
                <w:bCs/>
                <w:i/>
                <w:iCs/>
                <w:sz w:val="24"/>
                <w:szCs w:val="24"/>
              </w:rPr>
            </w:pPr>
            <w:r w:rsidRPr="00C10FE9">
              <w:rPr>
                <w:rFonts w:ascii="Arial" w:hAnsi="Arial" w:cs="Arial"/>
                <w:b/>
                <w:bCs/>
                <w:i/>
                <w:iCs/>
                <w:sz w:val="24"/>
                <w:szCs w:val="24"/>
              </w:rPr>
              <w:t>Agreed dose reduction interval: weekly/ fortnightly</w:t>
            </w:r>
          </w:p>
        </w:tc>
      </w:tr>
      <w:tr w:rsidR="00C10FE9" w:rsidRPr="00C10FE9" w14:paraId="09EA773C" w14:textId="77777777" w:rsidTr="00C10FE9">
        <w:tc>
          <w:tcPr>
            <w:tcW w:w="1848" w:type="dxa"/>
            <w:shd w:val="clear" w:color="auto" w:fill="auto"/>
          </w:tcPr>
          <w:p w14:paraId="09FFF780" w14:textId="77777777" w:rsidR="00936B73" w:rsidRPr="00C10FE9" w:rsidRDefault="00936B73" w:rsidP="00C10FE9">
            <w:pPr>
              <w:spacing w:after="0" w:line="240" w:lineRule="auto"/>
              <w:rPr>
                <w:rFonts w:ascii="Arial" w:hAnsi="Arial" w:cs="Arial"/>
                <w:b/>
                <w:i/>
                <w:sz w:val="24"/>
                <w:szCs w:val="24"/>
              </w:rPr>
            </w:pPr>
            <w:r w:rsidRPr="00C10FE9">
              <w:rPr>
                <w:rFonts w:ascii="Arial" w:hAnsi="Arial" w:cs="Arial"/>
                <w:b/>
                <w:i/>
                <w:sz w:val="24"/>
                <w:szCs w:val="24"/>
              </w:rPr>
              <w:t>Change</w:t>
            </w:r>
          </w:p>
        </w:tc>
        <w:tc>
          <w:tcPr>
            <w:tcW w:w="1848" w:type="dxa"/>
            <w:shd w:val="clear" w:color="auto" w:fill="auto"/>
          </w:tcPr>
          <w:p w14:paraId="3BC6ABE3" w14:textId="77777777" w:rsidR="00936B73" w:rsidRPr="00C10FE9" w:rsidRDefault="00936B73" w:rsidP="00C10FE9">
            <w:pPr>
              <w:spacing w:after="0" w:line="240" w:lineRule="auto"/>
              <w:rPr>
                <w:rFonts w:ascii="Arial" w:hAnsi="Arial" w:cs="Arial"/>
                <w:b/>
                <w:i/>
                <w:sz w:val="24"/>
                <w:szCs w:val="24"/>
              </w:rPr>
            </w:pPr>
            <w:r w:rsidRPr="00C10FE9">
              <w:rPr>
                <w:rFonts w:ascii="Arial" w:hAnsi="Arial" w:cs="Arial"/>
                <w:b/>
                <w:i/>
                <w:sz w:val="24"/>
                <w:szCs w:val="24"/>
              </w:rPr>
              <w:t>Morning Tramadol dose</w:t>
            </w:r>
          </w:p>
        </w:tc>
        <w:tc>
          <w:tcPr>
            <w:tcW w:w="1848" w:type="dxa"/>
            <w:shd w:val="clear" w:color="auto" w:fill="auto"/>
          </w:tcPr>
          <w:p w14:paraId="4FBCFAC1" w14:textId="77777777" w:rsidR="00936B73" w:rsidRPr="00C10FE9" w:rsidRDefault="00936B73" w:rsidP="00C10FE9">
            <w:pPr>
              <w:spacing w:after="0" w:line="240" w:lineRule="auto"/>
              <w:rPr>
                <w:rFonts w:ascii="Arial" w:hAnsi="Arial" w:cs="Arial"/>
                <w:b/>
                <w:i/>
                <w:sz w:val="24"/>
                <w:szCs w:val="24"/>
              </w:rPr>
            </w:pPr>
            <w:r w:rsidRPr="00C10FE9">
              <w:rPr>
                <w:rFonts w:ascii="Arial" w:hAnsi="Arial" w:cs="Arial"/>
                <w:b/>
                <w:i/>
                <w:sz w:val="24"/>
                <w:szCs w:val="24"/>
              </w:rPr>
              <w:t>Midday Tramadol dose</w:t>
            </w:r>
          </w:p>
        </w:tc>
        <w:tc>
          <w:tcPr>
            <w:tcW w:w="1849" w:type="dxa"/>
            <w:shd w:val="clear" w:color="auto" w:fill="auto"/>
          </w:tcPr>
          <w:p w14:paraId="1FECAF68" w14:textId="77777777" w:rsidR="00936B73" w:rsidRPr="00C10FE9" w:rsidRDefault="00936B73" w:rsidP="00C10FE9">
            <w:pPr>
              <w:spacing w:after="0" w:line="240" w:lineRule="auto"/>
              <w:rPr>
                <w:rFonts w:ascii="Arial" w:hAnsi="Arial" w:cs="Arial"/>
                <w:b/>
                <w:i/>
                <w:sz w:val="24"/>
                <w:szCs w:val="24"/>
              </w:rPr>
            </w:pPr>
            <w:r w:rsidRPr="00C10FE9">
              <w:rPr>
                <w:rFonts w:ascii="Arial" w:hAnsi="Arial" w:cs="Arial"/>
                <w:b/>
                <w:i/>
                <w:sz w:val="24"/>
                <w:szCs w:val="24"/>
              </w:rPr>
              <w:t>Afternoon Tramadol dose</w:t>
            </w:r>
          </w:p>
        </w:tc>
        <w:tc>
          <w:tcPr>
            <w:tcW w:w="1849" w:type="dxa"/>
            <w:shd w:val="clear" w:color="auto" w:fill="auto"/>
          </w:tcPr>
          <w:p w14:paraId="5611F4D5" w14:textId="77777777" w:rsidR="00936B73" w:rsidRPr="00C10FE9" w:rsidRDefault="00936B73" w:rsidP="00C10FE9">
            <w:pPr>
              <w:spacing w:after="0" w:line="240" w:lineRule="auto"/>
              <w:rPr>
                <w:rFonts w:ascii="Arial" w:hAnsi="Arial" w:cs="Arial"/>
                <w:b/>
                <w:i/>
                <w:sz w:val="24"/>
                <w:szCs w:val="24"/>
              </w:rPr>
            </w:pPr>
            <w:r w:rsidRPr="00C10FE9">
              <w:rPr>
                <w:rFonts w:ascii="Arial" w:hAnsi="Arial" w:cs="Arial"/>
                <w:b/>
                <w:i/>
                <w:sz w:val="24"/>
                <w:szCs w:val="24"/>
              </w:rPr>
              <w:t>Evening Tramadol dose</w:t>
            </w:r>
          </w:p>
        </w:tc>
      </w:tr>
      <w:tr w:rsidR="00C10FE9" w:rsidRPr="00C10FE9" w14:paraId="09E907E8" w14:textId="77777777" w:rsidTr="00127B6B">
        <w:trPr>
          <w:trHeight w:val="454"/>
        </w:trPr>
        <w:tc>
          <w:tcPr>
            <w:tcW w:w="1848" w:type="dxa"/>
            <w:shd w:val="clear" w:color="auto" w:fill="auto"/>
          </w:tcPr>
          <w:p w14:paraId="02ECE2D6"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1</w:t>
            </w:r>
          </w:p>
        </w:tc>
        <w:tc>
          <w:tcPr>
            <w:tcW w:w="1848" w:type="dxa"/>
            <w:shd w:val="clear" w:color="auto" w:fill="auto"/>
          </w:tcPr>
          <w:p w14:paraId="54C6DB65"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100mg</w:t>
            </w:r>
          </w:p>
        </w:tc>
        <w:tc>
          <w:tcPr>
            <w:tcW w:w="1848" w:type="dxa"/>
            <w:shd w:val="clear" w:color="auto" w:fill="auto"/>
          </w:tcPr>
          <w:p w14:paraId="6BDB9F9C"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6387266B"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100mg</w:t>
            </w:r>
          </w:p>
        </w:tc>
        <w:tc>
          <w:tcPr>
            <w:tcW w:w="1849" w:type="dxa"/>
            <w:shd w:val="clear" w:color="auto" w:fill="auto"/>
          </w:tcPr>
          <w:p w14:paraId="52D9D5B9"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100mg</w:t>
            </w:r>
          </w:p>
        </w:tc>
      </w:tr>
      <w:tr w:rsidR="00C10FE9" w:rsidRPr="00C10FE9" w14:paraId="2C93866D" w14:textId="77777777" w:rsidTr="00127B6B">
        <w:trPr>
          <w:trHeight w:val="454"/>
        </w:trPr>
        <w:tc>
          <w:tcPr>
            <w:tcW w:w="1848" w:type="dxa"/>
            <w:shd w:val="clear" w:color="auto" w:fill="auto"/>
          </w:tcPr>
          <w:p w14:paraId="4BE0FFC2"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2</w:t>
            </w:r>
          </w:p>
        </w:tc>
        <w:tc>
          <w:tcPr>
            <w:tcW w:w="1848" w:type="dxa"/>
            <w:shd w:val="clear" w:color="auto" w:fill="auto"/>
          </w:tcPr>
          <w:p w14:paraId="11C0A353"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100mg</w:t>
            </w:r>
          </w:p>
        </w:tc>
        <w:tc>
          <w:tcPr>
            <w:tcW w:w="1848" w:type="dxa"/>
            <w:shd w:val="clear" w:color="auto" w:fill="auto"/>
          </w:tcPr>
          <w:p w14:paraId="26466592"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75B35147"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7B41F651"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100mg</w:t>
            </w:r>
          </w:p>
        </w:tc>
      </w:tr>
      <w:tr w:rsidR="00C10FE9" w:rsidRPr="00C10FE9" w14:paraId="11C8CDC3" w14:textId="77777777" w:rsidTr="00127B6B">
        <w:trPr>
          <w:trHeight w:val="454"/>
        </w:trPr>
        <w:tc>
          <w:tcPr>
            <w:tcW w:w="1848" w:type="dxa"/>
            <w:shd w:val="clear" w:color="auto" w:fill="auto"/>
          </w:tcPr>
          <w:p w14:paraId="3298C6F6"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3</w:t>
            </w:r>
          </w:p>
        </w:tc>
        <w:tc>
          <w:tcPr>
            <w:tcW w:w="1848" w:type="dxa"/>
            <w:shd w:val="clear" w:color="auto" w:fill="auto"/>
          </w:tcPr>
          <w:p w14:paraId="2A158A29"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8" w:type="dxa"/>
            <w:shd w:val="clear" w:color="auto" w:fill="auto"/>
          </w:tcPr>
          <w:p w14:paraId="1762029D"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260B11F6"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11BCC471"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100mg</w:t>
            </w:r>
          </w:p>
        </w:tc>
      </w:tr>
      <w:tr w:rsidR="00C10FE9" w:rsidRPr="00C10FE9" w14:paraId="5E64D95B" w14:textId="77777777" w:rsidTr="00127B6B">
        <w:trPr>
          <w:trHeight w:val="454"/>
        </w:trPr>
        <w:tc>
          <w:tcPr>
            <w:tcW w:w="1848" w:type="dxa"/>
            <w:shd w:val="clear" w:color="auto" w:fill="auto"/>
          </w:tcPr>
          <w:p w14:paraId="5F8A79D8"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4</w:t>
            </w:r>
          </w:p>
        </w:tc>
        <w:tc>
          <w:tcPr>
            <w:tcW w:w="1848" w:type="dxa"/>
            <w:shd w:val="clear" w:color="auto" w:fill="auto"/>
          </w:tcPr>
          <w:p w14:paraId="5E7142A9"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8" w:type="dxa"/>
            <w:shd w:val="clear" w:color="auto" w:fill="auto"/>
          </w:tcPr>
          <w:p w14:paraId="3A173C84"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287955BE"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51DB1FEE"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r>
      <w:tr w:rsidR="00C10FE9" w:rsidRPr="00C10FE9" w14:paraId="0B22F3FE" w14:textId="77777777" w:rsidTr="00127B6B">
        <w:trPr>
          <w:trHeight w:val="454"/>
        </w:trPr>
        <w:tc>
          <w:tcPr>
            <w:tcW w:w="1848" w:type="dxa"/>
            <w:shd w:val="clear" w:color="auto" w:fill="auto"/>
          </w:tcPr>
          <w:p w14:paraId="5DF3677A"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5</w:t>
            </w:r>
          </w:p>
        </w:tc>
        <w:tc>
          <w:tcPr>
            <w:tcW w:w="1848" w:type="dxa"/>
            <w:shd w:val="clear" w:color="auto" w:fill="auto"/>
          </w:tcPr>
          <w:p w14:paraId="5DD590FB"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8" w:type="dxa"/>
            <w:shd w:val="clear" w:color="auto" w:fill="auto"/>
          </w:tcPr>
          <w:p w14:paraId="6527C8F8"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9" w:type="dxa"/>
            <w:shd w:val="clear" w:color="auto" w:fill="auto"/>
          </w:tcPr>
          <w:p w14:paraId="4255BF7D"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9" w:type="dxa"/>
            <w:shd w:val="clear" w:color="auto" w:fill="auto"/>
          </w:tcPr>
          <w:p w14:paraId="6E9FFFBD"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r>
      <w:tr w:rsidR="00C10FE9" w:rsidRPr="00C10FE9" w14:paraId="0D975CC8" w14:textId="77777777" w:rsidTr="00127B6B">
        <w:trPr>
          <w:trHeight w:val="454"/>
        </w:trPr>
        <w:tc>
          <w:tcPr>
            <w:tcW w:w="1848" w:type="dxa"/>
            <w:shd w:val="clear" w:color="auto" w:fill="auto"/>
          </w:tcPr>
          <w:p w14:paraId="56F71457"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6</w:t>
            </w:r>
          </w:p>
        </w:tc>
        <w:tc>
          <w:tcPr>
            <w:tcW w:w="1848" w:type="dxa"/>
            <w:shd w:val="clear" w:color="auto" w:fill="auto"/>
          </w:tcPr>
          <w:p w14:paraId="5FD428DE"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c>
          <w:tcPr>
            <w:tcW w:w="1848" w:type="dxa"/>
            <w:shd w:val="clear" w:color="auto" w:fill="auto"/>
          </w:tcPr>
          <w:p w14:paraId="6930AFA0"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9" w:type="dxa"/>
            <w:shd w:val="clear" w:color="auto" w:fill="auto"/>
          </w:tcPr>
          <w:p w14:paraId="0BCE8B4F"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9" w:type="dxa"/>
            <w:shd w:val="clear" w:color="auto" w:fill="auto"/>
          </w:tcPr>
          <w:p w14:paraId="0DC304AF"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r>
      <w:tr w:rsidR="00C10FE9" w:rsidRPr="00C10FE9" w14:paraId="1D094626" w14:textId="77777777" w:rsidTr="00127B6B">
        <w:trPr>
          <w:trHeight w:val="454"/>
        </w:trPr>
        <w:tc>
          <w:tcPr>
            <w:tcW w:w="1848" w:type="dxa"/>
            <w:shd w:val="clear" w:color="auto" w:fill="auto"/>
          </w:tcPr>
          <w:p w14:paraId="02CF28C5"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7</w:t>
            </w:r>
          </w:p>
        </w:tc>
        <w:tc>
          <w:tcPr>
            <w:tcW w:w="1848" w:type="dxa"/>
            <w:shd w:val="clear" w:color="auto" w:fill="auto"/>
          </w:tcPr>
          <w:p w14:paraId="605BC550"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8" w:type="dxa"/>
            <w:shd w:val="clear" w:color="auto" w:fill="auto"/>
          </w:tcPr>
          <w:p w14:paraId="3BAD6D4D"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9" w:type="dxa"/>
            <w:shd w:val="clear" w:color="auto" w:fill="auto"/>
          </w:tcPr>
          <w:p w14:paraId="0746E849"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9" w:type="dxa"/>
            <w:shd w:val="clear" w:color="auto" w:fill="auto"/>
          </w:tcPr>
          <w:p w14:paraId="4649ECAB"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50mg</w:t>
            </w:r>
          </w:p>
        </w:tc>
      </w:tr>
      <w:tr w:rsidR="00C10FE9" w:rsidRPr="00C10FE9" w14:paraId="67E14EC8" w14:textId="77777777" w:rsidTr="00127B6B">
        <w:trPr>
          <w:trHeight w:val="454"/>
        </w:trPr>
        <w:tc>
          <w:tcPr>
            <w:tcW w:w="1848" w:type="dxa"/>
            <w:shd w:val="clear" w:color="auto" w:fill="auto"/>
          </w:tcPr>
          <w:p w14:paraId="07D4D41C" w14:textId="77777777" w:rsidR="00936B73" w:rsidRPr="00C10FE9" w:rsidRDefault="00936B73" w:rsidP="00127B6B">
            <w:pPr>
              <w:spacing w:after="0" w:line="240" w:lineRule="auto"/>
              <w:jc w:val="center"/>
              <w:rPr>
                <w:rFonts w:ascii="Arial" w:hAnsi="Arial" w:cs="Arial"/>
                <w:sz w:val="24"/>
                <w:szCs w:val="24"/>
              </w:rPr>
            </w:pPr>
            <w:r w:rsidRPr="00C10FE9">
              <w:rPr>
                <w:rFonts w:ascii="Arial" w:hAnsi="Arial" w:cs="Arial"/>
                <w:sz w:val="24"/>
                <w:szCs w:val="24"/>
              </w:rPr>
              <w:t>8</w:t>
            </w:r>
          </w:p>
        </w:tc>
        <w:tc>
          <w:tcPr>
            <w:tcW w:w="1848" w:type="dxa"/>
            <w:shd w:val="clear" w:color="auto" w:fill="auto"/>
          </w:tcPr>
          <w:p w14:paraId="0AD9E169"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8" w:type="dxa"/>
            <w:shd w:val="clear" w:color="auto" w:fill="auto"/>
          </w:tcPr>
          <w:p w14:paraId="63A92533"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9" w:type="dxa"/>
            <w:shd w:val="clear" w:color="auto" w:fill="auto"/>
          </w:tcPr>
          <w:p w14:paraId="6B050E3C"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c>
          <w:tcPr>
            <w:tcW w:w="1849" w:type="dxa"/>
            <w:shd w:val="clear" w:color="auto" w:fill="auto"/>
          </w:tcPr>
          <w:p w14:paraId="3C00058A" w14:textId="77777777" w:rsidR="00936B73" w:rsidRPr="00C10FE9" w:rsidRDefault="00936B73" w:rsidP="00C10FE9">
            <w:pPr>
              <w:spacing w:after="0" w:line="240" w:lineRule="auto"/>
              <w:rPr>
                <w:rFonts w:ascii="Arial" w:hAnsi="Arial" w:cs="Arial"/>
                <w:sz w:val="24"/>
                <w:szCs w:val="24"/>
              </w:rPr>
            </w:pPr>
            <w:r w:rsidRPr="00C10FE9">
              <w:rPr>
                <w:rFonts w:ascii="Arial" w:hAnsi="Arial" w:cs="Arial"/>
                <w:sz w:val="24"/>
                <w:szCs w:val="24"/>
              </w:rPr>
              <w:t>0mg</w:t>
            </w:r>
          </w:p>
        </w:tc>
      </w:tr>
    </w:tbl>
    <w:p w14:paraId="49982BB8" w14:textId="77777777" w:rsidR="00936B73" w:rsidRPr="00936B73" w:rsidRDefault="00D83D17" w:rsidP="00936B73">
      <w:pPr>
        <w:spacing w:after="0" w:line="240" w:lineRule="auto"/>
        <w:rPr>
          <w:rFonts w:ascii="Arial" w:hAnsi="Arial" w:cs="Arial"/>
          <w:sz w:val="24"/>
          <w:szCs w:val="24"/>
          <w:u w:val="single"/>
        </w:rPr>
      </w:pPr>
      <w:r>
        <w:rPr>
          <w:rFonts w:ascii="Arial" w:hAnsi="Arial" w:cs="Arial"/>
          <w:sz w:val="24"/>
          <w:szCs w:val="24"/>
          <w:u w:val="single"/>
        </w:rPr>
        <w:br/>
      </w:r>
      <w:r>
        <w:rPr>
          <w:rFonts w:ascii="Arial" w:hAnsi="Arial" w:cs="Arial"/>
          <w:sz w:val="24"/>
          <w:szCs w:val="24"/>
          <w:u w:val="single"/>
        </w:rPr>
        <w:br/>
      </w:r>
      <w:r w:rsidR="00936B73" w:rsidRPr="00936B73">
        <w:rPr>
          <w:rFonts w:ascii="Arial" w:hAnsi="Arial" w:cs="Arial"/>
          <w:sz w:val="24"/>
          <w:szCs w:val="24"/>
          <w:u w:val="single"/>
        </w:rPr>
        <w:t>Notes</w:t>
      </w:r>
    </w:p>
    <w:p w14:paraId="6DD1FC3F" w14:textId="77777777" w:rsidR="00936B73" w:rsidRPr="00936B73" w:rsidRDefault="00936B73" w:rsidP="00936B73">
      <w:pPr>
        <w:numPr>
          <w:ilvl w:val="0"/>
          <w:numId w:val="2"/>
        </w:numPr>
        <w:spacing w:after="0" w:line="240" w:lineRule="auto"/>
        <w:rPr>
          <w:rFonts w:ascii="Arial" w:hAnsi="Arial" w:cs="Arial"/>
          <w:sz w:val="24"/>
          <w:szCs w:val="24"/>
        </w:rPr>
      </w:pPr>
      <w:r w:rsidRPr="00936B73">
        <w:rPr>
          <w:rFonts w:ascii="Arial" w:hAnsi="Arial" w:cs="Arial"/>
          <w:sz w:val="24"/>
          <w:szCs w:val="24"/>
        </w:rPr>
        <w:t>The F</w:t>
      </w:r>
      <w:r w:rsidR="006E4B31">
        <w:rPr>
          <w:rFonts w:ascii="Arial" w:hAnsi="Arial" w:cs="Arial"/>
          <w:sz w:val="24"/>
          <w:szCs w:val="24"/>
        </w:rPr>
        <w:t xml:space="preserve">aculty of </w:t>
      </w:r>
      <w:r w:rsidRPr="00936B73">
        <w:rPr>
          <w:rFonts w:ascii="Arial" w:hAnsi="Arial" w:cs="Arial"/>
          <w:sz w:val="24"/>
          <w:szCs w:val="24"/>
        </w:rPr>
        <w:t>P</w:t>
      </w:r>
      <w:r w:rsidR="006E4B31">
        <w:rPr>
          <w:rFonts w:ascii="Arial" w:hAnsi="Arial" w:cs="Arial"/>
          <w:sz w:val="24"/>
          <w:szCs w:val="24"/>
        </w:rPr>
        <w:t xml:space="preserve">ain </w:t>
      </w:r>
      <w:r w:rsidRPr="00936B73">
        <w:rPr>
          <w:rFonts w:ascii="Arial" w:hAnsi="Arial" w:cs="Arial"/>
          <w:sz w:val="24"/>
          <w:szCs w:val="24"/>
        </w:rPr>
        <w:t>M</w:t>
      </w:r>
      <w:r w:rsidR="006E4B31">
        <w:rPr>
          <w:rFonts w:ascii="Arial" w:hAnsi="Arial" w:cs="Arial"/>
          <w:sz w:val="24"/>
          <w:szCs w:val="24"/>
        </w:rPr>
        <w:t>edicine</w:t>
      </w:r>
      <w:r w:rsidRPr="00936B73">
        <w:rPr>
          <w:rFonts w:ascii="Arial" w:hAnsi="Arial" w:cs="Arial"/>
          <w:sz w:val="24"/>
          <w:szCs w:val="24"/>
        </w:rPr>
        <w:t xml:space="preserve"> recommends reducing opioids by no more than 10% every 1-2 weeks</w:t>
      </w:r>
      <w:r w:rsidR="00CA4D2D" w:rsidRPr="00936B73">
        <w:rPr>
          <w:rFonts w:ascii="Arial" w:hAnsi="Arial" w:cs="Arial"/>
          <w:sz w:val="24"/>
          <w:szCs w:val="24"/>
        </w:rPr>
        <w:t>.</w:t>
      </w:r>
      <w:r w:rsidR="00CA4D2D" w:rsidRPr="00CA4D2D">
        <w:rPr>
          <w:rFonts w:ascii="Arial" w:hAnsi="Arial" w:cs="Arial"/>
          <w:sz w:val="24"/>
          <w:szCs w:val="24"/>
          <w:vertAlign w:val="superscript"/>
        </w:rPr>
        <w:t>5</w:t>
      </w:r>
    </w:p>
    <w:p w14:paraId="2BC6E4E4" w14:textId="77777777" w:rsidR="00936B73" w:rsidRPr="00936B73" w:rsidRDefault="00936B73" w:rsidP="00936B73">
      <w:pPr>
        <w:numPr>
          <w:ilvl w:val="0"/>
          <w:numId w:val="2"/>
        </w:numPr>
        <w:spacing w:after="0" w:line="240" w:lineRule="auto"/>
        <w:rPr>
          <w:rFonts w:ascii="Arial" w:hAnsi="Arial" w:cs="Arial"/>
          <w:sz w:val="24"/>
          <w:szCs w:val="24"/>
        </w:rPr>
      </w:pPr>
      <w:r w:rsidRPr="00936B73">
        <w:rPr>
          <w:rFonts w:ascii="Arial" w:hAnsi="Arial" w:cs="Arial"/>
          <w:sz w:val="24"/>
          <w:szCs w:val="24"/>
        </w:rPr>
        <w:t>In the UK there are no readily available tramadol preparations to allow this approach.</w:t>
      </w:r>
    </w:p>
    <w:p w14:paraId="0847B6CE" w14:textId="77777777" w:rsidR="00936B73" w:rsidRPr="00936B73" w:rsidRDefault="00936B73" w:rsidP="00936B73">
      <w:pPr>
        <w:numPr>
          <w:ilvl w:val="0"/>
          <w:numId w:val="2"/>
        </w:numPr>
        <w:spacing w:after="0" w:line="240" w:lineRule="auto"/>
        <w:rPr>
          <w:rFonts w:ascii="Arial" w:hAnsi="Arial" w:cs="Arial"/>
          <w:sz w:val="24"/>
          <w:szCs w:val="24"/>
        </w:rPr>
      </w:pPr>
      <w:r w:rsidRPr="00936B73">
        <w:rPr>
          <w:rFonts w:ascii="Arial" w:hAnsi="Arial" w:cs="Arial"/>
          <w:sz w:val="24"/>
          <w:szCs w:val="24"/>
        </w:rPr>
        <w:t xml:space="preserve">This leads to a larger reduction, as the regime progresses.  </w:t>
      </w:r>
    </w:p>
    <w:p w14:paraId="423CA440" w14:textId="77777777" w:rsidR="00936B73" w:rsidRPr="00936B73" w:rsidRDefault="00936B73" w:rsidP="00936B73">
      <w:pPr>
        <w:numPr>
          <w:ilvl w:val="0"/>
          <w:numId w:val="2"/>
        </w:numPr>
        <w:spacing w:after="0" w:line="240" w:lineRule="auto"/>
        <w:rPr>
          <w:rFonts w:ascii="Arial" w:hAnsi="Arial" w:cs="Arial"/>
          <w:sz w:val="24"/>
          <w:szCs w:val="24"/>
        </w:rPr>
      </w:pPr>
      <w:r w:rsidRPr="00936B73">
        <w:rPr>
          <w:rFonts w:ascii="Arial" w:hAnsi="Arial" w:cs="Arial"/>
          <w:sz w:val="24"/>
          <w:szCs w:val="24"/>
        </w:rPr>
        <w:t>This may mean that some patients want to slow the speed of the reduction as the regime progresses.</w:t>
      </w:r>
    </w:p>
    <w:p w14:paraId="2B75F38F" w14:textId="77777777" w:rsidR="00936B73" w:rsidRPr="00936B73" w:rsidRDefault="00936B73" w:rsidP="00936B73">
      <w:pPr>
        <w:spacing w:after="0" w:line="240" w:lineRule="auto"/>
        <w:rPr>
          <w:rFonts w:ascii="Arial" w:hAnsi="Arial" w:cs="Arial"/>
          <w:sz w:val="24"/>
          <w:szCs w:val="24"/>
        </w:rPr>
      </w:pPr>
    </w:p>
    <w:p w14:paraId="670D734A" w14:textId="77777777" w:rsidR="00936B73" w:rsidRDefault="00CA4D2D" w:rsidP="00936B73">
      <w:pPr>
        <w:spacing w:after="0" w:line="240" w:lineRule="auto"/>
        <w:rPr>
          <w:rFonts w:ascii="Arial" w:hAnsi="Arial" w:cs="Arial"/>
          <w:sz w:val="20"/>
          <w:szCs w:val="20"/>
        </w:rPr>
      </w:pPr>
      <w:r w:rsidRPr="00CA4D2D">
        <w:rPr>
          <w:rFonts w:ascii="Arial" w:hAnsi="Arial" w:cs="Arial"/>
          <w:sz w:val="20"/>
          <w:szCs w:val="20"/>
        </w:rPr>
        <w:t>References</w:t>
      </w:r>
    </w:p>
    <w:p w14:paraId="0A0CBC85" w14:textId="77777777" w:rsidR="00CA4D2D" w:rsidRDefault="00CA4D2D" w:rsidP="00936B73">
      <w:pPr>
        <w:spacing w:after="0" w:line="240" w:lineRule="auto"/>
        <w:rPr>
          <w:rFonts w:ascii="Arial" w:hAnsi="Arial" w:cs="Arial"/>
          <w:sz w:val="20"/>
          <w:szCs w:val="20"/>
        </w:rPr>
      </w:pPr>
      <w:r>
        <w:rPr>
          <w:rFonts w:ascii="Arial" w:hAnsi="Arial" w:cs="Arial"/>
          <w:sz w:val="20"/>
          <w:szCs w:val="20"/>
        </w:rPr>
        <w:t>1.</w:t>
      </w:r>
      <w:r w:rsidRPr="00CA4D2D">
        <w:t xml:space="preserve"> </w:t>
      </w:r>
      <w:hyperlink r:id="rId9" w:anchor="indicationsAndDoses" w:history="1">
        <w:r>
          <w:rPr>
            <w:rStyle w:val="Hyperlink"/>
          </w:rPr>
          <w:t>TRAMADOL HYDROCHLORIDE | Drug | BNF content published by NICE</w:t>
        </w:r>
      </w:hyperlink>
    </w:p>
    <w:p w14:paraId="25A8FD9B" w14:textId="77777777" w:rsidR="00CA4D2D" w:rsidRDefault="00CA4D2D" w:rsidP="00936B73">
      <w:pPr>
        <w:spacing w:after="0" w:line="240" w:lineRule="auto"/>
      </w:pPr>
      <w:r>
        <w:rPr>
          <w:rFonts w:ascii="Arial" w:hAnsi="Arial" w:cs="Arial"/>
          <w:sz w:val="20"/>
          <w:szCs w:val="20"/>
        </w:rPr>
        <w:t>2.</w:t>
      </w:r>
      <w:r w:rsidRPr="00CA4D2D">
        <w:t xml:space="preserve"> </w:t>
      </w:r>
      <w:hyperlink r:id="rId10" w:history="1">
        <w:r>
          <w:rPr>
            <w:rStyle w:val="Hyperlink"/>
          </w:rPr>
          <w:t>The Mechanism for Tramadol (Ultram) Induced Risk of Serotonin Syndrome in Patients Taking SSRI Antidepressants (ebmconsult.com)</w:t>
        </w:r>
      </w:hyperlink>
    </w:p>
    <w:p w14:paraId="5F15DB21" w14:textId="77777777" w:rsidR="00CA4D2D" w:rsidRDefault="00CA4D2D" w:rsidP="00936B73">
      <w:pPr>
        <w:spacing w:after="0" w:line="240" w:lineRule="auto"/>
        <w:rPr>
          <w:rFonts w:ascii="Arial" w:hAnsi="Arial" w:cs="Arial"/>
          <w:sz w:val="20"/>
          <w:szCs w:val="20"/>
        </w:rPr>
      </w:pPr>
      <w:r>
        <w:rPr>
          <w:rFonts w:ascii="Arial" w:hAnsi="Arial" w:cs="Arial"/>
          <w:sz w:val="20"/>
          <w:szCs w:val="20"/>
        </w:rPr>
        <w:t xml:space="preserve">3. </w:t>
      </w:r>
      <w:hyperlink r:id="rId11" w:history="1">
        <w:r w:rsidRPr="00936B73">
          <w:rPr>
            <w:rStyle w:val="Hyperlink"/>
            <w:rFonts w:cs="Calibri"/>
          </w:rPr>
          <w:t>https://www.medicines.org.uk/emc</w:t>
        </w:r>
      </w:hyperlink>
      <w:r w:rsidRPr="00936B73">
        <w:rPr>
          <w:rFonts w:cs="Calibri"/>
          <w:color w:val="0000FF"/>
        </w:rPr>
        <w:t xml:space="preserve"> - search each individual medicine for summary product characteristics</w:t>
      </w:r>
    </w:p>
    <w:p w14:paraId="64846730" w14:textId="77777777" w:rsidR="00CA4D2D" w:rsidRDefault="00CA4D2D" w:rsidP="00936B73">
      <w:pPr>
        <w:spacing w:after="0" w:line="240" w:lineRule="auto"/>
        <w:rPr>
          <w:rFonts w:ascii="Arial" w:hAnsi="Arial" w:cs="Arial"/>
          <w:sz w:val="20"/>
          <w:szCs w:val="20"/>
        </w:rPr>
      </w:pPr>
      <w:r>
        <w:rPr>
          <w:rFonts w:ascii="Arial" w:hAnsi="Arial" w:cs="Arial"/>
          <w:sz w:val="20"/>
          <w:szCs w:val="20"/>
        </w:rPr>
        <w:t xml:space="preserve">4. </w:t>
      </w:r>
      <w:hyperlink r:id="rId12" w:history="1">
        <w:r>
          <w:rPr>
            <w:rStyle w:val="Hyperlink"/>
          </w:rPr>
          <w:t>Dose equivalents and changing opioids | Faculty of Pain Medicine (fpm.ac.uk)</w:t>
        </w:r>
      </w:hyperlink>
    </w:p>
    <w:p w14:paraId="46779359" w14:textId="77777777" w:rsidR="00CA4D2D" w:rsidRDefault="00CA4D2D" w:rsidP="00936B73">
      <w:pPr>
        <w:spacing w:after="0" w:line="240" w:lineRule="auto"/>
        <w:rPr>
          <w:rFonts w:ascii="Arial" w:hAnsi="Arial" w:cs="Arial"/>
          <w:sz w:val="20"/>
          <w:szCs w:val="20"/>
        </w:rPr>
      </w:pPr>
      <w:r>
        <w:rPr>
          <w:rFonts w:ascii="Arial" w:hAnsi="Arial" w:cs="Arial"/>
          <w:sz w:val="20"/>
          <w:szCs w:val="20"/>
        </w:rPr>
        <w:t xml:space="preserve">5. </w:t>
      </w:r>
      <w:hyperlink r:id="rId13" w:history="1">
        <w:r>
          <w:rPr>
            <w:rStyle w:val="Hyperlink"/>
          </w:rPr>
          <w:t>Tapering and stopping | Faculty of Pain Medicine (fpm.ac.uk)</w:t>
        </w:r>
      </w:hyperlink>
    </w:p>
    <w:sectPr w:rsidR="00CA4D2D" w:rsidSect="00126E26">
      <w:headerReference w:type="default" r:id="rId14"/>
      <w:footerReference w:type="default" r:id="rId15"/>
      <w:headerReference w:type="first" r:id="rId16"/>
      <w:footerReference w:type="first" r:id="rId17"/>
      <w:pgSz w:w="11906" w:h="16838" w:code="9"/>
      <w:pgMar w:top="1440" w:right="1440" w:bottom="1440" w:left="144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6A53" w14:textId="77777777" w:rsidR="00BE51AA" w:rsidRDefault="00BE51AA" w:rsidP="001D776D">
      <w:pPr>
        <w:spacing w:after="0" w:line="240" w:lineRule="auto"/>
      </w:pPr>
      <w:r>
        <w:separator/>
      </w:r>
    </w:p>
  </w:endnote>
  <w:endnote w:type="continuationSeparator" w:id="0">
    <w:p w14:paraId="4C1FB7C3" w14:textId="77777777" w:rsidR="00BE51AA" w:rsidRDefault="00BE51AA"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E8C8" w14:textId="08B2FEA5" w:rsidR="00C10FE9" w:rsidRPr="00C10FE9" w:rsidRDefault="00C10FE9">
    <w:pPr>
      <w:pStyle w:val="Footer"/>
      <w:jc w:val="center"/>
      <w:rPr>
        <w:lang w:val="en-GB"/>
      </w:rPr>
    </w:pPr>
    <w:r>
      <w:rPr>
        <w:lang w:val="en-GB"/>
      </w:rPr>
      <w:tab/>
    </w:r>
    <w:r>
      <w:fldChar w:fldCharType="begin"/>
    </w:r>
    <w:r>
      <w:instrText xml:space="preserve"> PAGE   \* MERGEFORMAT </w:instrText>
    </w:r>
    <w:r>
      <w:fldChar w:fldCharType="separate"/>
    </w:r>
    <w:r w:rsidR="00126E26">
      <w:rPr>
        <w:noProof/>
      </w:rPr>
      <w:t>2</w:t>
    </w:r>
    <w:r>
      <w:rPr>
        <w:noProof/>
      </w:rPr>
      <w:fldChar w:fldCharType="end"/>
    </w:r>
    <w:r>
      <w:rPr>
        <w:noProof/>
        <w:lang w:val="en-GB"/>
      </w:rPr>
      <w:tab/>
      <w:t>Version 1</w:t>
    </w:r>
    <w:r w:rsidR="00561441">
      <w:rPr>
        <w:noProof/>
        <w:lang w:val="en-GB"/>
      </w:rPr>
      <w:t>.0</w:t>
    </w:r>
    <w:r>
      <w:rPr>
        <w:noProof/>
        <w:lang w:val="en-GB"/>
      </w:rPr>
      <w:t xml:space="preserve"> </w:t>
    </w:r>
    <w:r w:rsidR="001500C7">
      <w:rPr>
        <w:noProof/>
        <w:lang w:val="en-GB"/>
      </w:rPr>
      <w:t>August</w:t>
    </w:r>
    <w:r>
      <w:rPr>
        <w:noProof/>
        <w:lang w:val="en-GB"/>
      </w:rPr>
      <w:t xml:space="preserve"> 202</w:t>
    </w:r>
    <w:r w:rsidR="001500C7">
      <w:rPr>
        <w:noProof/>
        <w:lang w:val="en-GB"/>
      </w:rPr>
      <w:t>2</w:t>
    </w:r>
  </w:p>
  <w:p w14:paraId="538CFB06" w14:textId="77777777" w:rsidR="00C10FE9" w:rsidRDefault="00C1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FBE0" w14:textId="3C0A8E73"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126E26">
      <w:rPr>
        <w:noProof/>
      </w:rPr>
      <w:t>1</w:t>
    </w:r>
    <w:r>
      <w:rPr>
        <w:noProof/>
      </w:rPr>
      <w:fldChar w:fldCharType="end"/>
    </w:r>
    <w:r>
      <w:rPr>
        <w:noProof/>
        <w:lang w:val="en-GB"/>
      </w:rPr>
      <w:tab/>
      <w:t xml:space="preserve">Version 1.0 </w:t>
    </w:r>
    <w:r w:rsidR="001500C7">
      <w:rPr>
        <w:noProof/>
        <w:lang w:val="en-GB"/>
      </w:rPr>
      <w:t>August</w:t>
    </w:r>
    <w:r>
      <w:rPr>
        <w:noProof/>
        <w:lang w:val="en-GB"/>
      </w:rPr>
      <w:t xml:space="preserve"> 202</w:t>
    </w:r>
    <w:r w:rsidR="001500C7">
      <w:rPr>
        <w:noProof/>
        <w:lang w:val="en-GB"/>
      </w:rPr>
      <w:t>2</w:t>
    </w:r>
  </w:p>
  <w:p w14:paraId="04118DC8"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A149" w14:textId="77777777" w:rsidR="00BE51AA" w:rsidRDefault="00BE51AA" w:rsidP="001D776D">
      <w:pPr>
        <w:spacing w:after="0" w:line="240" w:lineRule="auto"/>
      </w:pPr>
      <w:r>
        <w:separator/>
      </w:r>
    </w:p>
  </w:footnote>
  <w:footnote w:type="continuationSeparator" w:id="0">
    <w:p w14:paraId="5B1891BC" w14:textId="77777777" w:rsidR="00BE51AA" w:rsidRDefault="00BE51AA"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E5F4" w14:textId="77777777" w:rsidR="001D776D" w:rsidRDefault="001D776D" w:rsidP="00C02A88">
    <w:pPr>
      <w:pStyle w:val="Header"/>
      <w:tabs>
        <w:tab w:val="clear" w:pos="9026"/>
      </w:tabs>
      <w:jc w:val="right"/>
    </w:pPr>
  </w:p>
  <w:p w14:paraId="58F2C656"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6382" w14:textId="0AC5AFA2" w:rsidR="00C02A88" w:rsidRDefault="00BB4D25">
    <w:pPr>
      <w:pStyle w:val="Header"/>
    </w:pPr>
    <w:r>
      <w:rPr>
        <w:noProof/>
      </w:rPr>
      <w:pict w14:anchorId="6BA09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2" type="#_x0000_t75" alt="Graphical user interface&#10;&#10;Description automatically generated" style="position:absolute;margin-left:239.5pt;margin-top:-9.95pt;width:260pt;height:84.2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5064 2893 15064 9064 13757 11957 9897 16393 9773 16779 9773 19093 11703 19479 12325 19479 20729 19093 20791 16393 20293 16200 10769 15236 20666 15043 20853 12729 20480 12150 20729 9064 20729 2893 15064 2893">
          <v:imagedata r:id="rId1" o:title="Graphical user interface&#10;&#10;Description automatically generated"/>
          <w10:wrap type="tight"/>
        </v:shape>
      </w:pict>
    </w:r>
  </w:p>
  <w:p w14:paraId="161B62EC" w14:textId="2866CCA5" w:rsidR="00C277FB" w:rsidRDefault="00BB4D25" w:rsidP="00A54F97">
    <w:pPr>
      <w:pStyle w:val="Header"/>
      <w:jc w:val="right"/>
    </w:pPr>
    <w:r>
      <w:rPr>
        <w:noProof/>
        <w:lang w:val="en-GB" w:eastAsia="en-GB"/>
      </w:rPr>
      <w:pict w14:anchorId="36D93504">
        <v:shape id="Picture 3" o:spid="_x0000_s2061" type="#_x0000_t75" style="position:absolute;left:0;text-align:left;margin-left:-29pt;margin-top:-30.7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45D3AF59">
        <v:shape id="Picture 4" o:spid="_x0000_s2060" type="#_x0000_t75" style="position:absolute;left:0;text-align:left;margin-left:136pt;margin-top:-35.4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7A58"/>
    <w:multiLevelType w:val="hybridMultilevel"/>
    <w:tmpl w:val="CD38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268A6"/>
    <w:multiLevelType w:val="hybridMultilevel"/>
    <w:tmpl w:val="E814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022704">
    <w:abstractNumId w:val="0"/>
  </w:num>
  <w:num w:numId="2" w16cid:durableId="25370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126E26"/>
    <w:rsid w:val="00127B6B"/>
    <w:rsid w:val="001500C7"/>
    <w:rsid w:val="0017748E"/>
    <w:rsid w:val="001875F4"/>
    <w:rsid w:val="001D776D"/>
    <w:rsid w:val="00224297"/>
    <w:rsid w:val="00240016"/>
    <w:rsid w:val="00253535"/>
    <w:rsid w:val="002C4EC5"/>
    <w:rsid w:val="003478FA"/>
    <w:rsid w:val="003F4BEA"/>
    <w:rsid w:val="00425160"/>
    <w:rsid w:val="0045117D"/>
    <w:rsid w:val="004546FF"/>
    <w:rsid w:val="00503C3F"/>
    <w:rsid w:val="00561441"/>
    <w:rsid w:val="00685965"/>
    <w:rsid w:val="006C3AB5"/>
    <w:rsid w:val="006E4B31"/>
    <w:rsid w:val="00743431"/>
    <w:rsid w:val="007548C9"/>
    <w:rsid w:val="00814586"/>
    <w:rsid w:val="008333B8"/>
    <w:rsid w:val="008410E6"/>
    <w:rsid w:val="00894014"/>
    <w:rsid w:val="008B4288"/>
    <w:rsid w:val="00936B73"/>
    <w:rsid w:val="00A324DA"/>
    <w:rsid w:val="00A54F97"/>
    <w:rsid w:val="00AF1765"/>
    <w:rsid w:val="00B71395"/>
    <w:rsid w:val="00BA7AAC"/>
    <w:rsid w:val="00BB4D25"/>
    <w:rsid w:val="00BE51AA"/>
    <w:rsid w:val="00BF762A"/>
    <w:rsid w:val="00C02A88"/>
    <w:rsid w:val="00C10FE9"/>
    <w:rsid w:val="00C12BC9"/>
    <w:rsid w:val="00C277FB"/>
    <w:rsid w:val="00CA4D2D"/>
    <w:rsid w:val="00CD26B8"/>
    <w:rsid w:val="00D400F8"/>
    <w:rsid w:val="00D83D17"/>
    <w:rsid w:val="00DA3CE0"/>
    <w:rsid w:val="00DC3E27"/>
    <w:rsid w:val="00EA163F"/>
    <w:rsid w:val="00ED4A1C"/>
    <w:rsid w:val="00F375F9"/>
    <w:rsid w:val="00FD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5C4EABAE"/>
  <w15:docId w15:val="{EF027AE0-015A-4884-888A-99EB27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table" w:styleId="TableGrid">
    <w:name w:val="Table Grid"/>
    <w:basedOn w:val="TableNormal"/>
    <w:uiPriority w:val="59"/>
    <w:rsid w:val="00936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6B73"/>
    <w:pPr>
      <w:spacing w:after="0" w:line="240" w:lineRule="auto"/>
    </w:pPr>
    <w:rPr>
      <w:sz w:val="20"/>
      <w:szCs w:val="20"/>
    </w:rPr>
  </w:style>
  <w:style w:type="character" w:customStyle="1" w:styleId="FootnoteTextChar">
    <w:name w:val="Footnote Text Char"/>
    <w:link w:val="FootnoteText"/>
    <w:uiPriority w:val="99"/>
    <w:semiHidden/>
    <w:rsid w:val="00936B73"/>
    <w:rPr>
      <w:lang w:eastAsia="en-US"/>
    </w:rPr>
  </w:style>
  <w:style w:type="character" w:styleId="FootnoteReference">
    <w:name w:val="footnote reference"/>
    <w:uiPriority w:val="99"/>
    <w:semiHidden/>
    <w:unhideWhenUsed/>
    <w:rsid w:val="00936B73"/>
    <w:rPr>
      <w:vertAlign w:val="superscript"/>
    </w:rPr>
  </w:style>
  <w:style w:type="character" w:styleId="Hyperlink">
    <w:name w:val="Hyperlink"/>
    <w:uiPriority w:val="99"/>
    <w:unhideWhenUsed/>
    <w:rsid w:val="00936B73"/>
    <w:rPr>
      <w:color w:val="0000FF"/>
      <w:u w:val="single"/>
    </w:rPr>
  </w:style>
  <w:style w:type="character" w:styleId="CommentReference">
    <w:name w:val="annotation reference"/>
    <w:basedOn w:val="DefaultParagraphFont"/>
    <w:uiPriority w:val="99"/>
    <w:semiHidden/>
    <w:unhideWhenUsed/>
    <w:rsid w:val="0045117D"/>
    <w:rPr>
      <w:sz w:val="16"/>
      <w:szCs w:val="16"/>
    </w:rPr>
  </w:style>
  <w:style w:type="paragraph" w:styleId="CommentText">
    <w:name w:val="annotation text"/>
    <w:basedOn w:val="Normal"/>
    <w:link w:val="CommentTextChar"/>
    <w:uiPriority w:val="99"/>
    <w:semiHidden/>
    <w:unhideWhenUsed/>
    <w:rsid w:val="0045117D"/>
    <w:rPr>
      <w:sz w:val="20"/>
      <w:szCs w:val="20"/>
    </w:rPr>
  </w:style>
  <w:style w:type="character" w:customStyle="1" w:styleId="CommentTextChar">
    <w:name w:val="Comment Text Char"/>
    <w:basedOn w:val="DefaultParagraphFont"/>
    <w:link w:val="CommentText"/>
    <w:uiPriority w:val="99"/>
    <w:semiHidden/>
    <w:rsid w:val="0045117D"/>
    <w:rPr>
      <w:lang w:eastAsia="en-US"/>
    </w:rPr>
  </w:style>
  <w:style w:type="paragraph" w:styleId="CommentSubject">
    <w:name w:val="annotation subject"/>
    <w:basedOn w:val="CommentText"/>
    <w:next w:val="CommentText"/>
    <w:link w:val="CommentSubjectChar"/>
    <w:uiPriority w:val="99"/>
    <w:semiHidden/>
    <w:unhideWhenUsed/>
    <w:rsid w:val="0045117D"/>
    <w:rPr>
      <w:b/>
      <w:bCs/>
    </w:rPr>
  </w:style>
  <w:style w:type="character" w:customStyle="1" w:styleId="CommentSubjectChar">
    <w:name w:val="Comment Subject Char"/>
    <w:basedOn w:val="CommentTextChar"/>
    <w:link w:val="CommentSubject"/>
    <w:uiPriority w:val="99"/>
    <w:semiHidden/>
    <w:rsid w:val="0045117D"/>
    <w:rPr>
      <w:b/>
      <w:bCs/>
      <w:lang w:eastAsia="en-US"/>
    </w:rPr>
  </w:style>
  <w:style w:type="character" w:styleId="FollowedHyperlink">
    <w:name w:val="FollowedHyperlink"/>
    <w:basedOn w:val="DefaultParagraphFont"/>
    <w:uiPriority w:val="99"/>
    <w:semiHidden/>
    <w:unhideWhenUsed/>
    <w:rsid w:val="006E4B31"/>
    <w:rPr>
      <w:color w:val="800080" w:themeColor="followedHyperlink"/>
      <w:u w:val="single"/>
    </w:rPr>
  </w:style>
  <w:style w:type="paragraph" w:styleId="EndnoteText">
    <w:name w:val="endnote text"/>
    <w:basedOn w:val="Normal"/>
    <w:link w:val="EndnoteTextChar"/>
    <w:uiPriority w:val="99"/>
    <w:semiHidden/>
    <w:unhideWhenUsed/>
    <w:rsid w:val="00CA4D2D"/>
    <w:rPr>
      <w:sz w:val="20"/>
      <w:szCs w:val="20"/>
    </w:rPr>
  </w:style>
  <w:style w:type="character" w:customStyle="1" w:styleId="EndnoteTextChar">
    <w:name w:val="Endnote Text Char"/>
    <w:basedOn w:val="DefaultParagraphFont"/>
    <w:link w:val="EndnoteText"/>
    <w:uiPriority w:val="99"/>
    <w:semiHidden/>
    <w:rsid w:val="00CA4D2D"/>
    <w:rPr>
      <w:lang w:eastAsia="en-US"/>
    </w:rPr>
  </w:style>
  <w:style w:type="character" w:styleId="EndnoteReference">
    <w:name w:val="endnote reference"/>
    <w:basedOn w:val="DefaultParagraphFont"/>
    <w:uiPriority w:val="99"/>
    <w:semiHidden/>
    <w:unhideWhenUsed/>
    <w:rsid w:val="00CA4D2D"/>
    <w:rPr>
      <w:vertAlign w:val="superscript"/>
    </w:rPr>
  </w:style>
  <w:style w:type="character" w:styleId="UnresolvedMention">
    <w:name w:val="Unresolved Mention"/>
    <w:basedOn w:val="DefaultParagraphFont"/>
    <w:uiPriority w:val="99"/>
    <w:semiHidden/>
    <w:unhideWhenUsed/>
    <w:rsid w:val="003F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somerset.nhs.uk/wp-content/uploads/2022/08/ICB-Analgesic-tapering-guidelines-general-with-flow-chart-approved-v1.2-1.docx" TargetMode="External"/><Relationship Id="rId13" Type="http://schemas.openxmlformats.org/officeDocument/2006/relationships/hyperlink" Target="https://fpm.ac.uk/opioids-aware-structured-approach-opioid-prescribing/tapering-and-stopp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pm.ac.uk/opioids-aware-structured-approach-opioid-prescribing/dose-equivalents-and-changing-opioid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org.uk/em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bmconsult.com/articles/tramadol-interaction-ssri-serotonin-syndrome-mechanis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nf.nice.org.uk/drug/tramadol-hydrochloride.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1A4C-7C0F-4A69-96D6-C9B14843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Ezmerelda White</cp:lastModifiedBy>
  <cp:revision>6</cp:revision>
  <dcterms:created xsi:type="dcterms:W3CDTF">2021-05-07T13:53:00Z</dcterms:created>
  <dcterms:modified xsi:type="dcterms:W3CDTF">2022-08-10T07:58:00Z</dcterms:modified>
</cp:coreProperties>
</file>