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Shading-Accent6"/>
        <w:tblW w:w="15425" w:type="dxa"/>
        <w:tblLook w:val="04A0" w:firstRow="1" w:lastRow="0" w:firstColumn="1" w:lastColumn="0" w:noHBand="0" w:noVBand="1"/>
      </w:tblPr>
      <w:tblGrid>
        <w:gridCol w:w="1650"/>
        <w:gridCol w:w="1118"/>
        <w:gridCol w:w="2233"/>
        <w:gridCol w:w="3519"/>
        <w:gridCol w:w="3686"/>
        <w:gridCol w:w="2835"/>
        <w:gridCol w:w="384"/>
      </w:tblGrid>
      <w:tr w:rsidR="004A7B35" w:rsidRPr="004A7B35" w:rsidTr="00C85B2B">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5425" w:type="dxa"/>
            <w:gridSpan w:val="7"/>
            <w:noWrap/>
            <w:hideMark/>
          </w:tcPr>
          <w:p w:rsidR="004A7B35" w:rsidRDefault="004A7B35" w:rsidP="004A7B35">
            <w:pPr>
              <w:rPr>
                <w:rFonts w:ascii="Calibri" w:eastAsia="Times New Roman" w:hAnsi="Calibri" w:cs="Calibri"/>
                <w:color w:val="000000"/>
                <w:lang w:eastAsia="en-GB"/>
              </w:rPr>
            </w:pPr>
            <w:r w:rsidRPr="004A7B35">
              <w:rPr>
                <w:rFonts w:ascii="Calibri" w:eastAsia="Times New Roman" w:hAnsi="Calibri" w:cs="Calibri"/>
                <w:color w:val="000000"/>
                <w:lang w:eastAsia="en-GB"/>
              </w:rPr>
              <w:t xml:space="preserve">Target setting, recommended interventions and treatment goals according to frailty in older adults with diabetes from Diabetes </w:t>
            </w:r>
            <w:proofErr w:type="spellStart"/>
            <w:r w:rsidRPr="004A7B35">
              <w:rPr>
                <w:rFonts w:ascii="Calibri" w:eastAsia="Times New Roman" w:hAnsi="Calibri" w:cs="Calibri"/>
                <w:color w:val="000000"/>
                <w:lang w:eastAsia="en-GB"/>
              </w:rPr>
              <w:t>Ther</w:t>
            </w:r>
            <w:proofErr w:type="spellEnd"/>
            <w:r w:rsidRPr="004A7B35">
              <w:rPr>
                <w:rFonts w:ascii="Calibri" w:eastAsia="Times New Roman" w:hAnsi="Calibri" w:cs="Calibri"/>
                <w:color w:val="000000"/>
                <w:lang w:eastAsia="en-GB"/>
              </w:rPr>
              <w:t xml:space="preserve"> (2021) 12:1227-1247</w:t>
            </w:r>
            <w:r w:rsidR="00C85B2B">
              <w:rPr>
                <w:rFonts w:ascii="Calibri" w:eastAsia="Times New Roman" w:hAnsi="Calibri" w:cs="Calibri"/>
                <w:color w:val="000000"/>
                <w:lang w:eastAsia="en-GB"/>
              </w:rPr>
              <w:t xml:space="preserve"> </w:t>
            </w:r>
            <w:hyperlink r:id="rId6" w:history="1">
              <w:r w:rsidR="00C85B2B" w:rsidRPr="00DC3E19">
                <w:rPr>
                  <w:rStyle w:val="Hyperlink"/>
                  <w:rFonts w:ascii="Calibri" w:eastAsia="Times New Roman" w:hAnsi="Calibri" w:cs="Calibri"/>
                  <w:lang w:eastAsia="en-GB"/>
                </w:rPr>
                <w:t>https://pubmed.ncbi.nlm.nih.gov/33830409/</w:t>
              </w:r>
            </w:hyperlink>
          </w:p>
          <w:p w:rsidR="00C85B2B" w:rsidRPr="004A7B35" w:rsidRDefault="00C85B2B" w:rsidP="004A7B35">
            <w:pPr>
              <w:rPr>
                <w:rFonts w:ascii="Calibri" w:eastAsia="Times New Roman" w:hAnsi="Calibri" w:cs="Calibri"/>
                <w:color w:val="000000"/>
                <w:lang w:eastAsia="en-GB"/>
              </w:rPr>
            </w:pPr>
          </w:p>
        </w:tc>
      </w:tr>
      <w:tr w:rsidR="004A7B35" w:rsidRPr="00C85B2B" w:rsidTr="00C85B2B">
        <w:trPr>
          <w:cnfStyle w:val="000000100000" w:firstRow="0" w:lastRow="0" w:firstColumn="0" w:lastColumn="0" w:oddVBand="0" w:evenVBand="0" w:oddHBand="1" w:evenHBand="0"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1650" w:type="dxa"/>
            <w:hideMark/>
          </w:tcPr>
          <w:p w:rsidR="004A7B35" w:rsidRPr="004A7B35" w:rsidRDefault="004A7B35" w:rsidP="003C68AA">
            <w:pPr>
              <w:jc w:val="center"/>
              <w:rPr>
                <w:rFonts w:ascii="Calibri" w:eastAsia="Times New Roman" w:hAnsi="Calibri" w:cs="Calibri"/>
                <w:color w:val="000000"/>
                <w:lang w:eastAsia="en-GB"/>
              </w:rPr>
            </w:pPr>
            <w:r w:rsidRPr="004A7B35">
              <w:rPr>
                <w:rFonts w:ascii="Calibri" w:eastAsia="Times New Roman" w:hAnsi="Calibri" w:cs="Calibri"/>
                <w:color w:val="000000"/>
                <w:lang w:eastAsia="en-GB"/>
              </w:rPr>
              <w:t>Level of frailty</w:t>
            </w:r>
          </w:p>
        </w:tc>
        <w:tc>
          <w:tcPr>
            <w:tcW w:w="1118" w:type="dxa"/>
            <w:hideMark/>
          </w:tcPr>
          <w:p w:rsidR="004A7B35" w:rsidRPr="004A7B35" w:rsidRDefault="004A7B35" w:rsidP="003C68A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lang w:eastAsia="en-GB"/>
              </w:rPr>
            </w:pPr>
            <w:r w:rsidRPr="004A7B35">
              <w:rPr>
                <w:rFonts w:ascii="Calibri" w:eastAsia="Times New Roman" w:hAnsi="Calibri" w:cs="Calibri"/>
                <w:b/>
                <w:color w:val="000000"/>
                <w:lang w:eastAsia="en-GB"/>
              </w:rPr>
              <w:t>Electronic frailty index</w:t>
            </w:r>
          </w:p>
        </w:tc>
        <w:tc>
          <w:tcPr>
            <w:tcW w:w="2233" w:type="dxa"/>
            <w:noWrap/>
            <w:hideMark/>
          </w:tcPr>
          <w:p w:rsidR="004A7B35" w:rsidRPr="004A7B35" w:rsidRDefault="004A7B35" w:rsidP="003C68A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lang w:eastAsia="en-GB"/>
              </w:rPr>
            </w:pPr>
            <w:r w:rsidRPr="004A7B35">
              <w:rPr>
                <w:rFonts w:ascii="Calibri" w:eastAsia="Times New Roman" w:hAnsi="Calibri" w:cs="Calibri"/>
                <w:b/>
                <w:color w:val="000000"/>
                <w:lang w:eastAsia="en-GB"/>
              </w:rPr>
              <w:t>Status</w:t>
            </w:r>
          </w:p>
        </w:tc>
        <w:tc>
          <w:tcPr>
            <w:tcW w:w="3519" w:type="dxa"/>
            <w:hideMark/>
          </w:tcPr>
          <w:p w:rsidR="004A7B35" w:rsidRPr="004A7B35" w:rsidRDefault="004A7B35" w:rsidP="003C68A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lang w:eastAsia="en-GB"/>
              </w:rPr>
            </w:pPr>
            <w:r w:rsidRPr="004A7B35">
              <w:rPr>
                <w:rFonts w:ascii="Calibri" w:eastAsia="Times New Roman" w:hAnsi="Calibri" w:cs="Calibri"/>
                <w:b/>
                <w:color w:val="000000"/>
                <w:lang w:eastAsia="en-GB"/>
              </w:rPr>
              <w:t>Treatment goals</w:t>
            </w:r>
          </w:p>
        </w:tc>
        <w:tc>
          <w:tcPr>
            <w:tcW w:w="3686" w:type="dxa"/>
            <w:noWrap/>
            <w:hideMark/>
          </w:tcPr>
          <w:p w:rsidR="004A7B35" w:rsidRPr="004A7B35" w:rsidRDefault="004A7B35" w:rsidP="003C68A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lang w:eastAsia="en-GB"/>
              </w:rPr>
            </w:pPr>
            <w:r w:rsidRPr="004A7B35">
              <w:rPr>
                <w:rFonts w:ascii="Calibri" w:eastAsia="Times New Roman" w:hAnsi="Calibri" w:cs="Calibri"/>
                <w:b/>
                <w:color w:val="000000"/>
                <w:lang w:eastAsia="en-GB"/>
              </w:rPr>
              <w:t>Recommended interventions</w:t>
            </w:r>
          </w:p>
        </w:tc>
        <w:tc>
          <w:tcPr>
            <w:tcW w:w="2835" w:type="dxa"/>
            <w:noWrap/>
            <w:hideMark/>
          </w:tcPr>
          <w:p w:rsidR="004A7B35" w:rsidRPr="004A7B35" w:rsidRDefault="004A7B35" w:rsidP="003C68A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lang w:eastAsia="en-GB"/>
              </w:rPr>
            </w:pPr>
            <w:r w:rsidRPr="004A7B35">
              <w:rPr>
                <w:rFonts w:ascii="Calibri" w:eastAsia="Times New Roman" w:hAnsi="Calibri" w:cs="Calibri"/>
                <w:b/>
                <w:color w:val="000000"/>
                <w:lang w:eastAsia="en-GB"/>
              </w:rPr>
              <w:t>Recommended targets</w:t>
            </w:r>
          </w:p>
        </w:tc>
        <w:tc>
          <w:tcPr>
            <w:tcW w:w="384" w:type="dxa"/>
            <w:noWrap/>
            <w:hideMark/>
          </w:tcPr>
          <w:p w:rsidR="004A7B35" w:rsidRPr="004A7B35" w:rsidRDefault="004A7B35" w:rsidP="003C68A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lang w:eastAsia="en-GB"/>
              </w:rPr>
            </w:pPr>
          </w:p>
        </w:tc>
      </w:tr>
      <w:tr w:rsidR="004A7B35" w:rsidRPr="004A7B35" w:rsidTr="00C85B2B">
        <w:trPr>
          <w:trHeight w:val="1382"/>
        </w:trPr>
        <w:tc>
          <w:tcPr>
            <w:tcW w:w="1650" w:type="dxa"/>
            <w:hideMark/>
          </w:tcPr>
          <w:p w:rsidR="00C85B2B" w:rsidRDefault="004A7B35" w:rsidP="004A7B35">
            <w:pPr>
              <w:cnfStyle w:val="001000000000" w:firstRow="0" w:lastRow="0" w:firstColumn="1"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A7B35">
              <w:rPr>
                <w:rFonts w:ascii="Calibri" w:eastAsia="Times New Roman" w:hAnsi="Calibri" w:cs="Calibri"/>
                <w:color w:val="000000"/>
                <w:lang w:eastAsia="en-GB"/>
              </w:rPr>
              <w:t>Healthy/</w:t>
            </w:r>
          </w:p>
          <w:p w:rsidR="004A7B35" w:rsidRPr="004A7B35" w:rsidRDefault="004A7B35" w:rsidP="004A7B35">
            <w:pPr>
              <w:cnfStyle w:val="001000000000" w:firstRow="0" w:lastRow="0" w:firstColumn="1"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A7B35">
              <w:rPr>
                <w:rFonts w:ascii="Calibri" w:eastAsia="Times New Roman" w:hAnsi="Calibri" w:cs="Calibri"/>
                <w:color w:val="000000"/>
                <w:lang w:eastAsia="en-GB"/>
              </w:rPr>
              <w:t>pre-frail/mild frailty</w:t>
            </w:r>
          </w:p>
        </w:tc>
        <w:tc>
          <w:tcPr>
            <w:tcW w:w="1118" w:type="dxa"/>
            <w:hideMark/>
          </w:tcPr>
          <w:p w:rsidR="004A7B35" w:rsidRDefault="001865E1" w:rsidP="004A7B35">
            <w:pPr>
              <w:rPr>
                <w:rFonts w:ascii="Calibri" w:eastAsia="Times New Roman" w:hAnsi="Calibri" w:cs="Calibri"/>
                <w:color w:val="000000"/>
                <w:lang w:eastAsia="en-GB"/>
              </w:rPr>
            </w:pPr>
            <w:r>
              <w:rPr>
                <w:rFonts w:ascii="Calibri" w:eastAsia="Times New Roman" w:hAnsi="Calibri" w:cs="Calibri"/>
                <w:color w:val="000000"/>
                <w:lang w:eastAsia="en-GB"/>
              </w:rPr>
              <w:t>0-0.12</w:t>
            </w:r>
          </w:p>
          <w:p w:rsidR="001865E1" w:rsidRPr="004A7B35" w:rsidRDefault="001865E1" w:rsidP="004A7B35">
            <w:pPr>
              <w:rPr>
                <w:rFonts w:ascii="Calibri" w:eastAsia="Times New Roman" w:hAnsi="Calibri" w:cs="Calibri"/>
                <w:color w:val="000000"/>
                <w:lang w:eastAsia="en-GB"/>
              </w:rPr>
            </w:pPr>
            <w:r>
              <w:rPr>
                <w:rFonts w:ascii="Calibri" w:eastAsia="Times New Roman" w:hAnsi="Calibri" w:cs="Calibri"/>
                <w:color w:val="000000"/>
                <w:lang w:eastAsia="en-GB"/>
              </w:rPr>
              <w:t>0.12-0.24</w:t>
            </w:r>
          </w:p>
        </w:tc>
        <w:tc>
          <w:tcPr>
            <w:tcW w:w="2233" w:type="dxa"/>
            <w:hideMark/>
          </w:tcPr>
          <w:p w:rsidR="004A7B35" w:rsidRPr="004A7B35" w:rsidRDefault="004A7B35" w:rsidP="004A7B35">
            <w:pPr>
              <w:pStyle w:val="ListParagraph"/>
              <w:numPr>
                <w:ilvl w:val="0"/>
                <w:numId w:val="2"/>
              </w:numPr>
              <w:rPr>
                <w:rFonts w:ascii="Calibri" w:eastAsia="Times New Roman" w:hAnsi="Calibri" w:cs="Calibri"/>
                <w:color w:val="000000"/>
                <w:lang w:eastAsia="en-GB"/>
              </w:rPr>
            </w:pPr>
            <w:r w:rsidRPr="004A7B35">
              <w:rPr>
                <w:rFonts w:ascii="Calibri" w:eastAsia="Times New Roman" w:hAnsi="Calibri" w:cs="Calibri"/>
                <w:color w:val="000000"/>
                <w:lang w:eastAsia="en-GB"/>
              </w:rPr>
              <w:t>Functional and independent</w:t>
            </w:r>
          </w:p>
          <w:p w:rsidR="004A7B35" w:rsidRPr="004A7B35" w:rsidRDefault="004A7B35" w:rsidP="004A7B35">
            <w:pPr>
              <w:pStyle w:val="ListParagraph"/>
              <w:numPr>
                <w:ilvl w:val="0"/>
                <w:numId w:val="2"/>
              </w:numPr>
              <w:rPr>
                <w:rFonts w:ascii="Calibri" w:eastAsia="Times New Roman" w:hAnsi="Calibri" w:cs="Calibri"/>
                <w:color w:val="000000"/>
                <w:lang w:eastAsia="en-GB"/>
              </w:rPr>
            </w:pPr>
            <w:r w:rsidRPr="004A7B35">
              <w:rPr>
                <w:rFonts w:ascii="Calibri" w:eastAsia="Times New Roman" w:hAnsi="Calibri" w:cs="Calibri"/>
                <w:color w:val="000000"/>
                <w:lang w:eastAsia="en-GB"/>
              </w:rPr>
              <w:t>Life expectancy &gt;10 years</w:t>
            </w:r>
          </w:p>
        </w:tc>
        <w:tc>
          <w:tcPr>
            <w:tcW w:w="3519" w:type="dxa"/>
            <w:hideMark/>
          </w:tcPr>
          <w:p w:rsidR="004A7B35" w:rsidRDefault="004A7B35" w:rsidP="004A7B35">
            <w:pPr>
              <w:pStyle w:val="ListParagraph"/>
              <w:numPr>
                <w:ilvl w:val="0"/>
                <w:numId w:val="2"/>
              </w:numPr>
              <w:rPr>
                <w:rFonts w:ascii="Calibri" w:eastAsia="Times New Roman" w:hAnsi="Calibri" w:cs="Calibri"/>
                <w:color w:val="000000"/>
                <w:lang w:eastAsia="en-GB"/>
              </w:rPr>
            </w:pPr>
            <w:r>
              <w:rPr>
                <w:rFonts w:ascii="Calibri" w:eastAsia="Times New Roman" w:hAnsi="Calibri" w:cs="Calibri"/>
                <w:color w:val="000000"/>
                <w:lang w:eastAsia="en-GB"/>
              </w:rPr>
              <w:t>Reverse frailty or limit its progression</w:t>
            </w:r>
          </w:p>
          <w:p w:rsidR="004A7B35" w:rsidRDefault="004A7B35" w:rsidP="004A7B35">
            <w:pPr>
              <w:pStyle w:val="ListParagraph"/>
              <w:numPr>
                <w:ilvl w:val="0"/>
                <w:numId w:val="2"/>
              </w:numPr>
              <w:rPr>
                <w:rFonts w:ascii="Calibri" w:eastAsia="Times New Roman" w:hAnsi="Calibri" w:cs="Calibri"/>
                <w:color w:val="000000"/>
                <w:lang w:eastAsia="en-GB"/>
              </w:rPr>
            </w:pPr>
            <w:r>
              <w:rPr>
                <w:rFonts w:ascii="Calibri" w:eastAsia="Times New Roman" w:hAnsi="Calibri" w:cs="Calibri"/>
                <w:color w:val="000000"/>
                <w:lang w:eastAsia="en-GB"/>
              </w:rPr>
              <w:t>Maintain functional status, independence and QoL</w:t>
            </w:r>
          </w:p>
          <w:p w:rsidR="004A7B35" w:rsidRPr="004A7B35" w:rsidRDefault="004A7B35" w:rsidP="004A7B35">
            <w:pPr>
              <w:pStyle w:val="ListParagraph"/>
              <w:numPr>
                <w:ilvl w:val="0"/>
                <w:numId w:val="2"/>
              </w:numPr>
              <w:rPr>
                <w:rFonts w:ascii="Calibri" w:eastAsia="Times New Roman" w:hAnsi="Calibri" w:cs="Calibri"/>
                <w:color w:val="000000"/>
                <w:lang w:eastAsia="en-GB"/>
              </w:rPr>
            </w:pPr>
            <w:r>
              <w:rPr>
                <w:rFonts w:ascii="Calibri" w:eastAsia="Times New Roman" w:hAnsi="Calibri" w:cs="Calibri"/>
                <w:color w:val="000000"/>
                <w:lang w:eastAsia="en-GB"/>
              </w:rPr>
              <w:t>Prevent or delay macro/microvascular complications</w:t>
            </w:r>
          </w:p>
        </w:tc>
        <w:tc>
          <w:tcPr>
            <w:tcW w:w="3686" w:type="dxa"/>
            <w:noWrap/>
            <w:hideMark/>
          </w:tcPr>
          <w:p w:rsidR="004A7B35" w:rsidRPr="004A7B35" w:rsidRDefault="004A7B35" w:rsidP="004A7B35">
            <w:pPr>
              <w:pStyle w:val="ListParagraph"/>
              <w:numPr>
                <w:ilvl w:val="0"/>
                <w:numId w:val="1"/>
              </w:numPr>
              <w:rPr>
                <w:rFonts w:ascii="Calibri" w:eastAsia="Times New Roman" w:hAnsi="Calibri" w:cs="Calibri"/>
                <w:color w:val="000000"/>
                <w:lang w:eastAsia="en-GB"/>
              </w:rPr>
            </w:pPr>
            <w:r w:rsidRPr="004A7B35">
              <w:rPr>
                <w:rFonts w:ascii="Calibri" w:eastAsia="Times New Roman" w:hAnsi="Calibri" w:cs="Calibri"/>
                <w:color w:val="000000"/>
                <w:lang w:eastAsia="en-GB"/>
              </w:rPr>
              <w:t>Tight glycaemic control</w:t>
            </w:r>
          </w:p>
          <w:p w:rsidR="004A7B35" w:rsidRDefault="004A7B35" w:rsidP="004A7B35">
            <w:pPr>
              <w:pStyle w:val="ListParagraph"/>
              <w:numPr>
                <w:ilvl w:val="0"/>
                <w:numId w:val="1"/>
              </w:numPr>
              <w:rPr>
                <w:rFonts w:ascii="Calibri" w:eastAsia="Times New Roman" w:hAnsi="Calibri" w:cs="Calibri"/>
                <w:color w:val="000000"/>
                <w:lang w:eastAsia="en-GB"/>
              </w:rPr>
            </w:pPr>
            <w:r w:rsidRPr="004A7B35">
              <w:rPr>
                <w:rFonts w:ascii="Calibri" w:eastAsia="Times New Roman" w:hAnsi="Calibri" w:cs="Calibri"/>
                <w:color w:val="000000"/>
                <w:lang w:eastAsia="en-GB"/>
              </w:rPr>
              <w:t>Resistance exercise and nutritional interventions</w:t>
            </w:r>
          </w:p>
          <w:p w:rsidR="004A7B35" w:rsidRPr="004A7B35" w:rsidRDefault="004A7B35" w:rsidP="004A7B35">
            <w:pPr>
              <w:pStyle w:val="ListParagraph"/>
              <w:numPr>
                <w:ilvl w:val="0"/>
                <w:numId w:val="1"/>
              </w:numPr>
              <w:rPr>
                <w:rFonts w:ascii="Calibri" w:eastAsia="Times New Roman" w:hAnsi="Calibri" w:cs="Calibri"/>
                <w:color w:val="000000"/>
                <w:lang w:eastAsia="en-GB"/>
              </w:rPr>
            </w:pPr>
            <w:r w:rsidRPr="004A7B35">
              <w:rPr>
                <w:rFonts w:ascii="Calibri" w:eastAsia="Times New Roman" w:hAnsi="Calibri" w:cs="Calibri"/>
                <w:color w:val="000000"/>
                <w:lang w:eastAsia="en-GB"/>
              </w:rPr>
              <w:t>Statin therapy unless contraindicated/not tolerated</w:t>
            </w:r>
          </w:p>
        </w:tc>
        <w:tc>
          <w:tcPr>
            <w:tcW w:w="2835" w:type="dxa"/>
            <w:noWrap/>
            <w:hideMark/>
          </w:tcPr>
          <w:p w:rsidR="004A7B35" w:rsidRPr="008E1CFD" w:rsidRDefault="008E1CFD" w:rsidP="008E1CFD">
            <w:pPr>
              <w:pStyle w:val="ListParagraph"/>
              <w:numPr>
                <w:ilvl w:val="0"/>
                <w:numId w:val="1"/>
              </w:numPr>
              <w:rPr>
                <w:rFonts w:ascii="Calibri" w:eastAsia="Times New Roman" w:hAnsi="Calibri" w:cs="Calibri"/>
                <w:color w:val="000000"/>
                <w:lang w:eastAsia="en-GB"/>
              </w:rPr>
            </w:pPr>
            <w:r w:rsidRPr="00020DBF">
              <w:rPr>
                <w:rFonts w:ascii="Calibri" w:eastAsia="Times New Roman" w:hAnsi="Calibri" w:cs="Calibri"/>
                <w:b/>
                <w:color w:val="000000"/>
                <w:lang w:eastAsia="en-GB"/>
              </w:rPr>
              <w:t>HbA1c</w:t>
            </w:r>
            <w:r w:rsidRPr="008E1CFD">
              <w:rPr>
                <w:rFonts w:ascii="Calibri" w:eastAsia="Times New Roman" w:hAnsi="Calibri" w:cs="Calibri"/>
                <w:color w:val="000000"/>
                <w:lang w:eastAsia="en-GB"/>
              </w:rPr>
              <w:t xml:space="preserve"> &lt;58</w:t>
            </w:r>
            <w:r>
              <w:rPr>
                <w:rFonts w:ascii="Calibri" w:eastAsia="Times New Roman" w:hAnsi="Calibri" w:cs="Calibri"/>
                <w:color w:val="000000"/>
                <w:lang w:eastAsia="en-GB"/>
              </w:rPr>
              <w:t xml:space="preserve"> </w:t>
            </w:r>
            <w:r w:rsidRPr="008E1CFD">
              <w:rPr>
                <w:rFonts w:ascii="Calibri" w:eastAsia="Times New Roman" w:hAnsi="Calibri" w:cs="Calibri"/>
                <w:color w:val="000000"/>
                <w:lang w:eastAsia="en-GB"/>
              </w:rPr>
              <w:t>mmol/mol (&lt;7.5%), but ≥42 mmol/mol (≥ 6%)</w:t>
            </w:r>
          </w:p>
          <w:p w:rsidR="008E1CFD" w:rsidRPr="008E1CFD" w:rsidRDefault="008E1CFD" w:rsidP="008E1CFD">
            <w:pPr>
              <w:pStyle w:val="ListParagraph"/>
              <w:numPr>
                <w:ilvl w:val="0"/>
                <w:numId w:val="1"/>
              </w:numPr>
              <w:rPr>
                <w:rFonts w:ascii="Calibri" w:eastAsia="Times New Roman" w:hAnsi="Calibri" w:cs="Calibri"/>
                <w:color w:val="000000"/>
                <w:lang w:eastAsia="en-GB"/>
              </w:rPr>
            </w:pPr>
            <w:r w:rsidRPr="00020DBF">
              <w:rPr>
                <w:rFonts w:ascii="Calibri" w:eastAsia="Times New Roman" w:hAnsi="Calibri" w:cs="Calibri"/>
                <w:b/>
                <w:color w:val="000000"/>
                <w:lang w:eastAsia="en-GB"/>
              </w:rPr>
              <w:t xml:space="preserve">FPG </w:t>
            </w:r>
            <w:r w:rsidRPr="008E1CFD">
              <w:rPr>
                <w:rFonts w:ascii="Calibri" w:eastAsia="Times New Roman" w:hAnsi="Calibri" w:cs="Calibri"/>
                <w:color w:val="000000"/>
                <w:lang w:eastAsia="en-GB"/>
              </w:rPr>
              <w:t>5.0-7.2 mmol/L</w:t>
            </w:r>
          </w:p>
          <w:p w:rsidR="008E1CFD" w:rsidRPr="008E1CFD" w:rsidRDefault="008E1CFD" w:rsidP="008E1CFD">
            <w:pPr>
              <w:pStyle w:val="ListParagraph"/>
              <w:numPr>
                <w:ilvl w:val="0"/>
                <w:numId w:val="1"/>
              </w:numPr>
              <w:rPr>
                <w:rFonts w:ascii="Calibri" w:eastAsia="Times New Roman" w:hAnsi="Calibri" w:cs="Calibri"/>
                <w:color w:val="000000"/>
                <w:lang w:eastAsia="en-GB"/>
              </w:rPr>
            </w:pPr>
            <w:r w:rsidRPr="00020DBF">
              <w:rPr>
                <w:rFonts w:ascii="Calibri" w:eastAsia="Times New Roman" w:hAnsi="Calibri" w:cs="Calibri"/>
                <w:b/>
                <w:color w:val="000000"/>
                <w:lang w:eastAsia="en-GB"/>
              </w:rPr>
              <w:t>BP</w:t>
            </w:r>
            <w:r w:rsidRPr="008E1CFD">
              <w:rPr>
                <w:rFonts w:ascii="Calibri" w:eastAsia="Times New Roman" w:hAnsi="Calibri" w:cs="Calibri"/>
                <w:color w:val="000000"/>
                <w:lang w:eastAsia="en-GB"/>
              </w:rPr>
              <w:t xml:space="preserve"> &lt; 140/90 mmHg</w:t>
            </w:r>
          </w:p>
        </w:tc>
        <w:tc>
          <w:tcPr>
            <w:tcW w:w="384" w:type="dxa"/>
            <w:noWrap/>
            <w:hideMark/>
          </w:tcPr>
          <w:p w:rsidR="004A7B35" w:rsidRPr="004A7B35" w:rsidRDefault="004A7B35" w:rsidP="004A7B35">
            <w:pPr>
              <w:rPr>
                <w:rFonts w:ascii="Calibri" w:eastAsia="Times New Roman" w:hAnsi="Calibri" w:cs="Calibri"/>
                <w:color w:val="000000"/>
                <w:lang w:eastAsia="en-GB"/>
              </w:rPr>
            </w:pPr>
          </w:p>
        </w:tc>
      </w:tr>
      <w:tr w:rsidR="004A7B35" w:rsidRPr="004A7B35" w:rsidTr="00C85B2B">
        <w:trPr>
          <w:cnfStyle w:val="000000100000" w:firstRow="0" w:lastRow="0" w:firstColumn="0" w:lastColumn="0" w:oddVBand="0" w:evenVBand="0" w:oddHBand="1" w:evenHBand="0" w:firstRowFirstColumn="0" w:firstRowLastColumn="0" w:lastRowFirstColumn="0" w:lastRowLastColumn="0"/>
          <w:trHeight w:val="1047"/>
        </w:trPr>
        <w:tc>
          <w:tcPr>
            <w:cnfStyle w:val="001000000000" w:firstRow="0" w:lastRow="0" w:firstColumn="1" w:lastColumn="0" w:oddVBand="0" w:evenVBand="0" w:oddHBand="0" w:evenHBand="0" w:firstRowFirstColumn="0" w:firstRowLastColumn="0" w:lastRowFirstColumn="0" w:lastRowLastColumn="0"/>
            <w:tcW w:w="1650" w:type="dxa"/>
            <w:hideMark/>
          </w:tcPr>
          <w:p w:rsidR="004A7B35" w:rsidRPr="004A7B35" w:rsidRDefault="004A7B35" w:rsidP="004A7B35">
            <w:pPr>
              <w:rPr>
                <w:rFonts w:ascii="Calibri" w:eastAsia="Times New Roman" w:hAnsi="Calibri" w:cs="Calibri"/>
                <w:color w:val="000000"/>
                <w:lang w:eastAsia="en-GB"/>
              </w:rPr>
            </w:pPr>
            <w:r w:rsidRPr="004A7B35">
              <w:rPr>
                <w:rFonts w:ascii="Calibri" w:eastAsia="Times New Roman" w:hAnsi="Calibri" w:cs="Calibri"/>
                <w:color w:val="000000"/>
                <w:lang w:eastAsia="en-GB"/>
              </w:rPr>
              <w:t>Moderate frailty</w:t>
            </w:r>
          </w:p>
        </w:tc>
        <w:tc>
          <w:tcPr>
            <w:tcW w:w="1118" w:type="dxa"/>
            <w:hideMark/>
          </w:tcPr>
          <w:p w:rsidR="004A7B35" w:rsidRPr="004A7B35" w:rsidRDefault="00C85B2B" w:rsidP="004A7B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0.24-0.36</w:t>
            </w:r>
          </w:p>
        </w:tc>
        <w:tc>
          <w:tcPr>
            <w:tcW w:w="2233" w:type="dxa"/>
            <w:hideMark/>
          </w:tcPr>
          <w:p w:rsidR="004A7B35" w:rsidRPr="004A7B35" w:rsidRDefault="004A7B35" w:rsidP="004A7B35">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4A7B35">
              <w:rPr>
                <w:rFonts w:ascii="Calibri" w:eastAsia="Times New Roman" w:hAnsi="Calibri" w:cs="Calibri"/>
                <w:color w:val="000000"/>
                <w:lang w:eastAsia="en-GB"/>
              </w:rPr>
              <w:t>&gt;2 comorbidities</w:t>
            </w:r>
          </w:p>
          <w:p w:rsidR="004A7B35" w:rsidRPr="004A7B35" w:rsidRDefault="004A7B35" w:rsidP="004A7B35">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4A7B35">
              <w:rPr>
                <w:rFonts w:ascii="Calibri" w:eastAsia="Times New Roman" w:hAnsi="Calibri" w:cs="Calibri"/>
                <w:color w:val="000000"/>
                <w:lang w:eastAsia="en-GB"/>
              </w:rPr>
              <w:t>Reduced life expectancy</w:t>
            </w:r>
          </w:p>
        </w:tc>
        <w:tc>
          <w:tcPr>
            <w:tcW w:w="3519" w:type="dxa"/>
            <w:hideMark/>
          </w:tcPr>
          <w:p w:rsidR="004A7B35" w:rsidRPr="008E1CFD" w:rsidRDefault="008E1CFD" w:rsidP="008E1CFD">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8E1CFD">
              <w:rPr>
                <w:rFonts w:ascii="Calibri" w:eastAsia="Times New Roman" w:hAnsi="Calibri" w:cs="Calibri"/>
                <w:color w:val="000000"/>
                <w:lang w:eastAsia="en-GB"/>
              </w:rPr>
              <w:t>Prevent decline in QoL</w:t>
            </w:r>
          </w:p>
          <w:p w:rsidR="008E1CFD" w:rsidRPr="008E1CFD" w:rsidRDefault="008E1CFD" w:rsidP="008E1CFD">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8E1CFD">
              <w:rPr>
                <w:rFonts w:ascii="Calibri" w:eastAsia="Times New Roman" w:hAnsi="Calibri" w:cs="Calibri"/>
                <w:color w:val="000000"/>
                <w:lang w:eastAsia="en-GB"/>
              </w:rPr>
              <w:t>Limit the progression of microvascular complications</w:t>
            </w:r>
          </w:p>
          <w:p w:rsidR="008E1CFD" w:rsidRPr="008E1CFD" w:rsidRDefault="008E1CFD" w:rsidP="008E1CFD">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8E1CFD">
              <w:rPr>
                <w:rFonts w:ascii="Calibri" w:eastAsia="Times New Roman" w:hAnsi="Calibri" w:cs="Calibri"/>
                <w:color w:val="000000"/>
                <w:lang w:eastAsia="en-GB"/>
              </w:rPr>
              <w:t>Avoid metabolic emergencies such as hypoglycaemia</w:t>
            </w:r>
          </w:p>
        </w:tc>
        <w:tc>
          <w:tcPr>
            <w:tcW w:w="3686" w:type="dxa"/>
            <w:noWrap/>
            <w:hideMark/>
          </w:tcPr>
          <w:p w:rsidR="004A7B35" w:rsidRPr="004A7B35" w:rsidRDefault="004A7B35" w:rsidP="004A7B35">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4A7B35">
              <w:rPr>
                <w:rFonts w:ascii="Calibri" w:eastAsia="Times New Roman" w:hAnsi="Calibri" w:cs="Calibri"/>
                <w:color w:val="000000"/>
                <w:lang w:eastAsia="en-GB"/>
              </w:rPr>
              <w:t>Glycaemic control</w:t>
            </w:r>
          </w:p>
          <w:p w:rsidR="004A7B35" w:rsidRPr="004A7B35" w:rsidRDefault="004A7B35" w:rsidP="004A7B35">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4A7B35">
              <w:rPr>
                <w:rFonts w:ascii="Calibri" w:eastAsia="Times New Roman" w:hAnsi="Calibri" w:cs="Calibri"/>
                <w:color w:val="000000"/>
                <w:lang w:eastAsia="en-GB"/>
              </w:rPr>
              <w:t xml:space="preserve">Assess and </w:t>
            </w:r>
            <w:r w:rsidRPr="004A7B35">
              <w:rPr>
                <w:rFonts w:ascii="Calibri" w:eastAsia="Times New Roman" w:hAnsi="Calibri" w:cs="Calibri"/>
                <w:color w:val="000000"/>
                <w:lang w:eastAsia="en-GB"/>
              </w:rPr>
              <w:t>reduce cognitive decline</w:t>
            </w:r>
          </w:p>
          <w:p w:rsidR="004A7B35" w:rsidRPr="004A7B35" w:rsidRDefault="004A7B35" w:rsidP="004A7B35">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4A7B35">
              <w:rPr>
                <w:rFonts w:ascii="Calibri" w:eastAsia="Times New Roman" w:hAnsi="Calibri" w:cs="Calibri"/>
                <w:color w:val="000000"/>
                <w:lang w:eastAsia="en-GB"/>
              </w:rPr>
              <w:t>Statin therapy unless contraindicated/not tolerated</w:t>
            </w:r>
          </w:p>
        </w:tc>
        <w:tc>
          <w:tcPr>
            <w:tcW w:w="2835" w:type="dxa"/>
            <w:noWrap/>
            <w:hideMark/>
          </w:tcPr>
          <w:p w:rsidR="008E1CFD" w:rsidRDefault="008E1CFD" w:rsidP="008E1CFD">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020DBF">
              <w:rPr>
                <w:rFonts w:ascii="Calibri" w:eastAsia="Times New Roman" w:hAnsi="Calibri" w:cs="Calibri"/>
                <w:b/>
                <w:color w:val="000000"/>
                <w:lang w:eastAsia="en-GB"/>
              </w:rPr>
              <w:t xml:space="preserve">HbA1c </w:t>
            </w:r>
            <w:r w:rsidRPr="008E1CFD">
              <w:rPr>
                <w:rFonts w:ascii="Calibri" w:eastAsia="Times New Roman" w:hAnsi="Calibri" w:cs="Calibri"/>
                <w:color w:val="000000"/>
                <w:lang w:eastAsia="en-GB"/>
              </w:rPr>
              <w:t>&lt;</w:t>
            </w:r>
            <w:r w:rsidRPr="008E1CFD">
              <w:rPr>
                <w:rFonts w:ascii="Calibri" w:eastAsia="Times New Roman" w:hAnsi="Calibri" w:cs="Calibri"/>
                <w:color w:val="000000"/>
                <w:lang w:eastAsia="en-GB"/>
              </w:rPr>
              <w:t xml:space="preserve">64 </w:t>
            </w:r>
            <w:r w:rsidRPr="008E1CFD">
              <w:rPr>
                <w:rFonts w:ascii="Calibri" w:eastAsia="Times New Roman" w:hAnsi="Calibri" w:cs="Calibri"/>
                <w:color w:val="000000"/>
                <w:lang w:eastAsia="en-GB"/>
              </w:rPr>
              <w:t>mmol/mol (&lt;</w:t>
            </w:r>
            <w:r w:rsidRPr="008E1CFD">
              <w:rPr>
                <w:rFonts w:ascii="Calibri" w:eastAsia="Times New Roman" w:hAnsi="Calibri" w:cs="Calibri"/>
                <w:color w:val="000000"/>
                <w:lang w:eastAsia="en-GB"/>
              </w:rPr>
              <w:t>8</w:t>
            </w:r>
            <w:r w:rsidRPr="008E1CFD">
              <w:rPr>
                <w:rFonts w:ascii="Calibri" w:eastAsia="Times New Roman" w:hAnsi="Calibri" w:cs="Calibri"/>
                <w:color w:val="000000"/>
                <w:lang w:eastAsia="en-GB"/>
              </w:rPr>
              <w:t xml:space="preserve">%), </w:t>
            </w:r>
          </w:p>
          <w:p w:rsidR="008E1CFD" w:rsidRPr="008E1CFD" w:rsidRDefault="008E1CFD" w:rsidP="008E1CFD">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020DBF">
              <w:rPr>
                <w:rFonts w:ascii="Calibri" w:eastAsia="Times New Roman" w:hAnsi="Calibri" w:cs="Calibri"/>
                <w:b/>
                <w:color w:val="000000"/>
                <w:lang w:eastAsia="en-GB"/>
              </w:rPr>
              <w:t>FPG</w:t>
            </w:r>
            <w:r w:rsidRPr="008E1CFD">
              <w:rPr>
                <w:rFonts w:ascii="Calibri" w:eastAsia="Times New Roman" w:hAnsi="Calibri" w:cs="Calibri"/>
                <w:color w:val="000000"/>
                <w:lang w:eastAsia="en-GB"/>
              </w:rPr>
              <w:t xml:space="preserve"> </w:t>
            </w:r>
            <w:r>
              <w:rPr>
                <w:rFonts w:ascii="Calibri" w:eastAsia="Times New Roman" w:hAnsi="Calibri" w:cs="Calibri"/>
                <w:color w:val="000000"/>
                <w:lang w:eastAsia="en-GB"/>
              </w:rPr>
              <w:t>6.0-8.3</w:t>
            </w:r>
            <w:r w:rsidRPr="008E1CFD">
              <w:rPr>
                <w:rFonts w:ascii="Calibri" w:eastAsia="Times New Roman" w:hAnsi="Calibri" w:cs="Calibri"/>
                <w:color w:val="000000"/>
                <w:lang w:eastAsia="en-GB"/>
              </w:rPr>
              <w:t xml:space="preserve"> mmol/L</w:t>
            </w:r>
          </w:p>
          <w:p w:rsidR="004A7B35" w:rsidRPr="008E1CFD" w:rsidRDefault="008E1CFD" w:rsidP="008E1CFD">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020DBF">
              <w:rPr>
                <w:rFonts w:ascii="Calibri" w:eastAsia="Times New Roman" w:hAnsi="Calibri" w:cs="Calibri"/>
                <w:b/>
                <w:color w:val="000000"/>
                <w:lang w:eastAsia="en-GB"/>
              </w:rPr>
              <w:t>BP</w:t>
            </w:r>
            <w:r w:rsidRPr="008E1CFD">
              <w:rPr>
                <w:rFonts w:ascii="Calibri" w:eastAsia="Times New Roman" w:hAnsi="Calibri" w:cs="Calibri"/>
                <w:color w:val="000000"/>
                <w:lang w:eastAsia="en-GB"/>
              </w:rPr>
              <w:t xml:space="preserve"> &lt; 140/90 mmHg</w:t>
            </w:r>
          </w:p>
        </w:tc>
        <w:tc>
          <w:tcPr>
            <w:tcW w:w="384" w:type="dxa"/>
            <w:noWrap/>
            <w:hideMark/>
          </w:tcPr>
          <w:p w:rsidR="004A7B35" w:rsidRPr="004A7B35" w:rsidRDefault="004A7B35" w:rsidP="004A7B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r>
      <w:tr w:rsidR="004A7B35" w:rsidRPr="004A7B35" w:rsidTr="00C85B2B">
        <w:trPr>
          <w:trHeight w:val="1989"/>
        </w:trPr>
        <w:tc>
          <w:tcPr>
            <w:cnfStyle w:val="001000000000" w:firstRow="0" w:lastRow="0" w:firstColumn="1" w:lastColumn="0" w:oddVBand="0" w:evenVBand="0" w:oddHBand="0" w:evenHBand="0" w:firstRowFirstColumn="0" w:firstRowLastColumn="0" w:lastRowFirstColumn="0" w:lastRowLastColumn="0"/>
            <w:tcW w:w="1650" w:type="dxa"/>
            <w:hideMark/>
          </w:tcPr>
          <w:p w:rsidR="004A7B35" w:rsidRPr="004A7B35" w:rsidRDefault="004A7B35" w:rsidP="004A7B35">
            <w:pPr>
              <w:rPr>
                <w:rFonts w:ascii="Calibri" w:eastAsia="Times New Roman" w:hAnsi="Calibri" w:cs="Calibri"/>
                <w:color w:val="000000"/>
                <w:lang w:eastAsia="en-GB"/>
              </w:rPr>
            </w:pPr>
            <w:r w:rsidRPr="004A7B35">
              <w:rPr>
                <w:rFonts w:ascii="Calibri" w:eastAsia="Times New Roman" w:hAnsi="Calibri" w:cs="Calibri"/>
                <w:color w:val="000000"/>
                <w:lang w:eastAsia="en-GB"/>
              </w:rPr>
              <w:t>Severe frailty</w:t>
            </w:r>
          </w:p>
        </w:tc>
        <w:tc>
          <w:tcPr>
            <w:tcW w:w="1118" w:type="dxa"/>
            <w:hideMark/>
          </w:tcPr>
          <w:p w:rsidR="004A7B35" w:rsidRPr="004A7B35" w:rsidRDefault="00C85B2B" w:rsidP="004A7B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&gt;0.36</w:t>
            </w:r>
          </w:p>
        </w:tc>
        <w:tc>
          <w:tcPr>
            <w:tcW w:w="2233" w:type="dxa"/>
            <w:hideMark/>
          </w:tcPr>
          <w:p w:rsidR="008E1CFD" w:rsidRPr="008E1CFD" w:rsidRDefault="004A7B35" w:rsidP="008E1CFD">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E1CFD">
              <w:rPr>
                <w:rFonts w:ascii="Calibri" w:eastAsia="Times New Roman" w:hAnsi="Calibri" w:cs="Calibri"/>
                <w:color w:val="000000"/>
                <w:lang w:eastAsia="en-GB"/>
              </w:rPr>
              <w:t>Significant comorbidity and functional def</w:t>
            </w:r>
            <w:r w:rsidR="008E1CFD" w:rsidRPr="008E1CFD">
              <w:rPr>
                <w:rFonts w:ascii="Calibri" w:eastAsia="Times New Roman" w:hAnsi="Calibri" w:cs="Calibri"/>
                <w:color w:val="000000"/>
                <w:lang w:eastAsia="en-GB"/>
              </w:rPr>
              <w:t>icits, and limited independence</w:t>
            </w:r>
          </w:p>
          <w:p w:rsidR="004A7B35" w:rsidRPr="008E1CFD" w:rsidRDefault="004A7B35" w:rsidP="008E1CFD">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E1CFD">
              <w:rPr>
                <w:rFonts w:ascii="Calibri" w:eastAsia="Times New Roman" w:hAnsi="Calibri" w:cs="Calibri"/>
                <w:color w:val="000000"/>
                <w:lang w:eastAsia="en-GB"/>
              </w:rPr>
              <w:t>Markedly reduced life expectancy</w:t>
            </w:r>
          </w:p>
        </w:tc>
        <w:tc>
          <w:tcPr>
            <w:tcW w:w="3519" w:type="dxa"/>
            <w:hideMark/>
          </w:tcPr>
          <w:p w:rsidR="004A7B35" w:rsidRPr="008E1CFD" w:rsidRDefault="008E1CFD" w:rsidP="008E1CFD">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E1CFD">
              <w:rPr>
                <w:rFonts w:ascii="Calibri" w:eastAsia="Times New Roman" w:hAnsi="Calibri" w:cs="Calibri"/>
                <w:color w:val="000000"/>
                <w:lang w:eastAsia="en-GB"/>
              </w:rPr>
              <w:t>Improve QoL by reducing symptoms or hospitalisations</w:t>
            </w:r>
          </w:p>
          <w:p w:rsidR="008E1CFD" w:rsidRPr="008E1CFD" w:rsidRDefault="008E1CFD" w:rsidP="008E1CFD">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E1CFD">
              <w:rPr>
                <w:rFonts w:ascii="Calibri" w:eastAsia="Times New Roman" w:hAnsi="Calibri" w:cs="Calibri"/>
                <w:color w:val="000000"/>
                <w:lang w:eastAsia="en-GB"/>
              </w:rPr>
              <w:t>Maintain functional sta</w:t>
            </w:r>
            <w:r w:rsidR="00C85B2B">
              <w:rPr>
                <w:rFonts w:ascii="Calibri" w:eastAsia="Times New Roman" w:hAnsi="Calibri" w:cs="Calibri"/>
                <w:color w:val="000000"/>
                <w:lang w:eastAsia="en-GB"/>
              </w:rPr>
              <w:t>t</w:t>
            </w:r>
            <w:r w:rsidRPr="008E1CFD">
              <w:rPr>
                <w:rFonts w:ascii="Calibri" w:eastAsia="Times New Roman" w:hAnsi="Calibri" w:cs="Calibri"/>
                <w:color w:val="000000"/>
                <w:lang w:eastAsia="en-GB"/>
              </w:rPr>
              <w:t>us, preventing further lower limb dysfunction, preventing significant disability</w:t>
            </w:r>
          </w:p>
        </w:tc>
        <w:tc>
          <w:tcPr>
            <w:tcW w:w="3686" w:type="dxa"/>
            <w:noWrap/>
            <w:hideMark/>
          </w:tcPr>
          <w:p w:rsidR="004A7B35" w:rsidRPr="004A7B35" w:rsidRDefault="004A7B35" w:rsidP="004A7B3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A7B35">
              <w:rPr>
                <w:rFonts w:ascii="Calibri" w:eastAsia="Times New Roman" w:hAnsi="Calibri" w:cs="Calibri"/>
                <w:color w:val="000000"/>
                <w:lang w:eastAsia="en-GB"/>
              </w:rPr>
              <w:t xml:space="preserve">Less aggressive glycaemic targets but avoid hypoglycaemia and be aware that hyperglycaemia can increase risk of infections and cause urinary incontinence, thirst </w:t>
            </w:r>
            <w:r w:rsidRPr="004A7B35">
              <w:rPr>
                <w:rFonts w:ascii="Calibri" w:eastAsia="Times New Roman" w:hAnsi="Calibri" w:cs="Calibri"/>
                <w:color w:val="000000"/>
                <w:lang w:eastAsia="en-GB"/>
              </w:rPr>
              <w:t xml:space="preserve">and dehydration </w:t>
            </w:r>
          </w:p>
          <w:p w:rsidR="004A7B35" w:rsidRPr="004A7B35" w:rsidRDefault="004A7B35" w:rsidP="004A7B3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A7B35">
              <w:rPr>
                <w:rFonts w:ascii="Calibri" w:eastAsia="Times New Roman" w:hAnsi="Calibri" w:cs="Calibri"/>
                <w:color w:val="000000"/>
                <w:lang w:eastAsia="en-GB"/>
              </w:rPr>
              <w:t>Consider whethe</w:t>
            </w:r>
            <w:r w:rsidRPr="004A7B35">
              <w:rPr>
                <w:rFonts w:ascii="Calibri" w:eastAsia="Times New Roman" w:hAnsi="Calibri" w:cs="Calibri"/>
                <w:color w:val="000000"/>
                <w:lang w:eastAsia="en-GB"/>
              </w:rPr>
              <w:t>r statin therapy is beneficial</w:t>
            </w:r>
          </w:p>
        </w:tc>
        <w:tc>
          <w:tcPr>
            <w:tcW w:w="2835" w:type="dxa"/>
            <w:noWrap/>
            <w:hideMark/>
          </w:tcPr>
          <w:p w:rsidR="008E1CFD" w:rsidRDefault="008E1CFD" w:rsidP="008E1CFD">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20DBF">
              <w:rPr>
                <w:rFonts w:ascii="Calibri" w:eastAsia="Times New Roman" w:hAnsi="Calibri" w:cs="Calibri"/>
                <w:b/>
                <w:color w:val="000000"/>
                <w:lang w:eastAsia="en-GB"/>
              </w:rPr>
              <w:t>HbA1c &lt;</w:t>
            </w:r>
            <w:r w:rsidRPr="00020DBF">
              <w:rPr>
                <w:rFonts w:ascii="Calibri" w:eastAsia="Times New Roman" w:hAnsi="Calibri" w:cs="Calibri"/>
                <w:b/>
                <w:color w:val="000000"/>
                <w:lang w:eastAsia="en-GB"/>
              </w:rPr>
              <w:t>69</w:t>
            </w:r>
            <w:r w:rsidRPr="00020DBF">
              <w:rPr>
                <w:rFonts w:ascii="Calibri" w:eastAsia="Times New Roman" w:hAnsi="Calibri" w:cs="Calibri"/>
                <w:b/>
                <w:color w:val="000000"/>
                <w:lang w:eastAsia="en-GB"/>
              </w:rPr>
              <w:t xml:space="preserve"> </w:t>
            </w:r>
            <w:r w:rsidRPr="008E1CFD">
              <w:rPr>
                <w:rFonts w:ascii="Calibri" w:eastAsia="Times New Roman" w:hAnsi="Calibri" w:cs="Calibri"/>
                <w:color w:val="000000"/>
                <w:lang w:eastAsia="en-GB"/>
              </w:rPr>
              <w:t>mmol/mol (&lt;8</w:t>
            </w:r>
            <w:r>
              <w:rPr>
                <w:rFonts w:ascii="Calibri" w:eastAsia="Times New Roman" w:hAnsi="Calibri" w:cs="Calibri"/>
                <w:color w:val="000000"/>
                <w:lang w:eastAsia="en-GB"/>
              </w:rPr>
              <w:t>.5</w:t>
            </w:r>
            <w:r w:rsidRPr="008E1CFD">
              <w:rPr>
                <w:rFonts w:ascii="Calibri" w:eastAsia="Times New Roman" w:hAnsi="Calibri" w:cs="Calibri"/>
                <w:color w:val="000000"/>
                <w:lang w:eastAsia="en-GB"/>
              </w:rPr>
              <w:t xml:space="preserve">%), </w:t>
            </w:r>
          </w:p>
          <w:p w:rsidR="008E1CFD" w:rsidRPr="008E1CFD" w:rsidRDefault="008E1CFD" w:rsidP="008E1CFD">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20DBF">
              <w:rPr>
                <w:rFonts w:ascii="Calibri" w:eastAsia="Times New Roman" w:hAnsi="Calibri" w:cs="Calibri"/>
                <w:b/>
                <w:color w:val="000000"/>
                <w:lang w:eastAsia="en-GB"/>
              </w:rPr>
              <w:t>FPG</w:t>
            </w:r>
            <w:r w:rsidRPr="008E1CFD">
              <w:rPr>
                <w:rFonts w:ascii="Calibri" w:eastAsia="Times New Roman" w:hAnsi="Calibri" w:cs="Calibri"/>
                <w:color w:val="000000"/>
                <w:lang w:eastAsia="en-GB"/>
              </w:rPr>
              <w:t xml:space="preserve"> </w:t>
            </w:r>
            <w:r>
              <w:rPr>
                <w:rFonts w:ascii="Calibri" w:eastAsia="Times New Roman" w:hAnsi="Calibri" w:cs="Calibri"/>
                <w:color w:val="000000"/>
                <w:lang w:eastAsia="en-GB"/>
              </w:rPr>
              <w:t>7-10</w:t>
            </w:r>
            <w:r w:rsidRPr="008E1CFD">
              <w:rPr>
                <w:rFonts w:ascii="Calibri" w:eastAsia="Times New Roman" w:hAnsi="Calibri" w:cs="Calibri"/>
                <w:color w:val="000000"/>
                <w:lang w:eastAsia="en-GB"/>
              </w:rPr>
              <w:t xml:space="preserve"> mmol/L</w:t>
            </w:r>
          </w:p>
          <w:p w:rsidR="004A7B35" w:rsidRPr="008E1CFD" w:rsidRDefault="008E1CFD" w:rsidP="008E1CFD">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20DBF">
              <w:rPr>
                <w:rFonts w:ascii="Calibri" w:eastAsia="Times New Roman" w:hAnsi="Calibri" w:cs="Calibri"/>
                <w:b/>
                <w:color w:val="000000"/>
                <w:lang w:eastAsia="en-GB"/>
              </w:rPr>
              <w:t>BP</w:t>
            </w:r>
            <w:r>
              <w:rPr>
                <w:rFonts w:ascii="Calibri" w:eastAsia="Times New Roman" w:hAnsi="Calibri" w:cs="Calibri"/>
                <w:color w:val="000000"/>
                <w:lang w:eastAsia="en-GB"/>
              </w:rPr>
              <w:t xml:space="preserve"> &lt; 15</w:t>
            </w:r>
            <w:r w:rsidRPr="008E1CFD">
              <w:rPr>
                <w:rFonts w:ascii="Calibri" w:eastAsia="Times New Roman" w:hAnsi="Calibri" w:cs="Calibri"/>
                <w:color w:val="000000"/>
                <w:lang w:eastAsia="en-GB"/>
              </w:rPr>
              <w:t>0/90 mmHg</w:t>
            </w:r>
          </w:p>
        </w:tc>
        <w:tc>
          <w:tcPr>
            <w:tcW w:w="384" w:type="dxa"/>
            <w:noWrap/>
            <w:hideMark/>
          </w:tcPr>
          <w:p w:rsidR="004A7B35" w:rsidRPr="004A7B35" w:rsidRDefault="004A7B35" w:rsidP="004A7B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r>
      <w:tr w:rsidR="00C85B2B" w:rsidRPr="004A7B35" w:rsidTr="00C85B2B">
        <w:trPr>
          <w:cnfStyle w:val="000000100000" w:firstRow="0" w:lastRow="0" w:firstColumn="0" w:lastColumn="0" w:oddVBand="0" w:evenVBand="0" w:oddHBand="1" w:evenHBand="0" w:firstRowFirstColumn="0" w:firstRowLastColumn="0" w:lastRowFirstColumn="0" w:lastRowLastColumn="0"/>
          <w:trHeight w:val="993"/>
        </w:trPr>
        <w:tc>
          <w:tcPr>
            <w:cnfStyle w:val="001000000000" w:firstRow="0" w:lastRow="0" w:firstColumn="1" w:lastColumn="0" w:oddVBand="0" w:evenVBand="0" w:oddHBand="0" w:evenHBand="0" w:firstRowFirstColumn="0" w:firstRowLastColumn="0" w:lastRowFirstColumn="0" w:lastRowLastColumn="0"/>
            <w:tcW w:w="15425" w:type="dxa"/>
            <w:gridSpan w:val="7"/>
          </w:tcPr>
          <w:p w:rsidR="00C85B2B" w:rsidRPr="00C85B2B" w:rsidRDefault="00C85B2B" w:rsidP="004A7B35">
            <w:pPr>
              <w:rPr>
                <w:rFonts w:ascii="Calibri" w:eastAsia="Times New Roman" w:hAnsi="Calibri" w:cs="Calibri"/>
                <w:color w:val="000000"/>
                <w:sz w:val="20"/>
                <w:szCs w:val="20"/>
                <w:lang w:eastAsia="en-GB"/>
              </w:rPr>
            </w:pPr>
            <w:r w:rsidRPr="00C85B2B">
              <w:rPr>
                <w:rFonts w:ascii="Calibri" w:eastAsia="Times New Roman" w:hAnsi="Calibri" w:cs="Calibri"/>
                <w:color w:val="000000"/>
                <w:sz w:val="20"/>
                <w:szCs w:val="20"/>
                <w:lang w:eastAsia="en-GB"/>
              </w:rPr>
              <w:t>A significant part of clinical decision making in older people with diabetes involves consideration of their frailty status, but this will vary in importance depending on the presence of other factors including severe comorbidity, vascular complications and cognitive impairment.</w:t>
            </w:r>
          </w:p>
          <w:p w:rsidR="00C85B2B" w:rsidRPr="00C85B2B" w:rsidRDefault="00C85B2B" w:rsidP="004A7B35">
            <w:pPr>
              <w:rPr>
                <w:rFonts w:ascii="Calibri" w:eastAsia="Times New Roman" w:hAnsi="Calibri" w:cs="Calibri"/>
                <w:b w:val="0"/>
                <w:color w:val="000000"/>
                <w:lang w:eastAsia="en-GB"/>
              </w:rPr>
            </w:pPr>
            <w:r w:rsidRPr="001865E1">
              <w:rPr>
                <w:rFonts w:ascii="Calibri" w:eastAsia="Times New Roman" w:hAnsi="Calibri" w:cs="Calibri"/>
                <w:color w:val="000000"/>
                <w:sz w:val="20"/>
                <w:szCs w:val="20"/>
                <w:lang w:eastAsia="en-GB"/>
              </w:rPr>
              <w:t xml:space="preserve">BP </w:t>
            </w:r>
            <w:r w:rsidRPr="00C85B2B">
              <w:rPr>
                <w:rFonts w:ascii="Calibri" w:eastAsia="Times New Roman" w:hAnsi="Calibri" w:cs="Calibri"/>
                <w:b w:val="0"/>
                <w:color w:val="000000"/>
                <w:sz w:val="20"/>
                <w:szCs w:val="20"/>
                <w:lang w:eastAsia="en-GB"/>
              </w:rPr>
              <w:t xml:space="preserve">blood pressure, </w:t>
            </w:r>
            <w:r w:rsidRPr="001865E1">
              <w:rPr>
                <w:rFonts w:ascii="Calibri" w:eastAsia="Times New Roman" w:hAnsi="Calibri" w:cs="Calibri"/>
                <w:color w:val="000000"/>
                <w:sz w:val="20"/>
                <w:szCs w:val="20"/>
                <w:lang w:eastAsia="en-GB"/>
              </w:rPr>
              <w:t>FPG</w:t>
            </w:r>
            <w:r w:rsidRPr="00C85B2B">
              <w:rPr>
                <w:rFonts w:ascii="Calibri" w:eastAsia="Times New Roman" w:hAnsi="Calibri" w:cs="Calibri"/>
                <w:b w:val="0"/>
                <w:color w:val="000000"/>
                <w:sz w:val="20"/>
                <w:szCs w:val="20"/>
                <w:lang w:eastAsia="en-GB"/>
              </w:rPr>
              <w:t xml:space="preserve"> fasting plasma glucose, </w:t>
            </w:r>
            <w:r w:rsidRPr="001865E1">
              <w:rPr>
                <w:rFonts w:ascii="Calibri" w:eastAsia="Times New Roman" w:hAnsi="Calibri" w:cs="Calibri"/>
                <w:color w:val="000000"/>
                <w:sz w:val="20"/>
                <w:szCs w:val="20"/>
                <w:lang w:eastAsia="en-GB"/>
              </w:rPr>
              <w:t xml:space="preserve">QoL </w:t>
            </w:r>
            <w:r w:rsidRPr="00C85B2B">
              <w:rPr>
                <w:rFonts w:ascii="Calibri" w:eastAsia="Times New Roman" w:hAnsi="Calibri" w:cs="Calibri"/>
                <w:b w:val="0"/>
                <w:color w:val="000000"/>
                <w:sz w:val="20"/>
                <w:szCs w:val="20"/>
                <w:lang w:eastAsia="en-GB"/>
              </w:rPr>
              <w:t>quality of life</w:t>
            </w:r>
          </w:p>
        </w:tc>
      </w:tr>
    </w:tbl>
    <w:p w:rsidR="0060774E" w:rsidRDefault="00020DBF">
      <w:bookmarkStart w:id="0" w:name="_GoBack"/>
      <w:bookmarkEnd w:id="0"/>
    </w:p>
    <w:sectPr w:rsidR="0060774E" w:rsidSect="00C85B2B">
      <w:pgSz w:w="16838" w:h="11906" w:orient="landscape"/>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45782"/>
    <w:multiLevelType w:val="hybridMultilevel"/>
    <w:tmpl w:val="3D845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8FD6221"/>
    <w:multiLevelType w:val="hybridMultilevel"/>
    <w:tmpl w:val="7F067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F716D40"/>
    <w:multiLevelType w:val="hybridMultilevel"/>
    <w:tmpl w:val="1E981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DA0110"/>
    <w:multiLevelType w:val="hybridMultilevel"/>
    <w:tmpl w:val="A192D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8B00FDB"/>
    <w:multiLevelType w:val="hybridMultilevel"/>
    <w:tmpl w:val="B5E6C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F576F3B"/>
    <w:multiLevelType w:val="hybridMultilevel"/>
    <w:tmpl w:val="8DCEC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B35"/>
    <w:rsid w:val="00020DBF"/>
    <w:rsid w:val="001258DF"/>
    <w:rsid w:val="001865E1"/>
    <w:rsid w:val="003C68AA"/>
    <w:rsid w:val="00446E7E"/>
    <w:rsid w:val="004A7B35"/>
    <w:rsid w:val="00633CA8"/>
    <w:rsid w:val="008E1CFD"/>
    <w:rsid w:val="00C85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C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B35"/>
    <w:pPr>
      <w:ind w:left="720"/>
      <w:contextualSpacing/>
    </w:pPr>
  </w:style>
  <w:style w:type="table" w:styleId="MediumList1-Accent5">
    <w:name w:val="Medium List 1 Accent 5"/>
    <w:basedOn w:val="TableNormal"/>
    <w:uiPriority w:val="65"/>
    <w:rsid w:val="00C85B2B"/>
    <w:pPr>
      <w:spacing w:after="0" w:line="240" w:lineRule="auto"/>
    </w:pPr>
    <w:rPr>
      <w:color w:val="000000" w:themeColor="text1"/>
    </w:rPr>
    <w:tblPr>
      <w:tblStyleRowBandSize w:val="1"/>
      <w:tblStyleColBandSize w:val="1"/>
      <w:tblBorders>
        <w:top w:val="single" w:sz="8" w:space="0" w:color="7E6BC9" w:themeColor="accent5"/>
        <w:bottom w:val="single" w:sz="8" w:space="0" w:color="7E6BC9" w:themeColor="accent5"/>
      </w:tblBorders>
    </w:tblPr>
    <w:tblStylePr w:type="firstRow">
      <w:rPr>
        <w:rFonts w:asciiTheme="majorHAnsi" w:eastAsiaTheme="majorEastAsia" w:hAnsiTheme="majorHAnsi" w:cstheme="majorBidi"/>
      </w:rPr>
      <w:tblPr/>
      <w:tcPr>
        <w:tcBorders>
          <w:top w:val="nil"/>
          <w:bottom w:val="single" w:sz="8" w:space="0" w:color="7E6BC9" w:themeColor="accent5"/>
        </w:tcBorders>
      </w:tcPr>
    </w:tblStylePr>
    <w:tblStylePr w:type="lastRow">
      <w:rPr>
        <w:b/>
        <w:bCs/>
        <w:color w:val="69676D" w:themeColor="text2"/>
      </w:rPr>
      <w:tblPr/>
      <w:tcPr>
        <w:tcBorders>
          <w:top w:val="single" w:sz="8" w:space="0" w:color="7E6BC9" w:themeColor="accent5"/>
          <w:bottom w:val="single" w:sz="8" w:space="0" w:color="7E6BC9" w:themeColor="accent5"/>
        </w:tcBorders>
      </w:tcPr>
    </w:tblStylePr>
    <w:tblStylePr w:type="firstCol">
      <w:rPr>
        <w:b/>
        <w:bCs/>
      </w:rPr>
    </w:tblStylePr>
    <w:tblStylePr w:type="lastCol">
      <w:rPr>
        <w:b/>
        <w:bCs/>
      </w:rPr>
      <w:tblPr/>
      <w:tcPr>
        <w:tcBorders>
          <w:top w:val="single" w:sz="8" w:space="0" w:color="7E6BC9" w:themeColor="accent5"/>
          <w:bottom w:val="single" w:sz="8" w:space="0" w:color="7E6BC9" w:themeColor="accent5"/>
        </w:tcBorders>
      </w:tcPr>
    </w:tblStylePr>
    <w:tblStylePr w:type="band1Vert">
      <w:tblPr/>
      <w:tcPr>
        <w:shd w:val="clear" w:color="auto" w:fill="DFDAF1" w:themeFill="accent5" w:themeFillTint="3F"/>
      </w:tcPr>
    </w:tblStylePr>
    <w:tblStylePr w:type="band1Horz">
      <w:tblPr/>
      <w:tcPr>
        <w:shd w:val="clear" w:color="auto" w:fill="DFDAF1" w:themeFill="accent5" w:themeFillTint="3F"/>
      </w:tcPr>
    </w:tblStylePr>
  </w:style>
  <w:style w:type="table" w:styleId="LightShading-Accent6">
    <w:name w:val="Light Shading Accent 6"/>
    <w:basedOn w:val="TableNormal"/>
    <w:uiPriority w:val="60"/>
    <w:rsid w:val="00C85B2B"/>
    <w:pPr>
      <w:spacing w:after="0" w:line="240" w:lineRule="auto"/>
    </w:pPr>
    <w:rPr>
      <w:color w:val="7D4D98" w:themeColor="accent6" w:themeShade="BF"/>
    </w:rPr>
    <w:tblPr>
      <w:tblStyleRowBandSize w:val="1"/>
      <w:tblStyleColBandSize w:val="1"/>
      <w:tblBorders>
        <w:top w:val="single" w:sz="8" w:space="0" w:color="A379BB" w:themeColor="accent6"/>
        <w:bottom w:val="single" w:sz="8" w:space="0" w:color="A379BB" w:themeColor="accent6"/>
      </w:tblBorders>
    </w:tblPr>
    <w:tblStylePr w:type="firstRow">
      <w:pPr>
        <w:spacing w:before="0" w:after="0" w:line="240" w:lineRule="auto"/>
      </w:pPr>
      <w:rPr>
        <w:b/>
        <w:bCs/>
      </w:rPr>
      <w:tblPr/>
      <w:tcPr>
        <w:tcBorders>
          <w:top w:val="single" w:sz="8" w:space="0" w:color="A379BB" w:themeColor="accent6"/>
          <w:left w:val="nil"/>
          <w:bottom w:val="single" w:sz="8" w:space="0" w:color="A379BB" w:themeColor="accent6"/>
          <w:right w:val="nil"/>
          <w:insideH w:val="nil"/>
          <w:insideV w:val="nil"/>
        </w:tcBorders>
      </w:tcPr>
    </w:tblStylePr>
    <w:tblStylePr w:type="lastRow">
      <w:pPr>
        <w:spacing w:before="0" w:after="0" w:line="240" w:lineRule="auto"/>
      </w:pPr>
      <w:rPr>
        <w:b/>
        <w:bCs/>
      </w:rPr>
      <w:tblPr/>
      <w:tcPr>
        <w:tcBorders>
          <w:top w:val="single" w:sz="8" w:space="0" w:color="A379BB" w:themeColor="accent6"/>
          <w:left w:val="nil"/>
          <w:bottom w:val="single" w:sz="8" w:space="0" w:color="A379B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DDEE" w:themeFill="accent6" w:themeFillTint="3F"/>
      </w:tcPr>
    </w:tblStylePr>
    <w:tblStylePr w:type="band1Horz">
      <w:tblPr/>
      <w:tcPr>
        <w:tcBorders>
          <w:left w:val="nil"/>
          <w:right w:val="nil"/>
          <w:insideH w:val="nil"/>
          <w:insideV w:val="nil"/>
        </w:tcBorders>
        <w:shd w:val="clear" w:color="auto" w:fill="E8DDEE" w:themeFill="accent6" w:themeFillTint="3F"/>
      </w:tcPr>
    </w:tblStylePr>
  </w:style>
  <w:style w:type="character" w:styleId="Hyperlink">
    <w:name w:val="Hyperlink"/>
    <w:basedOn w:val="DefaultParagraphFont"/>
    <w:uiPriority w:val="99"/>
    <w:unhideWhenUsed/>
    <w:rsid w:val="00C85B2B"/>
    <w:rPr>
      <w:color w:val="410082"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C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B35"/>
    <w:pPr>
      <w:ind w:left="720"/>
      <w:contextualSpacing/>
    </w:pPr>
  </w:style>
  <w:style w:type="table" w:styleId="MediumList1-Accent5">
    <w:name w:val="Medium List 1 Accent 5"/>
    <w:basedOn w:val="TableNormal"/>
    <w:uiPriority w:val="65"/>
    <w:rsid w:val="00C85B2B"/>
    <w:pPr>
      <w:spacing w:after="0" w:line="240" w:lineRule="auto"/>
    </w:pPr>
    <w:rPr>
      <w:color w:val="000000" w:themeColor="text1"/>
    </w:rPr>
    <w:tblPr>
      <w:tblStyleRowBandSize w:val="1"/>
      <w:tblStyleColBandSize w:val="1"/>
      <w:tblBorders>
        <w:top w:val="single" w:sz="8" w:space="0" w:color="7E6BC9" w:themeColor="accent5"/>
        <w:bottom w:val="single" w:sz="8" w:space="0" w:color="7E6BC9" w:themeColor="accent5"/>
      </w:tblBorders>
    </w:tblPr>
    <w:tblStylePr w:type="firstRow">
      <w:rPr>
        <w:rFonts w:asciiTheme="majorHAnsi" w:eastAsiaTheme="majorEastAsia" w:hAnsiTheme="majorHAnsi" w:cstheme="majorBidi"/>
      </w:rPr>
      <w:tblPr/>
      <w:tcPr>
        <w:tcBorders>
          <w:top w:val="nil"/>
          <w:bottom w:val="single" w:sz="8" w:space="0" w:color="7E6BC9" w:themeColor="accent5"/>
        </w:tcBorders>
      </w:tcPr>
    </w:tblStylePr>
    <w:tblStylePr w:type="lastRow">
      <w:rPr>
        <w:b/>
        <w:bCs/>
        <w:color w:val="69676D" w:themeColor="text2"/>
      </w:rPr>
      <w:tblPr/>
      <w:tcPr>
        <w:tcBorders>
          <w:top w:val="single" w:sz="8" w:space="0" w:color="7E6BC9" w:themeColor="accent5"/>
          <w:bottom w:val="single" w:sz="8" w:space="0" w:color="7E6BC9" w:themeColor="accent5"/>
        </w:tcBorders>
      </w:tcPr>
    </w:tblStylePr>
    <w:tblStylePr w:type="firstCol">
      <w:rPr>
        <w:b/>
        <w:bCs/>
      </w:rPr>
    </w:tblStylePr>
    <w:tblStylePr w:type="lastCol">
      <w:rPr>
        <w:b/>
        <w:bCs/>
      </w:rPr>
      <w:tblPr/>
      <w:tcPr>
        <w:tcBorders>
          <w:top w:val="single" w:sz="8" w:space="0" w:color="7E6BC9" w:themeColor="accent5"/>
          <w:bottom w:val="single" w:sz="8" w:space="0" w:color="7E6BC9" w:themeColor="accent5"/>
        </w:tcBorders>
      </w:tcPr>
    </w:tblStylePr>
    <w:tblStylePr w:type="band1Vert">
      <w:tblPr/>
      <w:tcPr>
        <w:shd w:val="clear" w:color="auto" w:fill="DFDAF1" w:themeFill="accent5" w:themeFillTint="3F"/>
      </w:tcPr>
    </w:tblStylePr>
    <w:tblStylePr w:type="band1Horz">
      <w:tblPr/>
      <w:tcPr>
        <w:shd w:val="clear" w:color="auto" w:fill="DFDAF1" w:themeFill="accent5" w:themeFillTint="3F"/>
      </w:tcPr>
    </w:tblStylePr>
  </w:style>
  <w:style w:type="table" w:styleId="LightShading-Accent6">
    <w:name w:val="Light Shading Accent 6"/>
    <w:basedOn w:val="TableNormal"/>
    <w:uiPriority w:val="60"/>
    <w:rsid w:val="00C85B2B"/>
    <w:pPr>
      <w:spacing w:after="0" w:line="240" w:lineRule="auto"/>
    </w:pPr>
    <w:rPr>
      <w:color w:val="7D4D98" w:themeColor="accent6" w:themeShade="BF"/>
    </w:rPr>
    <w:tblPr>
      <w:tblStyleRowBandSize w:val="1"/>
      <w:tblStyleColBandSize w:val="1"/>
      <w:tblBorders>
        <w:top w:val="single" w:sz="8" w:space="0" w:color="A379BB" w:themeColor="accent6"/>
        <w:bottom w:val="single" w:sz="8" w:space="0" w:color="A379BB" w:themeColor="accent6"/>
      </w:tblBorders>
    </w:tblPr>
    <w:tblStylePr w:type="firstRow">
      <w:pPr>
        <w:spacing w:before="0" w:after="0" w:line="240" w:lineRule="auto"/>
      </w:pPr>
      <w:rPr>
        <w:b/>
        <w:bCs/>
      </w:rPr>
      <w:tblPr/>
      <w:tcPr>
        <w:tcBorders>
          <w:top w:val="single" w:sz="8" w:space="0" w:color="A379BB" w:themeColor="accent6"/>
          <w:left w:val="nil"/>
          <w:bottom w:val="single" w:sz="8" w:space="0" w:color="A379BB" w:themeColor="accent6"/>
          <w:right w:val="nil"/>
          <w:insideH w:val="nil"/>
          <w:insideV w:val="nil"/>
        </w:tcBorders>
      </w:tcPr>
    </w:tblStylePr>
    <w:tblStylePr w:type="lastRow">
      <w:pPr>
        <w:spacing w:before="0" w:after="0" w:line="240" w:lineRule="auto"/>
      </w:pPr>
      <w:rPr>
        <w:b/>
        <w:bCs/>
      </w:rPr>
      <w:tblPr/>
      <w:tcPr>
        <w:tcBorders>
          <w:top w:val="single" w:sz="8" w:space="0" w:color="A379BB" w:themeColor="accent6"/>
          <w:left w:val="nil"/>
          <w:bottom w:val="single" w:sz="8" w:space="0" w:color="A379B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DDEE" w:themeFill="accent6" w:themeFillTint="3F"/>
      </w:tcPr>
    </w:tblStylePr>
    <w:tblStylePr w:type="band1Horz">
      <w:tblPr/>
      <w:tcPr>
        <w:tcBorders>
          <w:left w:val="nil"/>
          <w:right w:val="nil"/>
          <w:insideH w:val="nil"/>
          <w:insideV w:val="nil"/>
        </w:tcBorders>
        <w:shd w:val="clear" w:color="auto" w:fill="E8DDEE" w:themeFill="accent6" w:themeFillTint="3F"/>
      </w:tcPr>
    </w:tblStylePr>
  </w:style>
  <w:style w:type="character" w:styleId="Hyperlink">
    <w:name w:val="Hyperlink"/>
    <w:basedOn w:val="DefaultParagraphFont"/>
    <w:uiPriority w:val="99"/>
    <w:unhideWhenUsed/>
    <w:rsid w:val="00C85B2B"/>
    <w:rPr>
      <w:color w:val="41008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01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med.ncbi.nlm.nih.gov/3383040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Steve (Somerset CCG)</dc:creator>
  <cp:lastModifiedBy>Moore Steve (Somerset CCG)</cp:lastModifiedBy>
  <cp:revision>4</cp:revision>
  <dcterms:created xsi:type="dcterms:W3CDTF">2021-08-18T08:11:00Z</dcterms:created>
  <dcterms:modified xsi:type="dcterms:W3CDTF">2021-08-18T08:48:00Z</dcterms:modified>
</cp:coreProperties>
</file>