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748C" w14:textId="15435EEF" w:rsidR="006448BC" w:rsidRPr="000162EC" w:rsidRDefault="006A541B" w:rsidP="006448BC">
      <w:pPr>
        <w:pStyle w:val="Heading1"/>
        <w:rPr>
          <w:rFonts w:cs="Arial"/>
        </w:rPr>
      </w:pPr>
      <w:r>
        <w:rPr>
          <w:rFonts w:cs="Arial"/>
        </w:rPr>
        <w:t xml:space="preserve">    </w:t>
      </w:r>
      <w:r w:rsidR="006448BC" w:rsidRPr="000162EC">
        <w:rPr>
          <w:rFonts w:cs="Arial"/>
        </w:rPr>
        <w:t xml:space="preserve">Cannabidiol </w:t>
      </w:r>
      <w:r w:rsidR="00925A36">
        <w:rPr>
          <w:rFonts w:cs="Arial"/>
        </w:rPr>
        <w:t xml:space="preserve">oil </w:t>
      </w:r>
      <w:r w:rsidR="006448BC" w:rsidRPr="000162EC">
        <w:rPr>
          <w:rFonts w:cs="Arial"/>
        </w:rPr>
        <w:t>–</w:t>
      </w:r>
      <w:r w:rsidR="006448BC">
        <w:rPr>
          <w:rFonts w:cs="Arial"/>
        </w:rPr>
        <w:t xml:space="preserve"> </w:t>
      </w:r>
      <w:r w:rsidR="00925A36">
        <w:rPr>
          <w:rFonts w:cs="Arial"/>
        </w:rPr>
        <w:t xml:space="preserve">potential </w:t>
      </w:r>
      <w:r w:rsidR="006448BC">
        <w:rPr>
          <w:rFonts w:cs="Arial"/>
        </w:rPr>
        <w:t xml:space="preserve">adverse effects </w:t>
      </w:r>
    </w:p>
    <w:p w14:paraId="0223EC1D" w14:textId="099BB7FD" w:rsidR="00427F92" w:rsidRPr="000162EC" w:rsidRDefault="00427F92" w:rsidP="00427F92">
      <w:pPr>
        <w:pStyle w:val="NoSpacing"/>
        <w:jc w:val="center"/>
        <w:rPr>
          <w:rFonts w:cs="Arial"/>
          <w:szCs w:val="20"/>
          <w:lang w:val="en-US"/>
        </w:rPr>
      </w:pPr>
      <w:r w:rsidRPr="000162EC">
        <w:rPr>
          <w:rFonts w:cs="Arial"/>
          <w:szCs w:val="20"/>
          <w:lang w:val="en-US"/>
        </w:rPr>
        <w:br/>
        <w:t>Prepared by UK Medicines Information (</w:t>
      </w:r>
      <w:hyperlink r:id="rId8" w:history="1">
        <w:r w:rsidRPr="000162EC">
          <w:rPr>
            <w:rFonts w:cs="Arial"/>
            <w:color w:val="0000FF"/>
            <w:szCs w:val="20"/>
            <w:u w:val="single"/>
            <w:lang w:val="en-US"/>
          </w:rPr>
          <w:t>UKMi</w:t>
        </w:r>
      </w:hyperlink>
      <w:r w:rsidRPr="000162EC">
        <w:rPr>
          <w:rFonts w:cs="Arial"/>
          <w:szCs w:val="20"/>
          <w:lang w:val="en-US"/>
        </w:rPr>
        <w:t>) pharmacists for NHS healthcare professionals</w:t>
      </w:r>
    </w:p>
    <w:p w14:paraId="3725D26D" w14:textId="77777777" w:rsidR="00427F92" w:rsidRPr="000162EC" w:rsidRDefault="00427F92" w:rsidP="00427F92">
      <w:pPr>
        <w:pStyle w:val="NoSpacing"/>
        <w:jc w:val="center"/>
        <w:rPr>
          <w:rFonts w:eastAsia="Times New Roman" w:cs="Arial"/>
          <w:szCs w:val="20"/>
          <w:lang w:val="en-US"/>
        </w:rPr>
      </w:pPr>
      <w:r w:rsidRPr="000162EC">
        <w:rPr>
          <w:rFonts w:cs="Arial"/>
          <w:szCs w:val="20"/>
        </w:rPr>
        <w:t xml:space="preserve">Before using this Q&amp;A, read the disclaimer at </w:t>
      </w:r>
      <w:hyperlink r:id="rId9" w:history="1">
        <w:r w:rsidRPr="000162EC">
          <w:rPr>
            <w:rStyle w:val="Hyperlink"/>
            <w:rFonts w:cs="Arial"/>
            <w:i/>
            <w:iCs/>
            <w:szCs w:val="20"/>
          </w:rPr>
          <w:t>https://www.sps.nhs.uk/articles/about-ukmi-medicines-qas/</w:t>
        </w:r>
      </w:hyperlink>
    </w:p>
    <w:p w14:paraId="41067ACA" w14:textId="12F035C0" w:rsidR="00427F92" w:rsidRDefault="00427F92" w:rsidP="00427F92">
      <w:pPr>
        <w:pStyle w:val="NoSpacing"/>
        <w:jc w:val="center"/>
        <w:rPr>
          <w:rFonts w:cs="Arial"/>
          <w:szCs w:val="20"/>
          <w:lang w:val="en-US"/>
        </w:rPr>
      </w:pPr>
      <w:r w:rsidRPr="000162EC">
        <w:rPr>
          <w:rFonts w:cs="Arial"/>
          <w:szCs w:val="20"/>
          <w:lang w:val="en-US"/>
        </w:rPr>
        <w:t>Date prepared:</w:t>
      </w:r>
      <w:r w:rsidR="00A45706" w:rsidRPr="000162EC">
        <w:rPr>
          <w:rFonts w:cs="Arial"/>
          <w:szCs w:val="20"/>
          <w:lang w:val="en-US"/>
        </w:rPr>
        <w:t xml:space="preserve"> </w:t>
      </w:r>
      <w:r w:rsidR="00A237BB">
        <w:rPr>
          <w:rFonts w:cs="Arial"/>
          <w:szCs w:val="20"/>
          <w:lang w:val="en-US"/>
        </w:rPr>
        <w:t xml:space="preserve"> </w:t>
      </w:r>
      <w:r w:rsidR="00F7624C">
        <w:rPr>
          <w:rFonts w:cs="Arial"/>
          <w:szCs w:val="20"/>
          <w:lang w:val="en-US"/>
        </w:rPr>
        <w:t>24</w:t>
      </w:r>
      <w:r w:rsidR="00A469BC">
        <w:rPr>
          <w:rFonts w:cs="Arial"/>
          <w:szCs w:val="20"/>
          <w:lang w:val="en-US"/>
        </w:rPr>
        <w:t>th February</w:t>
      </w:r>
      <w:r w:rsidR="00A237BB">
        <w:rPr>
          <w:rFonts w:cs="Arial"/>
          <w:szCs w:val="20"/>
          <w:lang w:val="en-US"/>
        </w:rPr>
        <w:t xml:space="preserve"> 20</w:t>
      </w:r>
      <w:r w:rsidR="00A469BC">
        <w:rPr>
          <w:rFonts w:cs="Arial"/>
          <w:szCs w:val="20"/>
          <w:lang w:val="en-US"/>
        </w:rPr>
        <w:t>20</w:t>
      </w:r>
      <w:r w:rsidR="007464CB">
        <w:rPr>
          <w:rFonts w:cs="Arial"/>
          <w:szCs w:val="20"/>
          <w:lang w:val="en-US"/>
        </w:rPr>
        <w:t xml:space="preserve"> </w:t>
      </w:r>
    </w:p>
    <w:p w14:paraId="246179BF" w14:textId="77777777" w:rsidR="00580DDA" w:rsidRPr="000162EC" w:rsidRDefault="00580DDA" w:rsidP="00427F92">
      <w:pPr>
        <w:pStyle w:val="NoSpacing"/>
        <w:jc w:val="center"/>
        <w:rPr>
          <w:rFonts w:cs="Arial"/>
          <w:szCs w:val="20"/>
          <w:lang w:val="en-US"/>
        </w:rPr>
      </w:pPr>
    </w:p>
    <w:p w14:paraId="30A16409" w14:textId="77777777" w:rsidR="00A0759D" w:rsidRPr="000162EC" w:rsidRDefault="00A0759D" w:rsidP="00A0759D">
      <w:pPr>
        <w:pStyle w:val="Heading2"/>
        <w:rPr>
          <w:rFonts w:cs="Arial"/>
          <w:sz w:val="20"/>
        </w:rPr>
      </w:pPr>
      <w:r w:rsidRPr="00AC66BE">
        <w:rPr>
          <w:rFonts w:cs="Arial"/>
          <w:sz w:val="22"/>
        </w:rPr>
        <w:t>Background</w:t>
      </w:r>
      <w:r>
        <w:rPr>
          <w:rFonts w:cs="Arial"/>
          <w:sz w:val="20"/>
        </w:rPr>
        <w:t xml:space="preserve"> </w:t>
      </w:r>
    </w:p>
    <w:p w14:paraId="3A878024" w14:textId="16E84C22" w:rsidR="0034554A" w:rsidRPr="000F0E29" w:rsidRDefault="0034554A" w:rsidP="00365889">
      <w:r w:rsidRPr="000F0E29">
        <w:t>The cannabis plant (</w:t>
      </w:r>
      <w:r w:rsidRPr="000F0E29">
        <w:rPr>
          <w:i/>
        </w:rPr>
        <w:t>Cannabis sativa)</w:t>
      </w:r>
      <w:r w:rsidRPr="000F0E29">
        <w:t xml:space="preserve"> contains over 100 constituents known as </w:t>
      </w:r>
      <w:r w:rsidR="009A6FF8" w:rsidRPr="000F0E29">
        <w:t>phyto</w:t>
      </w:r>
      <w:r w:rsidRPr="000F0E29">
        <w:t>cannabinoids.</w:t>
      </w:r>
      <w:r w:rsidR="00F07315">
        <w:t xml:space="preserve"> Over the past few decades t</w:t>
      </w:r>
      <w:r w:rsidRPr="000F0E29">
        <w:rPr>
          <w:rFonts w:eastAsiaTheme="minorHAnsi"/>
        </w:rPr>
        <w:t xml:space="preserve">here has been a vast expansion of research investigating </w:t>
      </w:r>
      <w:r w:rsidR="003E2C92" w:rsidRPr="000F0E29">
        <w:rPr>
          <w:rFonts w:eastAsiaTheme="minorHAnsi"/>
        </w:rPr>
        <w:t>its</w:t>
      </w:r>
      <w:r w:rsidRPr="000F0E29">
        <w:rPr>
          <w:rFonts w:eastAsiaTheme="minorHAnsi"/>
        </w:rPr>
        <w:t xml:space="preserve"> pharmacologic</w:t>
      </w:r>
      <w:r w:rsidR="003E2C92" w:rsidRPr="000F0E29">
        <w:rPr>
          <w:rFonts w:eastAsiaTheme="minorHAnsi"/>
        </w:rPr>
        <w:t>al</w:t>
      </w:r>
      <w:r w:rsidR="00F07315">
        <w:rPr>
          <w:rFonts w:eastAsiaTheme="minorHAnsi"/>
        </w:rPr>
        <w:t xml:space="preserve"> potential</w:t>
      </w:r>
      <w:r w:rsidR="00743C22">
        <w:rPr>
          <w:rFonts w:eastAsiaTheme="minorHAnsi"/>
        </w:rPr>
        <w:t xml:space="preserve">. </w:t>
      </w:r>
      <w:r w:rsidR="000C7231">
        <w:rPr>
          <w:rFonts w:eastAsiaTheme="minorHAnsi"/>
        </w:rPr>
        <w:t>T</w:t>
      </w:r>
      <w:r w:rsidR="000C7231" w:rsidRPr="000F0E29">
        <w:t>etrahydrocannabinol (THC</w:t>
      </w:r>
      <w:r w:rsidR="007A71E2">
        <w:t>) is responsible for the main psychotropic effect of cannabis</w:t>
      </w:r>
      <w:r w:rsidR="006D554E">
        <w:t>.</w:t>
      </w:r>
      <w:r w:rsidR="00743C22">
        <w:rPr>
          <w:rFonts w:eastAsiaTheme="minorHAnsi"/>
        </w:rPr>
        <w:t xml:space="preserve"> </w:t>
      </w:r>
      <w:r w:rsidR="005B1E85">
        <w:t>Mo</w:t>
      </w:r>
      <w:r w:rsidR="00C5320A">
        <w:t>st</w:t>
      </w:r>
      <w:r w:rsidRPr="000F0E29">
        <w:t xml:space="preserve"> recently cannabidiol (CBD), a non-psychoactive component, has been researched for its multi-modal properties in various medical conditions</w:t>
      </w:r>
      <w:r w:rsidR="00CF10B6">
        <w:t xml:space="preserve"> </w:t>
      </w:r>
      <w:r w:rsidR="004B2F19" w:rsidRPr="000F0E29">
        <w:t>(1</w:t>
      </w:r>
      <w:r w:rsidR="005237E6">
        <w:t>,</w:t>
      </w:r>
      <w:r w:rsidR="00456CAA">
        <w:t xml:space="preserve"> </w:t>
      </w:r>
      <w:r w:rsidR="005237E6">
        <w:t>2</w:t>
      </w:r>
      <w:r w:rsidR="004B2F19" w:rsidRPr="000F0E29">
        <w:t>)</w:t>
      </w:r>
      <w:r w:rsidR="00E0572A">
        <w:t>.</w:t>
      </w:r>
      <w:r w:rsidR="005B1E85">
        <w:t xml:space="preserve"> </w:t>
      </w:r>
      <w:r w:rsidRPr="000F0E29">
        <w:t>CBD contributes up to 40% of the extract of the plant</w:t>
      </w:r>
      <w:r w:rsidR="000F0E29" w:rsidRPr="000F0E29">
        <w:t xml:space="preserve"> (</w:t>
      </w:r>
      <w:r w:rsidR="005B1E85">
        <w:t>2</w:t>
      </w:r>
      <w:r w:rsidR="000F0E29" w:rsidRPr="000F0E29">
        <w:t>)</w:t>
      </w:r>
      <w:r w:rsidR="004E6933" w:rsidRPr="000F0E29">
        <w:t>;</w:t>
      </w:r>
      <w:r w:rsidR="000F0E29" w:rsidRPr="000F0E29">
        <w:t xml:space="preserve"> although</w:t>
      </w:r>
      <w:r w:rsidR="006723D0">
        <w:t xml:space="preserve"> concentrations</w:t>
      </w:r>
      <w:r w:rsidRPr="000F0E29">
        <w:t xml:space="preserve"> </w:t>
      </w:r>
      <w:r w:rsidR="000F0E29" w:rsidRPr="000F0E29">
        <w:t xml:space="preserve">of cannabinoids </w:t>
      </w:r>
      <w:r w:rsidRPr="000F0E29">
        <w:t>vary depending on the portion of the plant analysed, the pla</w:t>
      </w:r>
      <w:r w:rsidR="00E50A45">
        <w:t>nt phenotype and the condition</w:t>
      </w:r>
      <w:r w:rsidR="009F21E8">
        <w:t>s</w:t>
      </w:r>
      <w:r w:rsidR="00E50A45">
        <w:t xml:space="preserve"> </w:t>
      </w:r>
      <w:r w:rsidR="00326371">
        <w:t xml:space="preserve">in which </w:t>
      </w:r>
      <w:r w:rsidR="00671E18">
        <w:t xml:space="preserve">it was grown </w:t>
      </w:r>
      <w:r w:rsidR="004B2F19" w:rsidRPr="00D62A3C">
        <w:t>(</w:t>
      </w:r>
      <w:r w:rsidR="005B1E85">
        <w:t>3</w:t>
      </w:r>
      <w:r w:rsidR="004B2F19" w:rsidRPr="00D62A3C">
        <w:t>)</w:t>
      </w:r>
      <w:r w:rsidR="00671E18">
        <w:t>.</w:t>
      </w:r>
      <w:r w:rsidR="00D71E92">
        <w:t xml:space="preserve"> </w:t>
      </w:r>
      <w:r w:rsidR="00D71E92" w:rsidRPr="000F0E29">
        <w:t xml:space="preserve">CBD </w:t>
      </w:r>
      <w:r w:rsidR="00D71E92">
        <w:t xml:space="preserve">has been shown to interact with a number of endocannabinoid and non-endocannabinoid </w:t>
      </w:r>
      <w:r w:rsidR="000116B4">
        <w:t>signalling</w:t>
      </w:r>
      <w:r w:rsidR="00D71E92">
        <w:t xml:space="preserve"> systems. It </w:t>
      </w:r>
      <w:r w:rsidR="00D71E92" w:rsidRPr="000F0E29">
        <w:t>does not activate cannabinoid 1 and 2 receptors</w:t>
      </w:r>
      <w:r w:rsidR="00D71E92">
        <w:t xml:space="preserve"> u</w:t>
      </w:r>
      <w:r w:rsidR="00D71E92" w:rsidRPr="000F0E29">
        <w:t xml:space="preserve">nlike other cannabinoids, which </w:t>
      </w:r>
      <w:r w:rsidR="00D71E92">
        <w:t>is likely to</w:t>
      </w:r>
      <w:r w:rsidR="00D71E92" w:rsidRPr="000F0E29">
        <w:t xml:space="preserve"> explain its lack of psychotropic effect</w:t>
      </w:r>
      <w:r w:rsidR="00477215" w:rsidRPr="000F0E29">
        <w:t xml:space="preserve"> (</w:t>
      </w:r>
      <w:r w:rsidR="00961067">
        <w:t>4</w:t>
      </w:r>
      <w:r w:rsidR="00D71E92" w:rsidRPr="000F0E29">
        <w:t>)</w:t>
      </w:r>
      <w:r w:rsidR="00671E18">
        <w:t>.</w:t>
      </w:r>
      <w:r w:rsidR="00D71E92" w:rsidRPr="000F0E29">
        <w:t xml:space="preserve"> </w:t>
      </w:r>
    </w:p>
    <w:p w14:paraId="7B4BBADE" w14:textId="07E06F21" w:rsidR="0034554A" w:rsidRPr="000F0E29" w:rsidRDefault="0020376A" w:rsidP="00365889">
      <w:r w:rsidRPr="00911ACF">
        <w:rPr>
          <w:szCs w:val="20"/>
        </w:rPr>
        <w:t xml:space="preserve">This Q&amp;A focuses on CBD oil, distinct from </w:t>
      </w:r>
      <w:hyperlink r:id="rId10" w:history="1">
        <w:r w:rsidRPr="007A764A">
          <w:rPr>
            <w:rStyle w:val="Hyperlink"/>
            <w:szCs w:val="20"/>
          </w:rPr>
          <w:t>cannabis-</w:t>
        </w:r>
        <w:r w:rsidR="00BD4CF3" w:rsidRPr="007A764A">
          <w:rPr>
            <w:rStyle w:val="Hyperlink"/>
            <w:szCs w:val="20"/>
          </w:rPr>
          <w:t>based</w:t>
        </w:r>
        <w:r w:rsidRPr="007A764A">
          <w:rPr>
            <w:rStyle w:val="Hyperlink"/>
            <w:szCs w:val="20"/>
          </w:rPr>
          <w:t xml:space="preserve"> products for medicinal use</w:t>
        </w:r>
      </w:hyperlink>
      <w:r w:rsidR="009F21E8">
        <w:rPr>
          <w:szCs w:val="20"/>
        </w:rPr>
        <w:t>.</w:t>
      </w:r>
      <w:r w:rsidR="00E0572A">
        <w:rPr>
          <w:szCs w:val="20"/>
        </w:rPr>
        <w:t xml:space="preserve"> </w:t>
      </w:r>
      <w:r w:rsidR="009F21E8">
        <w:rPr>
          <w:szCs w:val="20"/>
        </w:rPr>
        <w:t>M</w:t>
      </w:r>
      <w:r w:rsidR="005D4098" w:rsidRPr="00911ACF">
        <w:rPr>
          <w:szCs w:val="20"/>
        </w:rPr>
        <w:t>ore information on cannabis-</w:t>
      </w:r>
      <w:r w:rsidR="00BD4CF3">
        <w:rPr>
          <w:szCs w:val="20"/>
        </w:rPr>
        <w:t>based</w:t>
      </w:r>
      <w:r w:rsidR="00BD4CF3" w:rsidRPr="00911ACF">
        <w:rPr>
          <w:szCs w:val="20"/>
        </w:rPr>
        <w:t xml:space="preserve"> </w:t>
      </w:r>
      <w:r w:rsidR="005D4098" w:rsidRPr="00911ACF">
        <w:rPr>
          <w:szCs w:val="20"/>
        </w:rPr>
        <w:t xml:space="preserve">products for </w:t>
      </w:r>
      <w:r w:rsidR="00911ACF">
        <w:rPr>
          <w:szCs w:val="20"/>
        </w:rPr>
        <w:t>members of the public and healthcare professionals</w:t>
      </w:r>
      <w:r w:rsidR="005D4098" w:rsidRPr="00911ACF">
        <w:rPr>
          <w:szCs w:val="20"/>
        </w:rPr>
        <w:t xml:space="preserve"> can be found on the </w:t>
      </w:r>
      <w:hyperlink r:id="rId11" w:history="1">
        <w:r w:rsidR="005D4098" w:rsidRPr="00911ACF">
          <w:rPr>
            <w:rStyle w:val="Hyperlink"/>
            <w:szCs w:val="20"/>
          </w:rPr>
          <w:t>NHS Choices website</w:t>
        </w:r>
      </w:hyperlink>
      <w:r w:rsidR="00911ACF" w:rsidRPr="00BD4CF3">
        <w:rPr>
          <w:rStyle w:val="CommentReference"/>
          <w:sz w:val="20"/>
          <w:szCs w:val="20"/>
        </w:rPr>
        <w:t xml:space="preserve"> and </w:t>
      </w:r>
      <w:hyperlink r:id="rId12" w:history="1">
        <w:r w:rsidR="00911ACF" w:rsidRPr="00BD4CF3">
          <w:rPr>
            <w:rStyle w:val="Hyperlink"/>
            <w:szCs w:val="20"/>
          </w:rPr>
          <w:t>NHS England website</w:t>
        </w:r>
      </w:hyperlink>
      <w:r w:rsidR="009F21E8">
        <w:rPr>
          <w:rStyle w:val="CommentReference"/>
          <w:sz w:val="20"/>
          <w:szCs w:val="20"/>
        </w:rPr>
        <w:t>.</w:t>
      </w:r>
      <w:r w:rsidRPr="000F0E29">
        <w:t xml:space="preserve"> </w:t>
      </w:r>
      <w:r w:rsidR="0034554A" w:rsidRPr="000F0E29">
        <w:t>CBD</w:t>
      </w:r>
      <w:r w:rsidR="005D41FA">
        <w:t xml:space="preserve"> oil</w:t>
      </w:r>
      <w:r w:rsidR="0034554A" w:rsidRPr="000F0E29">
        <w:t xml:space="preserve"> is commonly referred </w:t>
      </w:r>
      <w:r w:rsidR="003E2C92" w:rsidRPr="000F0E29">
        <w:t xml:space="preserve">to </w:t>
      </w:r>
      <w:r w:rsidR="004E574A">
        <w:t>as hemp seed oil</w:t>
      </w:r>
      <w:r w:rsidR="009F21E8">
        <w:t>,</w:t>
      </w:r>
      <w:r w:rsidR="004E574A">
        <w:t xml:space="preserve"> although </w:t>
      </w:r>
      <w:r w:rsidR="0034554A" w:rsidRPr="000F0E29">
        <w:t xml:space="preserve">they are two distinct products. CBD </w:t>
      </w:r>
      <w:r w:rsidR="009F21E8">
        <w:t xml:space="preserve">oil </w:t>
      </w:r>
      <w:r w:rsidR="0034554A" w:rsidRPr="000F0E29">
        <w:t>is typically extracted from flowering buds</w:t>
      </w:r>
      <w:r w:rsidR="004E6933" w:rsidRPr="000F0E29">
        <w:t xml:space="preserve"> of the cannabis plant</w:t>
      </w:r>
      <w:r w:rsidR="0034554A" w:rsidRPr="000F0E29">
        <w:t xml:space="preserve"> whereas hemp</w:t>
      </w:r>
      <w:r w:rsidR="000F0E29" w:rsidRPr="000F0E29">
        <w:t xml:space="preserve"> </w:t>
      </w:r>
      <w:r w:rsidR="0034554A" w:rsidRPr="000F0E29">
        <w:t>seed oil is</w:t>
      </w:r>
      <w:r w:rsidR="002856F3">
        <w:t xml:space="preserve"> derived from cold pressing of </w:t>
      </w:r>
      <w:r w:rsidR="00961067">
        <w:t xml:space="preserve">cannabis </w:t>
      </w:r>
      <w:r w:rsidR="008658F8">
        <w:br/>
      </w:r>
      <w:r w:rsidR="004E574A">
        <w:t xml:space="preserve">seeds </w:t>
      </w:r>
      <w:r w:rsidR="00DB05AA" w:rsidRPr="000F0E29">
        <w:t>(</w:t>
      </w:r>
      <w:r w:rsidR="003971E2">
        <w:t>5</w:t>
      </w:r>
      <w:r w:rsidR="00961067">
        <w:t>, 6</w:t>
      </w:r>
      <w:r w:rsidR="00DB05AA" w:rsidRPr="000F0E29">
        <w:t>)</w:t>
      </w:r>
      <w:r w:rsidR="00E0572A">
        <w:t>.</w:t>
      </w:r>
      <w:r w:rsidR="000C7231">
        <w:t xml:space="preserve"> </w:t>
      </w:r>
      <w:r w:rsidR="005D41FA">
        <w:t xml:space="preserve"> </w:t>
      </w:r>
    </w:p>
    <w:p w14:paraId="27EAB75C" w14:textId="4E4CF056" w:rsidR="00B86E3D" w:rsidRDefault="00B86E3D" w:rsidP="00B86E3D">
      <w:pPr>
        <w:rPr>
          <w:szCs w:val="20"/>
        </w:rPr>
      </w:pPr>
      <w:r>
        <w:t xml:space="preserve">Epidyolex® is a CBD-containing </w:t>
      </w:r>
      <w:r w:rsidR="005D2F06">
        <w:t xml:space="preserve">medicine </w:t>
      </w:r>
      <w:r w:rsidR="0059524A">
        <w:t>available only on prescription</w:t>
      </w:r>
      <w:r>
        <w:t xml:space="preserve"> </w:t>
      </w:r>
      <w:r w:rsidR="00B84C6C">
        <w:t xml:space="preserve">that </w:t>
      </w:r>
      <w:r>
        <w:t xml:space="preserve">has recently been approved for use by the </w:t>
      </w:r>
      <w:r>
        <w:rPr>
          <w:szCs w:val="20"/>
        </w:rPr>
        <w:t>National Institute for Health and Care Excellence (NICE)</w:t>
      </w:r>
      <w:r>
        <w:t xml:space="preserve"> in conjunction with clobazam as adjunctive therapy of seizures associated with Lennox</w:t>
      </w:r>
      <w:r>
        <w:noBreakHyphen/>
        <w:t xml:space="preserve">Gastaut syndrome or Dravet syndrome, for patients aged 2 and older (7,8). It is listed under Schedule 2 of the 2001 Regulations </w:t>
      </w:r>
      <w:r>
        <w:rPr>
          <w:rFonts w:cs="Arial"/>
          <w:szCs w:val="20"/>
          <w:lang w:val="en-US"/>
        </w:rPr>
        <w:t>(9)</w:t>
      </w:r>
      <w:r>
        <w:rPr>
          <w:szCs w:val="20"/>
        </w:rPr>
        <w:t xml:space="preserve">. </w:t>
      </w:r>
    </w:p>
    <w:p w14:paraId="782040AD" w14:textId="107A823F" w:rsidR="00D15E25" w:rsidRPr="00F31F49" w:rsidRDefault="005D2F06" w:rsidP="00D15E25">
      <w:pPr>
        <w:spacing w:after="0"/>
        <w:rPr>
          <w:b/>
        </w:rPr>
      </w:pPr>
      <w:r>
        <w:rPr>
          <w:b/>
        </w:rPr>
        <w:t>Non-prescription CBD products</w:t>
      </w:r>
    </w:p>
    <w:p w14:paraId="234CD607" w14:textId="2542E4FA" w:rsidR="00F123D5" w:rsidRDefault="00DA10AC" w:rsidP="00F123D5">
      <w:r>
        <w:rPr>
          <w:szCs w:val="20"/>
        </w:rPr>
        <w:t>In the UK</w:t>
      </w:r>
      <w:r w:rsidR="00F123D5">
        <w:rPr>
          <w:szCs w:val="20"/>
        </w:rPr>
        <w:t xml:space="preserve"> CBD-containing products </w:t>
      </w:r>
      <w:r w:rsidR="00F07315" w:rsidRPr="007B6075">
        <w:t xml:space="preserve">are </w:t>
      </w:r>
      <w:r w:rsidR="006C3B44">
        <w:t xml:space="preserve">also </w:t>
      </w:r>
      <w:r w:rsidR="00F07315" w:rsidRPr="007B6075">
        <w:t xml:space="preserve">sold as food supplements and are </w:t>
      </w:r>
      <w:r w:rsidR="00F07315">
        <w:t xml:space="preserve">available on the high street </w:t>
      </w:r>
      <w:r w:rsidR="00F07315" w:rsidRPr="007B6075">
        <w:t>(</w:t>
      </w:r>
      <w:r w:rsidR="00CF35B1">
        <w:t>1</w:t>
      </w:r>
      <w:r w:rsidR="00585ADC">
        <w:t>0</w:t>
      </w:r>
      <w:r w:rsidR="00F07315" w:rsidRPr="007B6075">
        <w:t>)</w:t>
      </w:r>
      <w:r w:rsidR="00E0572A">
        <w:t>.</w:t>
      </w:r>
      <w:r w:rsidR="00F07315" w:rsidRPr="007B6075">
        <w:t xml:space="preserve"> </w:t>
      </w:r>
      <w:r>
        <w:rPr>
          <w:szCs w:val="20"/>
        </w:rPr>
        <w:t>Since t</w:t>
      </w:r>
      <w:r w:rsidR="00D74554">
        <w:rPr>
          <w:szCs w:val="20"/>
        </w:rPr>
        <w:t xml:space="preserve">hese products </w:t>
      </w:r>
      <w:r w:rsidR="00D74554">
        <w:t xml:space="preserve">do not fall under the </w:t>
      </w:r>
      <w:r>
        <w:t xml:space="preserve">2012 </w:t>
      </w:r>
      <w:r w:rsidR="002141FF">
        <w:t>Human Medicines Regulation</w:t>
      </w:r>
      <w:r>
        <w:t>’</w:t>
      </w:r>
      <w:r w:rsidR="002141FF">
        <w:t>s</w:t>
      </w:r>
      <w:r w:rsidR="00D74554">
        <w:t xml:space="preserve"> definition of a medicinal product</w:t>
      </w:r>
      <w:r>
        <w:t>, they</w:t>
      </w:r>
      <w:r w:rsidR="00E0572A">
        <w:t xml:space="preserve"> </w:t>
      </w:r>
      <w:r w:rsidR="00D74554">
        <w:t xml:space="preserve">are not </w:t>
      </w:r>
      <w:r w:rsidR="002141FF">
        <w:t>requir</w:t>
      </w:r>
      <w:r w:rsidR="00D74554">
        <w:t>ed to meet good manufacturing practice, including safety, quality and efficacy standards</w:t>
      </w:r>
      <w:r>
        <w:t xml:space="preserve">. </w:t>
      </w:r>
      <w:r w:rsidR="00F22E5E">
        <w:t>A</w:t>
      </w:r>
      <w:r w:rsidR="00D15E25">
        <w:t>ny variation in</w:t>
      </w:r>
      <w:r w:rsidR="005D2F06">
        <w:t xml:space="preserve"> </w:t>
      </w:r>
      <w:r w:rsidR="000E0346">
        <w:t xml:space="preserve">the </w:t>
      </w:r>
      <w:r w:rsidR="005D2F06">
        <w:t xml:space="preserve">purity </w:t>
      </w:r>
      <w:r w:rsidR="00F22E5E">
        <w:t xml:space="preserve">of individual products </w:t>
      </w:r>
      <w:r w:rsidR="003B199A">
        <w:t>(</w:t>
      </w:r>
      <w:r w:rsidR="00F22E5E">
        <w:t>such as</w:t>
      </w:r>
      <w:r w:rsidR="003B199A">
        <w:t xml:space="preserve"> </w:t>
      </w:r>
      <w:r w:rsidR="00741D2C">
        <w:t xml:space="preserve">variation in the content of CBD or THC) </w:t>
      </w:r>
      <w:r w:rsidR="005D2F06">
        <w:t>could</w:t>
      </w:r>
      <w:r w:rsidR="00D15E25">
        <w:t xml:space="preserve"> </w:t>
      </w:r>
      <w:r w:rsidR="003B199A">
        <w:t>affect</w:t>
      </w:r>
      <w:r w:rsidR="00D15E25">
        <w:t xml:space="preserve"> </w:t>
      </w:r>
      <w:r w:rsidR="00F22E5E">
        <w:t xml:space="preserve">their </w:t>
      </w:r>
      <w:r w:rsidR="008C0168">
        <w:t xml:space="preserve">potential adverse effects or drug interactions. </w:t>
      </w:r>
      <w:r w:rsidR="00AA6171">
        <w:t xml:space="preserve">Based on findings by the government’s Committee on Toxicity (COT), </w:t>
      </w:r>
      <w:r w:rsidR="008C0168">
        <w:t xml:space="preserve">the </w:t>
      </w:r>
      <w:r w:rsidR="00A469BC">
        <w:t>F</w:t>
      </w:r>
      <w:r w:rsidR="0005694C">
        <w:t>ood Standards Agency (F</w:t>
      </w:r>
      <w:r w:rsidR="00A469BC">
        <w:t>S</w:t>
      </w:r>
      <w:r w:rsidR="008C0168">
        <w:t>A</w:t>
      </w:r>
      <w:r w:rsidR="0005694C">
        <w:t>)</w:t>
      </w:r>
      <w:r w:rsidR="00AA6171">
        <w:t xml:space="preserve"> is advising people who are pregnant, breastfeeding or taking any medication not to consume </w:t>
      </w:r>
      <w:r w:rsidR="000E0346">
        <w:t xml:space="preserve">non-prescription </w:t>
      </w:r>
      <w:r w:rsidR="00AA6171">
        <w:t xml:space="preserve">CBD products. Healthy adults are advised by the </w:t>
      </w:r>
      <w:r w:rsidR="00A469BC">
        <w:t>FS</w:t>
      </w:r>
      <w:r w:rsidR="00AA6171">
        <w:t xml:space="preserve">A to think carefully before taking CBD, and to keep their </w:t>
      </w:r>
      <w:r w:rsidR="0005694C">
        <w:t>daily intake at</w:t>
      </w:r>
      <w:r w:rsidR="000E0346">
        <w:t>,</w:t>
      </w:r>
      <w:r w:rsidR="0005694C">
        <w:t xml:space="preserve"> or below</w:t>
      </w:r>
      <w:r w:rsidR="000E0346">
        <w:t>,</w:t>
      </w:r>
      <w:r w:rsidR="0005694C">
        <w:t xml:space="preserve"> </w:t>
      </w:r>
      <w:r w:rsidR="00AA6171">
        <w:t>70mg (about 28 drops of 5% CBD) unless otherwise advised by a healthcare professional</w:t>
      </w:r>
      <w:r w:rsidR="00210E57">
        <w:t xml:space="preserve"> (11</w:t>
      </w:r>
      <w:r w:rsidR="00E15366">
        <w:t>).</w:t>
      </w:r>
      <w:r w:rsidR="005A7611">
        <w:t xml:space="preserve"> </w:t>
      </w:r>
      <w:r w:rsidR="00E15366">
        <w:rPr>
          <w:rFonts w:cs="Arial"/>
          <w:szCs w:val="20"/>
          <w:lang w:val="en-US"/>
        </w:rPr>
        <w:t>If a patient is self-administering CBD they should inform their doctor or pharmacist</w:t>
      </w:r>
      <w:r w:rsidR="00E15366">
        <w:t xml:space="preserve"> and it would be prudent for anyone wishing to use a CBD-containing supplement to obtain their supply from a reputable source. The FSA is also giving the CBD industry a deadline of the 31 March 2021 to submit valid novel food authorisation applications. This process ensures novel foods meet legal standards, including on safety and content. Only products which have a valid application will remain on the market after this time. </w:t>
      </w:r>
    </w:p>
    <w:p w14:paraId="7AF3121E" w14:textId="77777777" w:rsidR="008658F8" w:rsidRDefault="008658F8" w:rsidP="00F123D5"/>
    <w:p w14:paraId="4BD82B9D" w14:textId="6B0A5C70" w:rsidR="00CF1CC8" w:rsidRDefault="00910776" w:rsidP="00AF64C8">
      <w:pPr>
        <w:pStyle w:val="Heading2"/>
      </w:pPr>
      <w:r w:rsidRPr="00AC66BE">
        <w:rPr>
          <w:rFonts w:cs="Arial"/>
          <w:szCs w:val="24"/>
        </w:rPr>
        <w:lastRenderedPageBreak/>
        <w:t>Answer</w:t>
      </w:r>
    </w:p>
    <w:p w14:paraId="3F0E14DB" w14:textId="77777777" w:rsidR="00AC66BE" w:rsidRPr="000162EC" w:rsidRDefault="00AC66BE" w:rsidP="00AC66BE">
      <w:pPr>
        <w:pStyle w:val="Heading3"/>
      </w:pPr>
      <w:r>
        <w:t xml:space="preserve">Adverse effects </w:t>
      </w:r>
    </w:p>
    <w:p w14:paraId="07D113D9" w14:textId="6803A5D8" w:rsidR="008658F8" w:rsidRDefault="00534737" w:rsidP="00D62A3C">
      <w:pPr>
        <w:rPr>
          <w:rFonts w:cs="Arial"/>
          <w:szCs w:val="20"/>
          <w:lang w:val="en-US"/>
        </w:rPr>
      </w:pPr>
      <w:r>
        <w:rPr>
          <w:rFonts w:cs="Arial"/>
          <w:szCs w:val="20"/>
          <w:lang w:val="en-US"/>
        </w:rPr>
        <w:t xml:space="preserve">Safety was </w:t>
      </w:r>
      <w:r w:rsidR="007077BE">
        <w:rPr>
          <w:rFonts w:cs="Arial"/>
          <w:szCs w:val="20"/>
          <w:lang w:val="en-US"/>
        </w:rPr>
        <w:t>a focus</w:t>
      </w:r>
      <w:r>
        <w:rPr>
          <w:rFonts w:cs="Arial"/>
          <w:szCs w:val="20"/>
          <w:lang w:val="en-US"/>
        </w:rPr>
        <w:t xml:space="preserve"> of a meta</w:t>
      </w:r>
      <w:r w:rsidR="00D96643">
        <w:rPr>
          <w:rFonts w:cs="Arial"/>
          <w:szCs w:val="20"/>
          <w:lang w:val="en-US"/>
        </w:rPr>
        <w:t>-</w:t>
      </w:r>
      <w:r>
        <w:rPr>
          <w:rFonts w:cs="Arial"/>
          <w:szCs w:val="20"/>
          <w:lang w:val="en-US"/>
        </w:rPr>
        <w:t xml:space="preserve">analysis </w:t>
      </w:r>
      <w:r w:rsidR="00F14DA3">
        <w:rPr>
          <w:rFonts w:cs="Arial"/>
          <w:szCs w:val="20"/>
          <w:lang w:val="en-US"/>
        </w:rPr>
        <w:t xml:space="preserve">of studies </w:t>
      </w:r>
      <w:r w:rsidR="005A6F98">
        <w:rPr>
          <w:rFonts w:cs="Arial"/>
          <w:szCs w:val="20"/>
          <w:lang w:val="en-US"/>
        </w:rPr>
        <w:t xml:space="preserve">in which </w:t>
      </w:r>
      <w:r>
        <w:rPr>
          <w:rFonts w:cs="Arial"/>
          <w:szCs w:val="20"/>
          <w:lang w:val="en-US"/>
        </w:rPr>
        <w:t>patients with Dravet or Lennox-Gastaut syndromes</w:t>
      </w:r>
      <w:r w:rsidR="008658F8">
        <w:rPr>
          <w:rFonts w:cs="Arial"/>
          <w:szCs w:val="20"/>
          <w:lang w:val="en-US"/>
        </w:rPr>
        <w:t xml:space="preserve"> </w:t>
      </w:r>
      <w:r>
        <w:rPr>
          <w:rFonts w:cs="Arial"/>
          <w:szCs w:val="20"/>
          <w:lang w:val="en-US"/>
        </w:rPr>
        <w:t xml:space="preserve">received either placebo </w:t>
      </w:r>
      <w:r w:rsidR="007077BE">
        <w:rPr>
          <w:rFonts w:cs="Arial"/>
          <w:szCs w:val="20"/>
          <w:lang w:val="en-US"/>
        </w:rPr>
        <w:t xml:space="preserve">(n=227) </w:t>
      </w:r>
      <w:r>
        <w:rPr>
          <w:rFonts w:cs="Arial"/>
          <w:szCs w:val="20"/>
          <w:lang w:val="en-US"/>
        </w:rPr>
        <w:t xml:space="preserve">or </w:t>
      </w:r>
      <w:r w:rsidR="005A6F98">
        <w:rPr>
          <w:rFonts w:cs="Arial"/>
          <w:szCs w:val="20"/>
          <w:lang w:val="en-US"/>
        </w:rPr>
        <w:t xml:space="preserve">an oral purified CBD solution </w:t>
      </w:r>
      <w:r>
        <w:rPr>
          <w:rFonts w:cs="Arial"/>
          <w:szCs w:val="20"/>
          <w:lang w:val="en-US"/>
        </w:rPr>
        <w:t>(100mg/ml)</w:t>
      </w:r>
      <w:r w:rsidR="00177485">
        <w:rPr>
          <w:rFonts w:cs="Arial"/>
          <w:szCs w:val="20"/>
          <w:lang w:val="en-US"/>
        </w:rPr>
        <w:t xml:space="preserve"> (Epidiolex</w:t>
      </w:r>
      <w:r w:rsidR="00177485" w:rsidRPr="00AF64C8">
        <w:rPr>
          <w:rFonts w:cs="Arial"/>
          <w:szCs w:val="20"/>
          <w:vertAlign w:val="superscript"/>
          <w:lang w:val="en-US"/>
        </w:rPr>
        <w:t>®</w:t>
      </w:r>
      <w:r w:rsidR="00177485">
        <w:rPr>
          <w:rFonts w:cs="Arial"/>
          <w:szCs w:val="20"/>
          <w:lang w:val="en-US"/>
        </w:rPr>
        <w:t xml:space="preserve">, </w:t>
      </w:r>
      <w:r w:rsidR="00AA4620">
        <w:rPr>
          <w:rFonts w:cs="Arial"/>
          <w:szCs w:val="20"/>
          <w:lang w:val="en-US"/>
        </w:rPr>
        <w:t>US trade name for Epidyolex</w:t>
      </w:r>
      <w:r w:rsidR="00AA4620" w:rsidRPr="00AF64C8">
        <w:rPr>
          <w:rFonts w:cs="Arial"/>
          <w:szCs w:val="20"/>
          <w:vertAlign w:val="superscript"/>
          <w:lang w:val="en-US"/>
        </w:rPr>
        <w:t>®</w:t>
      </w:r>
      <w:r w:rsidR="00AA4620">
        <w:rPr>
          <w:rFonts w:cs="Arial"/>
          <w:szCs w:val="20"/>
          <w:lang w:val="en-US"/>
        </w:rPr>
        <w:t xml:space="preserve">) </w:t>
      </w:r>
      <w:r w:rsidR="008658F8">
        <w:rPr>
          <w:rFonts w:cs="Arial"/>
          <w:szCs w:val="20"/>
          <w:lang w:val="en-US"/>
        </w:rPr>
        <w:t>as adjunctive treatment to pre-existing antiepileptic regimens</w:t>
      </w:r>
      <w:r w:rsidR="007077BE">
        <w:rPr>
          <w:rFonts w:cs="Arial"/>
          <w:szCs w:val="20"/>
          <w:lang w:val="en-US"/>
        </w:rPr>
        <w:t xml:space="preserve"> (n=323)</w:t>
      </w:r>
      <w:r w:rsidR="00A70921">
        <w:rPr>
          <w:rFonts w:cs="Arial"/>
          <w:szCs w:val="20"/>
          <w:lang w:val="en-US"/>
        </w:rPr>
        <w:t xml:space="preserve"> (</w:t>
      </w:r>
      <w:r w:rsidR="00AC7475">
        <w:rPr>
          <w:rFonts w:cs="Arial"/>
          <w:szCs w:val="20"/>
          <w:lang w:val="en-US"/>
        </w:rPr>
        <w:t>1</w:t>
      </w:r>
      <w:r w:rsidR="00CA17A5">
        <w:rPr>
          <w:rFonts w:cs="Arial"/>
          <w:szCs w:val="20"/>
          <w:lang w:val="en-US"/>
        </w:rPr>
        <w:t>2</w:t>
      </w:r>
      <w:r w:rsidR="000C674C">
        <w:rPr>
          <w:rFonts w:cs="Arial"/>
          <w:szCs w:val="20"/>
          <w:lang w:val="en-US"/>
        </w:rPr>
        <w:t>,13</w:t>
      </w:r>
      <w:r w:rsidR="00A70921">
        <w:rPr>
          <w:rFonts w:cs="Arial"/>
          <w:szCs w:val="20"/>
          <w:lang w:val="en-US"/>
        </w:rPr>
        <w:t>)</w:t>
      </w:r>
      <w:r>
        <w:rPr>
          <w:rFonts w:cs="Arial"/>
          <w:szCs w:val="20"/>
          <w:lang w:val="en-US"/>
        </w:rPr>
        <w:t xml:space="preserve">. Of the four included studies, one looked at the </w:t>
      </w:r>
      <w:r w:rsidR="00F14DA3">
        <w:rPr>
          <w:rFonts w:cs="Arial"/>
          <w:szCs w:val="20"/>
          <w:lang w:val="en-US"/>
        </w:rPr>
        <w:t xml:space="preserve">safety </w:t>
      </w:r>
      <w:r>
        <w:rPr>
          <w:rFonts w:cs="Arial"/>
          <w:szCs w:val="20"/>
          <w:lang w:val="en-US"/>
        </w:rPr>
        <w:t xml:space="preserve">of add-on CBD </w:t>
      </w:r>
      <w:r w:rsidR="00F14DA3">
        <w:rPr>
          <w:rFonts w:cs="Arial"/>
          <w:szCs w:val="20"/>
          <w:lang w:val="en-US"/>
        </w:rPr>
        <w:t xml:space="preserve">in a range of doses </w:t>
      </w:r>
      <w:r>
        <w:rPr>
          <w:rFonts w:cs="Arial"/>
          <w:szCs w:val="20"/>
          <w:lang w:val="en-US"/>
        </w:rPr>
        <w:t>in pa</w:t>
      </w:r>
      <w:r w:rsidR="00F14DA3">
        <w:rPr>
          <w:rFonts w:cs="Arial"/>
          <w:szCs w:val="20"/>
          <w:lang w:val="en-US"/>
        </w:rPr>
        <w:t>tients with Dravet syndrome. T</w:t>
      </w:r>
      <w:r w:rsidR="00E57F45">
        <w:rPr>
          <w:rFonts w:cs="Arial"/>
          <w:szCs w:val="20"/>
          <w:lang w:val="en-US"/>
        </w:rPr>
        <w:t>he other three</w:t>
      </w:r>
      <w:r w:rsidR="00F14DA3">
        <w:rPr>
          <w:rFonts w:cs="Arial"/>
          <w:szCs w:val="20"/>
          <w:lang w:val="en-US"/>
        </w:rPr>
        <w:t xml:space="preserve"> </w:t>
      </w:r>
      <w:r w:rsidR="00E57F45">
        <w:rPr>
          <w:rFonts w:cs="Arial"/>
          <w:szCs w:val="20"/>
          <w:lang w:val="en-US"/>
        </w:rPr>
        <w:t>investigated</w:t>
      </w:r>
      <w:r>
        <w:rPr>
          <w:rFonts w:cs="Arial"/>
          <w:szCs w:val="20"/>
          <w:lang w:val="en-US"/>
        </w:rPr>
        <w:t xml:space="preserve"> the safety and efficacy of twice daily add-on CBD in Dravet and Lennox-Gastaut syndromes. </w:t>
      </w:r>
      <w:r w:rsidR="000B5DB8">
        <w:rPr>
          <w:rFonts w:cs="Arial"/>
          <w:szCs w:val="20"/>
          <w:lang w:val="en-US"/>
        </w:rPr>
        <w:t>Adverse effec</w:t>
      </w:r>
      <w:r w:rsidR="007077BE">
        <w:rPr>
          <w:rFonts w:cs="Arial"/>
          <w:szCs w:val="20"/>
          <w:lang w:val="en-US"/>
        </w:rPr>
        <w:t>ts for which the incidence rates for CBD and placebo were found to be statistically significantly different are listed below</w:t>
      </w:r>
      <w:r w:rsidR="00C22719">
        <w:rPr>
          <w:rFonts w:cs="Arial"/>
          <w:szCs w:val="20"/>
          <w:lang w:val="en-US"/>
        </w:rPr>
        <w:t xml:space="preserve"> (</w:t>
      </w:r>
      <w:r w:rsidR="00AC7475">
        <w:rPr>
          <w:rFonts w:cs="Arial"/>
          <w:szCs w:val="20"/>
          <w:lang w:val="en-US"/>
        </w:rPr>
        <w:t>1</w:t>
      </w:r>
      <w:r w:rsidR="000C674C">
        <w:rPr>
          <w:rFonts w:cs="Arial"/>
          <w:szCs w:val="20"/>
          <w:lang w:val="en-US"/>
        </w:rPr>
        <w:t>3</w:t>
      </w:r>
      <w:r w:rsidR="00EC1093">
        <w:rPr>
          <w:rFonts w:cs="Arial"/>
          <w:szCs w:val="20"/>
          <w:lang w:val="en-US"/>
        </w:rPr>
        <w:t>)</w:t>
      </w:r>
      <w:r w:rsidR="002D259A">
        <w:rPr>
          <w:rFonts w:cs="Arial"/>
          <w:szCs w:val="20"/>
          <w:lang w:val="en-US"/>
        </w:rPr>
        <w:t xml:space="preserve"> (GWPCARE1 Part A;GWPCARE1 Part B;GWPCARE3;GWPCARE4)</w:t>
      </w:r>
      <w:r w:rsidR="00EC1093">
        <w:rPr>
          <w:rFonts w:cs="Arial"/>
          <w:szCs w:val="20"/>
          <w:lang w:val="en-US"/>
        </w:rPr>
        <w:t xml:space="preserve"> (1</w:t>
      </w:r>
      <w:r w:rsidR="000C674C">
        <w:rPr>
          <w:rFonts w:cs="Arial"/>
          <w:szCs w:val="20"/>
          <w:lang w:val="en-US"/>
        </w:rPr>
        <w:t>4</w:t>
      </w:r>
      <w:r w:rsidR="00EC1093">
        <w:rPr>
          <w:rFonts w:cs="Arial"/>
          <w:szCs w:val="20"/>
          <w:lang w:val="en-US"/>
        </w:rPr>
        <w:t>-1</w:t>
      </w:r>
      <w:r w:rsidR="000C674C">
        <w:rPr>
          <w:rFonts w:cs="Arial"/>
          <w:szCs w:val="20"/>
          <w:lang w:val="en-US"/>
        </w:rPr>
        <w:t>7</w:t>
      </w:r>
      <w:r w:rsidR="00EC1093">
        <w:rPr>
          <w:rFonts w:cs="Arial"/>
          <w:szCs w:val="20"/>
          <w:lang w:val="en-US"/>
        </w:rPr>
        <w:t>)</w:t>
      </w:r>
      <w:r w:rsidR="00C22719">
        <w:rPr>
          <w:rFonts w:cs="Arial"/>
          <w:szCs w:val="20"/>
          <w:lang w:val="en-US"/>
        </w:rPr>
        <w:t>)</w:t>
      </w:r>
      <w:r w:rsidR="007077BE">
        <w:rPr>
          <w:rFonts w:cs="Arial"/>
          <w:szCs w:val="20"/>
          <w:lang w:val="en-US"/>
        </w:rPr>
        <w:t>:</w:t>
      </w:r>
    </w:p>
    <w:tbl>
      <w:tblPr>
        <w:tblStyle w:val="TableGrid"/>
        <w:tblW w:w="0" w:type="auto"/>
        <w:tblLook w:val="04A0" w:firstRow="1" w:lastRow="0" w:firstColumn="1" w:lastColumn="0" w:noHBand="0" w:noVBand="1"/>
      </w:tblPr>
      <w:tblGrid>
        <w:gridCol w:w="4390"/>
        <w:gridCol w:w="1701"/>
        <w:gridCol w:w="1701"/>
        <w:gridCol w:w="1224"/>
      </w:tblGrid>
      <w:tr w:rsidR="00F14DA3" w:rsidRPr="00B42B22" w14:paraId="7F7F8009" w14:textId="6DB63EB3" w:rsidTr="00BC07EF">
        <w:trPr>
          <w:trHeight w:val="329"/>
        </w:trPr>
        <w:tc>
          <w:tcPr>
            <w:tcW w:w="4390" w:type="dxa"/>
          </w:tcPr>
          <w:p w14:paraId="2115B5A6" w14:textId="00BAF08C" w:rsidR="00F14DA3" w:rsidRPr="00177485" w:rsidRDefault="00F14DA3" w:rsidP="00D62A3C">
            <w:pPr>
              <w:rPr>
                <w:rFonts w:cs="Arial"/>
                <w:b/>
                <w:szCs w:val="20"/>
                <w:lang w:val="en-US"/>
              </w:rPr>
            </w:pPr>
            <w:r w:rsidRPr="00177485">
              <w:rPr>
                <w:rFonts w:cs="Arial"/>
                <w:b/>
                <w:szCs w:val="20"/>
                <w:lang w:val="en-US"/>
              </w:rPr>
              <w:t>Adverse Effect</w:t>
            </w:r>
          </w:p>
        </w:tc>
        <w:tc>
          <w:tcPr>
            <w:tcW w:w="1701" w:type="dxa"/>
          </w:tcPr>
          <w:p w14:paraId="58E663C4" w14:textId="3B0BD68E" w:rsidR="00F14DA3" w:rsidRPr="00177485" w:rsidRDefault="00F14DA3" w:rsidP="00D62A3C">
            <w:pPr>
              <w:rPr>
                <w:rFonts w:cs="Arial"/>
                <w:b/>
                <w:szCs w:val="20"/>
                <w:lang w:val="en-US"/>
              </w:rPr>
            </w:pPr>
            <w:r w:rsidRPr="00177485">
              <w:rPr>
                <w:rFonts w:cs="Arial"/>
                <w:b/>
                <w:szCs w:val="20"/>
                <w:lang w:val="en-US"/>
              </w:rPr>
              <w:t>CBD (</w:t>
            </w:r>
            <w:r w:rsidR="00B42B22" w:rsidRPr="00B42B22">
              <w:rPr>
                <w:rFonts w:cs="Arial"/>
                <w:b/>
                <w:szCs w:val="20"/>
                <w:lang w:val="en-US"/>
              </w:rPr>
              <w:t>rate</w:t>
            </w:r>
            <w:r w:rsidRPr="00177485">
              <w:rPr>
                <w:rFonts w:cs="Arial"/>
                <w:b/>
                <w:szCs w:val="20"/>
                <w:lang w:val="en-US"/>
              </w:rPr>
              <w:t>)</w:t>
            </w:r>
          </w:p>
        </w:tc>
        <w:tc>
          <w:tcPr>
            <w:tcW w:w="1701" w:type="dxa"/>
          </w:tcPr>
          <w:p w14:paraId="198E3477" w14:textId="4B7E4116" w:rsidR="00F14DA3" w:rsidRPr="00177485" w:rsidRDefault="00F14DA3" w:rsidP="00D62A3C">
            <w:pPr>
              <w:rPr>
                <w:rFonts w:cs="Arial"/>
                <w:b/>
                <w:szCs w:val="20"/>
                <w:lang w:val="en-US"/>
              </w:rPr>
            </w:pPr>
            <w:r w:rsidRPr="00177485">
              <w:rPr>
                <w:rFonts w:cs="Arial"/>
                <w:b/>
                <w:szCs w:val="20"/>
                <w:lang w:val="en-US"/>
              </w:rPr>
              <w:t>Placebo</w:t>
            </w:r>
            <w:r w:rsidR="00B42B22" w:rsidRPr="00B42B22">
              <w:rPr>
                <w:rFonts w:cs="Arial"/>
                <w:b/>
                <w:szCs w:val="20"/>
                <w:lang w:val="en-US"/>
              </w:rPr>
              <w:t xml:space="preserve"> (rate</w:t>
            </w:r>
            <w:r w:rsidRPr="00177485">
              <w:rPr>
                <w:rFonts w:cs="Arial"/>
                <w:b/>
                <w:szCs w:val="20"/>
                <w:lang w:val="en-US"/>
              </w:rPr>
              <w:t>)</w:t>
            </w:r>
          </w:p>
        </w:tc>
        <w:tc>
          <w:tcPr>
            <w:tcW w:w="1224" w:type="dxa"/>
          </w:tcPr>
          <w:p w14:paraId="0390418E" w14:textId="7C85CC77" w:rsidR="00F14DA3" w:rsidRPr="00177485" w:rsidRDefault="00B42B22" w:rsidP="00D62A3C">
            <w:pPr>
              <w:rPr>
                <w:rFonts w:cs="Arial"/>
                <w:b/>
                <w:szCs w:val="20"/>
                <w:lang w:val="en-US"/>
              </w:rPr>
            </w:pPr>
            <w:r w:rsidRPr="00177485">
              <w:rPr>
                <w:rFonts w:cs="Arial"/>
                <w:b/>
                <w:szCs w:val="20"/>
                <w:lang w:val="en-US"/>
              </w:rPr>
              <w:t>P value</w:t>
            </w:r>
          </w:p>
        </w:tc>
      </w:tr>
      <w:tr w:rsidR="00F14DA3" w14:paraId="1351EEAC" w14:textId="502FA70C" w:rsidTr="00BC07EF">
        <w:tc>
          <w:tcPr>
            <w:tcW w:w="4390" w:type="dxa"/>
          </w:tcPr>
          <w:p w14:paraId="595FCC0F" w14:textId="456F6CA6" w:rsidR="00F14DA3" w:rsidRDefault="00F14DA3" w:rsidP="00EC1093">
            <w:pPr>
              <w:rPr>
                <w:rFonts w:cs="Arial"/>
                <w:szCs w:val="20"/>
                <w:lang w:val="en-US"/>
              </w:rPr>
            </w:pPr>
            <w:r>
              <w:rPr>
                <w:rFonts w:cs="Arial"/>
                <w:szCs w:val="20"/>
                <w:lang w:val="en-US"/>
              </w:rPr>
              <w:t>Treatment-related</w:t>
            </w:r>
          </w:p>
        </w:tc>
        <w:tc>
          <w:tcPr>
            <w:tcW w:w="1701" w:type="dxa"/>
          </w:tcPr>
          <w:p w14:paraId="4B243FC7" w14:textId="4593D0B1" w:rsidR="00F14DA3" w:rsidRDefault="00F14DA3" w:rsidP="00D62A3C">
            <w:pPr>
              <w:rPr>
                <w:rFonts w:cs="Arial"/>
                <w:szCs w:val="20"/>
                <w:lang w:val="en-US"/>
              </w:rPr>
            </w:pPr>
            <w:r>
              <w:rPr>
                <w:rFonts w:cs="Arial"/>
                <w:szCs w:val="20"/>
                <w:lang w:val="en-US"/>
              </w:rPr>
              <w:t>55.7</w:t>
            </w:r>
            <w:r w:rsidR="00B42B22">
              <w:rPr>
                <w:rFonts w:cs="Arial"/>
                <w:szCs w:val="20"/>
                <w:lang w:val="en-US"/>
              </w:rPr>
              <w:t>%</w:t>
            </w:r>
          </w:p>
        </w:tc>
        <w:tc>
          <w:tcPr>
            <w:tcW w:w="1701" w:type="dxa"/>
          </w:tcPr>
          <w:p w14:paraId="48AF9773" w14:textId="5C0AFF2C" w:rsidR="00F14DA3" w:rsidRDefault="00B42B22" w:rsidP="00D62A3C">
            <w:pPr>
              <w:rPr>
                <w:rFonts w:cs="Arial"/>
                <w:szCs w:val="20"/>
                <w:lang w:val="en-US"/>
              </w:rPr>
            </w:pPr>
            <w:r>
              <w:rPr>
                <w:rFonts w:cs="Arial"/>
                <w:szCs w:val="20"/>
                <w:lang w:val="en-US"/>
              </w:rPr>
              <w:t>26.9%</w:t>
            </w:r>
          </w:p>
        </w:tc>
        <w:tc>
          <w:tcPr>
            <w:tcW w:w="1224" w:type="dxa"/>
          </w:tcPr>
          <w:p w14:paraId="4F28559E" w14:textId="4A4D1900" w:rsidR="00F14DA3" w:rsidRDefault="00B42B22" w:rsidP="00D62A3C">
            <w:pPr>
              <w:rPr>
                <w:rFonts w:cs="Arial"/>
                <w:szCs w:val="20"/>
                <w:lang w:val="en-US"/>
              </w:rPr>
            </w:pPr>
            <w:r>
              <w:rPr>
                <w:rFonts w:cs="Arial"/>
                <w:szCs w:val="20"/>
                <w:lang w:val="en-US"/>
              </w:rPr>
              <w:t>&lt;0.001</w:t>
            </w:r>
          </w:p>
        </w:tc>
      </w:tr>
      <w:tr w:rsidR="00F14DA3" w14:paraId="64737218" w14:textId="59697B91" w:rsidTr="00BC07EF">
        <w:tc>
          <w:tcPr>
            <w:tcW w:w="4390" w:type="dxa"/>
          </w:tcPr>
          <w:p w14:paraId="493DF26F" w14:textId="5EA7EC07" w:rsidR="00F14DA3" w:rsidRDefault="00B42B22" w:rsidP="00EC1093">
            <w:pPr>
              <w:rPr>
                <w:rFonts w:cs="Arial"/>
                <w:szCs w:val="20"/>
                <w:lang w:val="en-US"/>
              </w:rPr>
            </w:pPr>
            <w:r>
              <w:rPr>
                <w:rFonts w:cs="Arial"/>
                <w:szCs w:val="20"/>
                <w:lang w:val="en-US"/>
              </w:rPr>
              <w:t>Serious and treatment-related</w:t>
            </w:r>
          </w:p>
        </w:tc>
        <w:tc>
          <w:tcPr>
            <w:tcW w:w="1701" w:type="dxa"/>
          </w:tcPr>
          <w:p w14:paraId="688A5DC5" w14:textId="26AA874A" w:rsidR="00F14DA3" w:rsidRDefault="00A55D3C" w:rsidP="00D62A3C">
            <w:pPr>
              <w:rPr>
                <w:rFonts w:cs="Arial"/>
                <w:szCs w:val="20"/>
                <w:lang w:val="en-US"/>
              </w:rPr>
            </w:pPr>
            <w:r>
              <w:rPr>
                <w:rFonts w:cs="Arial"/>
                <w:szCs w:val="20"/>
                <w:lang w:val="en-US"/>
              </w:rPr>
              <w:t>7.7</w:t>
            </w:r>
            <w:r w:rsidR="00B42B22">
              <w:rPr>
                <w:rFonts w:cs="Arial"/>
                <w:szCs w:val="20"/>
                <w:lang w:val="en-US"/>
              </w:rPr>
              <w:t>%</w:t>
            </w:r>
          </w:p>
        </w:tc>
        <w:tc>
          <w:tcPr>
            <w:tcW w:w="1701" w:type="dxa"/>
          </w:tcPr>
          <w:p w14:paraId="1F3C396B" w14:textId="779EEB01" w:rsidR="00F14DA3" w:rsidRDefault="00A55D3C" w:rsidP="00D62A3C">
            <w:pPr>
              <w:rPr>
                <w:rFonts w:cs="Arial"/>
                <w:szCs w:val="20"/>
                <w:lang w:val="en-US"/>
              </w:rPr>
            </w:pPr>
            <w:r>
              <w:rPr>
                <w:rFonts w:cs="Arial"/>
                <w:szCs w:val="20"/>
                <w:lang w:val="en-US"/>
              </w:rPr>
              <w:t>0.4</w:t>
            </w:r>
            <w:r w:rsidR="00B42B22">
              <w:rPr>
                <w:rFonts w:cs="Arial"/>
                <w:szCs w:val="20"/>
                <w:lang w:val="en-US"/>
              </w:rPr>
              <w:t>%</w:t>
            </w:r>
          </w:p>
        </w:tc>
        <w:tc>
          <w:tcPr>
            <w:tcW w:w="1224" w:type="dxa"/>
          </w:tcPr>
          <w:p w14:paraId="3EB65C77" w14:textId="52AF2F17" w:rsidR="00F14DA3" w:rsidRDefault="00177485" w:rsidP="00D62A3C">
            <w:pPr>
              <w:rPr>
                <w:rFonts w:cs="Arial"/>
                <w:szCs w:val="20"/>
                <w:lang w:val="en-US"/>
              </w:rPr>
            </w:pPr>
            <w:r>
              <w:rPr>
                <w:rFonts w:cs="Arial"/>
                <w:szCs w:val="20"/>
                <w:lang w:val="en-US"/>
              </w:rPr>
              <w:t xml:space="preserve">  </w:t>
            </w:r>
            <w:r w:rsidR="00B42B22">
              <w:rPr>
                <w:rFonts w:cs="Arial"/>
                <w:szCs w:val="20"/>
                <w:lang w:val="en-US"/>
              </w:rPr>
              <w:t>0.003</w:t>
            </w:r>
          </w:p>
        </w:tc>
      </w:tr>
      <w:tr w:rsidR="00F14DA3" w14:paraId="0717110D" w14:textId="7506258E" w:rsidTr="00BC07EF">
        <w:tc>
          <w:tcPr>
            <w:tcW w:w="4390" w:type="dxa"/>
          </w:tcPr>
          <w:p w14:paraId="3BECF3B6" w14:textId="6B16AC92" w:rsidR="00F14DA3" w:rsidRDefault="00B42B22" w:rsidP="00EC1093">
            <w:pPr>
              <w:rPr>
                <w:rFonts w:cs="Arial"/>
                <w:szCs w:val="20"/>
                <w:lang w:val="en-US"/>
              </w:rPr>
            </w:pPr>
            <w:r>
              <w:rPr>
                <w:rFonts w:cs="Arial"/>
                <w:szCs w:val="20"/>
                <w:lang w:val="en-US"/>
              </w:rPr>
              <w:t>Somnolence</w:t>
            </w:r>
          </w:p>
        </w:tc>
        <w:tc>
          <w:tcPr>
            <w:tcW w:w="1701" w:type="dxa"/>
          </w:tcPr>
          <w:p w14:paraId="0C4E63AA" w14:textId="6C35FB9E" w:rsidR="00F14DA3" w:rsidRDefault="00B42B22" w:rsidP="00D62A3C">
            <w:pPr>
              <w:rPr>
                <w:rFonts w:cs="Arial"/>
                <w:szCs w:val="20"/>
                <w:lang w:val="en-US"/>
              </w:rPr>
            </w:pPr>
            <w:r>
              <w:rPr>
                <w:rFonts w:cs="Arial"/>
                <w:szCs w:val="20"/>
                <w:lang w:val="en-US"/>
              </w:rPr>
              <w:t>24.5%</w:t>
            </w:r>
          </w:p>
        </w:tc>
        <w:tc>
          <w:tcPr>
            <w:tcW w:w="1701" w:type="dxa"/>
          </w:tcPr>
          <w:p w14:paraId="36521C5E" w14:textId="78800D77" w:rsidR="00F14DA3" w:rsidRDefault="00B42B22" w:rsidP="00D62A3C">
            <w:pPr>
              <w:rPr>
                <w:rFonts w:cs="Arial"/>
                <w:szCs w:val="20"/>
                <w:lang w:val="en-US"/>
              </w:rPr>
            </w:pPr>
            <w:r>
              <w:rPr>
                <w:rFonts w:cs="Arial"/>
                <w:szCs w:val="20"/>
                <w:lang w:val="en-US"/>
              </w:rPr>
              <w:t>8.4%</w:t>
            </w:r>
          </w:p>
        </w:tc>
        <w:tc>
          <w:tcPr>
            <w:tcW w:w="1224" w:type="dxa"/>
          </w:tcPr>
          <w:p w14:paraId="07DBC11C" w14:textId="68413D6B" w:rsidR="00F14DA3" w:rsidRDefault="00B42B22" w:rsidP="00D62A3C">
            <w:pPr>
              <w:rPr>
                <w:rFonts w:cs="Arial"/>
                <w:szCs w:val="20"/>
                <w:lang w:val="en-US"/>
              </w:rPr>
            </w:pPr>
            <w:r>
              <w:rPr>
                <w:rFonts w:cs="Arial"/>
                <w:szCs w:val="20"/>
                <w:lang w:val="en-US"/>
              </w:rPr>
              <w:t>&lt;0.001</w:t>
            </w:r>
          </w:p>
        </w:tc>
      </w:tr>
      <w:tr w:rsidR="00F14DA3" w14:paraId="24DA1F61" w14:textId="148C00DA" w:rsidTr="00BC07EF">
        <w:tc>
          <w:tcPr>
            <w:tcW w:w="4390" w:type="dxa"/>
          </w:tcPr>
          <w:p w14:paraId="1AF5DD77" w14:textId="5FE749AF" w:rsidR="00F14DA3" w:rsidRDefault="00B42B22" w:rsidP="00EC1093">
            <w:pPr>
              <w:rPr>
                <w:rFonts w:cs="Arial"/>
                <w:szCs w:val="20"/>
                <w:lang w:val="en-US"/>
              </w:rPr>
            </w:pPr>
            <w:r>
              <w:rPr>
                <w:rFonts w:cs="Arial"/>
                <w:szCs w:val="20"/>
                <w:lang w:val="en-US"/>
              </w:rPr>
              <w:t>Decreased appetite</w:t>
            </w:r>
          </w:p>
        </w:tc>
        <w:tc>
          <w:tcPr>
            <w:tcW w:w="1701" w:type="dxa"/>
          </w:tcPr>
          <w:p w14:paraId="653DEB7B" w14:textId="6E02DAA6" w:rsidR="00F14DA3" w:rsidRDefault="00B42B22" w:rsidP="00D62A3C">
            <w:pPr>
              <w:rPr>
                <w:rFonts w:cs="Arial"/>
                <w:szCs w:val="20"/>
                <w:lang w:val="en-US"/>
              </w:rPr>
            </w:pPr>
            <w:r>
              <w:rPr>
                <w:rFonts w:cs="Arial"/>
                <w:szCs w:val="20"/>
                <w:lang w:val="en-US"/>
              </w:rPr>
              <w:t>20.1%</w:t>
            </w:r>
          </w:p>
        </w:tc>
        <w:tc>
          <w:tcPr>
            <w:tcW w:w="1701" w:type="dxa"/>
          </w:tcPr>
          <w:p w14:paraId="137FB1F1" w14:textId="639199BF" w:rsidR="00F14DA3" w:rsidRDefault="00B42B22" w:rsidP="00D62A3C">
            <w:pPr>
              <w:rPr>
                <w:rFonts w:cs="Arial"/>
                <w:szCs w:val="20"/>
                <w:lang w:val="en-US"/>
              </w:rPr>
            </w:pPr>
            <w:r>
              <w:rPr>
                <w:rFonts w:cs="Arial"/>
                <w:szCs w:val="20"/>
                <w:lang w:val="en-US"/>
              </w:rPr>
              <w:t>4.8%</w:t>
            </w:r>
          </w:p>
        </w:tc>
        <w:tc>
          <w:tcPr>
            <w:tcW w:w="1224" w:type="dxa"/>
          </w:tcPr>
          <w:p w14:paraId="5A096F14" w14:textId="53E1F4D9" w:rsidR="00F14DA3" w:rsidRDefault="00B42B22" w:rsidP="00D62A3C">
            <w:pPr>
              <w:rPr>
                <w:rFonts w:cs="Arial"/>
                <w:szCs w:val="20"/>
                <w:lang w:val="en-US"/>
              </w:rPr>
            </w:pPr>
            <w:r>
              <w:rPr>
                <w:rFonts w:cs="Arial"/>
                <w:szCs w:val="20"/>
                <w:lang w:val="en-US"/>
              </w:rPr>
              <w:t>&lt;0.001</w:t>
            </w:r>
          </w:p>
        </w:tc>
      </w:tr>
      <w:tr w:rsidR="00F14DA3" w14:paraId="5C2AC80E" w14:textId="36F741D6" w:rsidTr="00BC07EF">
        <w:tc>
          <w:tcPr>
            <w:tcW w:w="4390" w:type="dxa"/>
          </w:tcPr>
          <w:p w14:paraId="5EF281E3" w14:textId="4702A719" w:rsidR="00F14DA3" w:rsidRDefault="00B42B22" w:rsidP="00EC1093">
            <w:pPr>
              <w:rPr>
                <w:rFonts w:cs="Arial"/>
                <w:szCs w:val="20"/>
                <w:lang w:val="en-US"/>
              </w:rPr>
            </w:pPr>
            <w:r>
              <w:rPr>
                <w:rFonts w:cs="Arial"/>
                <w:szCs w:val="20"/>
                <w:lang w:val="en-US"/>
              </w:rPr>
              <w:t>Diarrh</w:t>
            </w:r>
            <w:r w:rsidR="0069338E">
              <w:rPr>
                <w:rFonts w:cs="Arial"/>
                <w:szCs w:val="20"/>
                <w:lang w:val="en-US"/>
              </w:rPr>
              <w:t>o</w:t>
            </w:r>
            <w:r>
              <w:rPr>
                <w:rFonts w:cs="Arial"/>
                <w:szCs w:val="20"/>
                <w:lang w:val="en-US"/>
              </w:rPr>
              <w:t>ea</w:t>
            </w:r>
          </w:p>
        </w:tc>
        <w:tc>
          <w:tcPr>
            <w:tcW w:w="1701" w:type="dxa"/>
          </w:tcPr>
          <w:p w14:paraId="186DBD68" w14:textId="7E8B150D" w:rsidR="00F14DA3" w:rsidRDefault="00B42B22" w:rsidP="00D62A3C">
            <w:pPr>
              <w:rPr>
                <w:rFonts w:cs="Arial"/>
                <w:szCs w:val="20"/>
                <w:lang w:val="en-US"/>
              </w:rPr>
            </w:pPr>
            <w:r>
              <w:rPr>
                <w:rFonts w:cs="Arial"/>
                <w:szCs w:val="20"/>
                <w:lang w:val="en-US"/>
              </w:rPr>
              <w:t>18.2%</w:t>
            </w:r>
          </w:p>
        </w:tc>
        <w:tc>
          <w:tcPr>
            <w:tcW w:w="1701" w:type="dxa"/>
          </w:tcPr>
          <w:p w14:paraId="4507ED63" w14:textId="63C4169E" w:rsidR="00F14DA3" w:rsidRDefault="00B42B22" w:rsidP="00D62A3C">
            <w:pPr>
              <w:rPr>
                <w:rFonts w:cs="Arial"/>
                <w:szCs w:val="20"/>
                <w:lang w:val="en-US"/>
              </w:rPr>
            </w:pPr>
            <w:r>
              <w:rPr>
                <w:rFonts w:cs="Arial"/>
                <w:szCs w:val="20"/>
                <w:lang w:val="en-US"/>
              </w:rPr>
              <w:t>8.6%</w:t>
            </w:r>
          </w:p>
        </w:tc>
        <w:tc>
          <w:tcPr>
            <w:tcW w:w="1224" w:type="dxa"/>
          </w:tcPr>
          <w:p w14:paraId="46A573FA" w14:textId="542CB882" w:rsidR="00F14DA3" w:rsidRDefault="00177485" w:rsidP="00D62A3C">
            <w:pPr>
              <w:rPr>
                <w:rFonts w:cs="Arial"/>
                <w:szCs w:val="20"/>
                <w:lang w:val="en-US"/>
              </w:rPr>
            </w:pPr>
            <w:r>
              <w:rPr>
                <w:rFonts w:cs="Arial"/>
                <w:szCs w:val="20"/>
                <w:lang w:val="en-US"/>
              </w:rPr>
              <w:t xml:space="preserve">  </w:t>
            </w:r>
            <w:r w:rsidR="00B42B22">
              <w:rPr>
                <w:rFonts w:cs="Arial"/>
                <w:szCs w:val="20"/>
                <w:lang w:val="en-US"/>
              </w:rPr>
              <w:t>0.001</w:t>
            </w:r>
          </w:p>
        </w:tc>
      </w:tr>
      <w:tr w:rsidR="00F14DA3" w14:paraId="2487970F" w14:textId="545F115D" w:rsidTr="00BC07EF">
        <w:tc>
          <w:tcPr>
            <w:tcW w:w="4390" w:type="dxa"/>
          </w:tcPr>
          <w:p w14:paraId="704999CC" w14:textId="574D2398" w:rsidR="00F14DA3" w:rsidRDefault="00B42B22" w:rsidP="00EC1093">
            <w:pPr>
              <w:rPr>
                <w:rFonts w:cs="Arial"/>
                <w:szCs w:val="20"/>
                <w:lang w:val="en-US"/>
              </w:rPr>
            </w:pPr>
            <w:r>
              <w:rPr>
                <w:rFonts w:cs="Arial"/>
                <w:szCs w:val="20"/>
                <w:lang w:val="en-US"/>
              </w:rPr>
              <w:t>Increased alanine or aspartate</w:t>
            </w:r>
            <w:r w:rsidR="00F77191">
              <w:rPr>
                <w:rFonts w:cs="Arial"/>
                <w:szCs w:val="20"/>
                <w:lang w:val="en-US"/>
              </w:rPr>
              <w:t xml:space="preserve"> </w:t>
            </w:r>
            <w:r>
              <w:rPr>
                <w:rFonts w:cs="Arial"/>
                <w:szCs w:val="20"/>
                <w:lang w:val="en-US"/>
              </w:rPr>
              <w:t>aminotransferases &gt; 3 times upper normal limit</w:t>
            </w:r>
          </w:p>
        </w:tc>
        <w:tc>
          <w:tcPr>
            <w:tcW w:w="1701" w:type="dxa"/>
          </w:tcPr>
          <w:p w14:paraId="529E29B5" w14:textId="38B39294" w:rsidR="00F14DA3" w:rsidRDefault="00B42B22" w:rsidP="00D62A3C">
            <w:pPr>
              <w:rPr>
                <w:rFonts w:cs="Arial"/>
                <w:szCs w:val="20"/>
                <w:lang w:val="en-US"/>
              </w:rPr>
            </w:pPr>
            <w:r>
              <w:rPr>
                <w:rFonts w:cs="Arial"/>
                <w:szCs w:val="20"/>
                <w:lang w:val="en-US"/>
              </w:rPr>
              <w:t>16.1%</w:t>
            </w:r>
          </w:p>
        </w:tc>
        <w:tc>
          <w:tcPr>
            <w:tcW w:w="1701" w:type="dxa"/>
          </w:tcPr>
          <w:p w14:paraId="18B2F5AC" w14:textId="74A48A41" w:rsidR="00F14DA3" w:rsidRDefault="00B42B22" w:rsidP="00D62A3C">
            <w:pPr>
              <w:rPr>
                <w:rFonts w:cs="Arial"/>
                <w:szCs w:val="20"/>
                <w:lang w:val="en-US"/>
              </w:rPr>
            </w:pPr>
            <w:r>
              <w:rPr>
                <w:rFonts w:cs="Arial"/>
                <w:szCs w:val="20"/>
                <w:lang w:val="en-US"/>
              </w:rPr>
              <w:t>0.9%</w:t>
            </w:r>
          </w:p>
        </w:tc>
        <w:tc>
          <w:tcPr>
            <w:tcW w:w="1224" w:type="dxa"/>
          </w:tcPr>
          <w:p w14:paraId="5E2A0AEE" w14:textId="496276C0" w:rsidR="00F14DA3" w:rsidRDefault="00B42B22" w:rsidP="00D62A3C">
            <w:pPr>
              <w:rPr>
                <w:rFonts w:cs="Arial"/>
                <w:szCs w:val="20"/>
                <w:lang w:val="en-US"/>
              </w:rPr>
            </w:pPr>
            <w:r>
              <w:rPr>
                <w:rFonts w:cs="Arial"/>
                <w:szCs w:val="20"/>
                <w:lang w:val="en-US"/>
              </w:rPr>
              <w:t>&lt;0.001</w:t>
            </w:r>
          </w:p>
        </w:tc>
      </w:tr>
    </w:tbl>
    <w:p w14:paraId="13D2C9C2" w14:textId="77777777" w:rsidR="007077BE" w:rsidRDefault="007077BE" w:rsidP="00D62A3C">
      <w:pPr>
        <w:rPr>
          <w:rFonts w:cs="Arial"/>
          <w:szCs w:val="20"/>
          <w:lang w:val="en-US"/>
        </w:rPr>
      </w:pPr>
    </w:p>
    <w:p w14:paraId="21A6A9DE" w14:textId="286A802E" w:rsidR="006F242A" w:rsidRDefault="006F242A" w:rsidP="00D62A3C">
      <w:pPr>
        <w:rPr>
          <w:rFonts w:cs="Arial"/>
          <w:szCs w:val="20"/>
          <w:lang w:val="en-US"/>
        </w:rPr>
      </w:pPr>
      <w:r>
        <w:rPr>
          <w:rFonts w:cs="Arial"/>
          <w:szCs w:val="20"/>
          <w:lang w:val="en-US"/>
        </w:rPr>
        <w:t>In these studies, 11.1% of CBD patients and 2.6% of placebo patients withdrew from treatment (any reason) (</w:t>
      </w:r>
      <w:r w:rsidR="00D47B51">
        <w:rPr>
          <w:rFonts w:cs="Arial"/>
          <w:szCs w:val="20"/>
          <w:lang w:val="en-US"/>
        </w:rPr>
        <w:t>R</w:t>
      </w:r>
      <w:r>
        <w:rPr>
          <w:rFonts w:cs="Arial"/>
          <w:szCs w:val="20"/>
          <w:lang w:val="en-US"/>
        </w:rPr>
        <w:t xml:space="preserve">isk </w:t>
      </w:r>
      <w:r w:rsidR="00D47B51">
        <w:rPr>
          <w:rFonts w:cs="Arial"/>
          <w:szCs w:val="20"/>
          <w:lang w:val="en-US"/>
        </w:rPr>
        <w:t>R</w:t>
      </w:r>
      <w:r>
        <w:rPr>
          <w:rFonts w:cs="Arial"/>
          <w:szCs w:val="20"/>
          <w:lang w:val="en-US"/>
        </w:rPr>
        <w:t>atio 3.54, 95% CI 1.55-8.12; p=0.003)</w:t>
      </w:r>
      <w:r w:rsidR="00164812">
        <w:rPr>
          <w:rFonts w:cs="Arial"/>
          <w:szCs w:val="20"/>
          <w:lang w:val="en-US"/>
        </w:rPr>
        <w:t>. Treatment was discontinued due to adverse effects in 8.9% of patients in the CBD groups and in 1.8% of placebo patients (p=0.0002)</w:t>
      </w:r>
      <w:r w:rsidR="00C22719">
        <w:rPr>
          <w:rFonts w:cs="Arial"/>
          <w:szCs w:val="20"/>
          <w:lang w:val="en-US"/>
        </w:rPr>
        <w:t xml:space="preserve"> (</w:t>
      </w:r>
      <w:r w:rsidR="00AC7475">
        <w:rPr>
          <w:rFonts w:cs="Arial"/>
          <w:szCs w:val="20"/>
          <w:lang w:val="en-US"/>
        </w:rPr>
        <w:t>1</w:t>
      </w:r>
      <w:r w:rsidR="00A6140B">
        <w:rPr>
          <w:rFonts w:cs="Arial"/>
          <w:szCs w:val="20"/>
          <w:lang w:val="en-US"/>
        </w:rPr>
        <w:t>3</w:t>
      </w:r>
      <w:r w:rsidR="00C22719">
        <w:rPr>
          <w:rFonts w:cs="Arial"/>
          <w:szCs w:val="20"/>
          <w:lang w:val="en-US"/>
        </w:rPr>
        <w:t>)</w:t>
      </w:r>
      <w:r w:rsidR="00BE3708">
        <w:rPr>
          <w:rFonts w:cs="Arial"/>
          <w:szCs w:val="20"/>
          <w:lang w:val="en-US"/>
        </w:rPr>
        <w:t>.</w:t>
      </w:r>
      <w:r w:rsidR="00DC0F79">
        <w:t xml:space="preserve"> </w:t>
      </w:r>
    </w:p>
    <w:p w14:paraId="51A77D99" w14:textId="3B4D1CA5" w:rsidR="00BC64F5" w:rsidRDefault="00BC64F5" w:rsidP="00D62A3C">
      <w:pPr>
        <w:rPr>
          <w:rFonts w:cs="Arial"/>
          <w:szCs w:val="20"/>
          <w:lang w:val="en-US"/>
        </w:rPr>
      </w:pPr>
      <w:r>
        <w:rPr>
          <w:rFonts w:cs="Arial"/>
          <w:szCs w:val="20"/>
          <w:lang w:val="en-US"/>
        </w:rPr>
        <w:t>Adverse effect incidence rates for CBD 5mg/kg, CBD 10mg/kg and CBD 20mg/kg were also considered separately versus placebo rates. There w</w:t>
      </w:r>
      <w:r w:rsidR="00164812">
        <w:rPr>
          <w:rFonts w:cs="Arial"/>
          <w:szCs w:val="20"/>
          <w:lang w:val="en-US"/>
        </w:rPr>
        <w:t>ere</w:t>
      </w:r>
      <w:r>
        <w:rPr>
          <w:rFonts w:cs="Arial"/>
          <w:szCs w:val="20"/>
          <w:lang w:val="en-US"/>
        </w:rPr>
        <w:t xml:space="preserve"> no statistically significant difference</w:t>
      </w:r>
      <w:r w:rsidR="00164812">
        <w:rPr>
          <w:rFonts w:cs="Arial"/>
          <w:szCs w:val="20"/>
          <w:lang w:val="en-US"/>
        </w:rPr>
        <w:t>s</w:t>
      </w:r>
      <w:r>
        <w:rPr>
          <w:rFonts w:cs="Arial"/>
          <w:szCs w:val="20"/>
          <w:lang w:val="en-US"/>
        </w:rPr>
        <w:t xml:space="preserve"> between the rates for placebo and CBD 5mg/kg, or between placebo and CBD 10mg/kg other than for </w:t>
      </w:r>
      <w:r w:rsidR="00D47B51">
        <w:rPr>
          <w:rFonts w:cs="Arial"/>
          <w:szCs w:val="20"/>
          <w:lang w:val="en-US"/>
        </w:rPr>
        <w:t>somnolence</w:t>
      </w:r>
      <w:r w:rsidR="00E15BAE">
        <w:rPr>
          <w:rFonts w:cs="Arial"/>
          <w:szCs w:val="20"/>
          <w:lang w:val="en-US"/>
        </w:rPr>
        <w:t xml:space="preserve">. Statistically significantly higher rates were found with </w:t>
      </w:r>
      <w:r>
        <w:rPr>
          <w:rFonts w:cs="Arial"/>
          <w:szCs w:val="20"/>
          <w:lang w:val="en-US"/>
        </w:rPr>
        <w:t xml:space="preserve">CBD 20mg/kg </w:t>
      </w:r>
      <w:r w:rsidR="00E15BAE">
        <w:rPr>
          <w:rFonts w:cs="Arial"/>
          <w:szCs w:val="20"/>
          <w:lang w:val="en-US"/>
        </w:rPr>
        <w:t>than placebo</w:t>
      </w:r>
      <w:r>
        <w:rPr>
          <w:rFonts w:cs="Arial"/>
          <w:szCs w:val="20"/>
          <w:lang w:val="en-US"/>
        </w:rPr>
        <w:t xml:space="preserve"> for the effects listed in the table above, but also for sedation</w:t>
      </w:r>
      <w:r w:rsidR="009400B9">
        <w:rPr>
          <w:rFonts w:cs="Arial"/>
          <w:szCs w:val="20"/>
          <w:lang w:val="en-US"/>
        </w:rPr>
        <w:t xml:space="preserve"> (p=0.042) </w:t>
      </w:r>
      <w:r w:rsidR="006F242A">
        <w:rPr>
          <w:rFonts w:cs="Arial"/>
          <w:szCs w:val="20"/>
          <w:lang w:val="en-US"/>
        </w:rPr>
        <w:t>(</w:t>
      </w:r>
      <w:r w:rsidR="00AC7475">
        <w:rPr>
          <w:rFonts w:cs="Arial"/>
          <w:szCs w:val="20"/>
          <w:lang w:val="en-US"/>
        </w:rPr>
        <w:t>1</w:t>
      </w:r>
      <w:r w:rsidR="00A6140B">
        <w:rPr>
          <w:rFonts w:cs="Arial"/>
          <w:szCs w:val="20"/>
          <w:lang w:val="en-US"/>
        </w:rPr>
        <w:t>3</w:t>
      </w:r>
      <w:r w:rsidR="006F242A">
        <w:rPr>
          <w:rFonts w:cs="Arial"/>
          <w:szCs w:val="20"/>
          <w:lang w:val="en-US"/>
        </w:rPr>
        <w:t>)</w:t>
      </w:r>
      <w:r w:rsidR="00E15BAE">
        <w:rPr>
          <w:rFonts w:cs="Arial"/>
          <w:szCs w:val="20"/>
          <w:lang w:val="en-US"/>
        </w:rPr>
        <w:t>.</w:t>
      </w:r>
    </w:p>
    <w:p w14:paraId="5AFE1C1C" w14:textId="0639D568" w:rsidR="00BF6A60" w:rsidRDefault="00961F5A" w:rsidP="00177485">
      <w:pPr>
        <w:rPr>
          <w:rFonts w:cs="Arial"/>
          <w:szCs w:val="20"/>
          <w:lang w:val="en-US"/>
        </w:rPr>
      </w:pPr>
      <w:r>
        <w:rPr>
          <w:rFonts w:cs="Arial"/>
          <w:szCs w:val="20"/>
          <w:lang w:val="en-US"/>
        </w:rPr>
        <w:t xml:space="preserve">Analysis of the </w:t>
      </w:r>
      <w:r w:rsidRPr="00077083">
        <w:rPr>
          <w:rFonts w:cs="Arial"/>
          <w:szCs w:val="20"/>
          <w:lang w:val="en-US"/>
        </w:rPr>
        <w:t>three studie</w:t>
      </w:r>
      <w:r w:rsidR="00077083" w:rsidRPr="00177485">
        <w:rPr>
          <w:rFonts w:cs="Arial"/>
          <w:szCs w:val="20"/>
          <w:lang w:val="en-US"/>
        </w:rPr>
        <w:t>s</w:t>
      </w:r>
      <w:r>
        <w:rPr>
          <w:rFonts w:cs="Arial"/>
          <w:szCs w:val="20"/>
          <w:lang w:val="en-US"/>
        </w:rPr>
        <w:t xml:space="preserve"> other than the dose-ranging study </w:t>
      </w:r>
      <w:r w:rsidRPr="00C22719">
        <w:rPr>
          <w:rFonts w:cs="Arial"/>
          <w:szCs w:val="20"/>
          <w:lang w:val="en-US"/>
        </w:rPr>
        <w:t>(</w:t>
      </w:r>
      <w:r w:rsidR="00AC7475">
        <w:rPr>
          <w:rFonts w:cs="Arial"/>
          <w:szCs w:val="20"/>
          <w:lang w:val="en-US"/>
        </w:rPr>
        <w:t>1</w:t>
      </w:r>
      <w:r w:rsidR="00A6140B">
        <w:rPr>
          <w:rFonts w:cs="Arial"/>
          <w:szCs w:val="20"/>
          <w:lang w:val="en-US"/>
        </w:rPr>
        <w:t>5</w:t>
      </w:r>
      <w:r w:rsidR="00AC7475">
        <w:rPr>
          <w:rFonts w:cs="Arial"/>
          <w:szCs w:val="20"/>
          <w:lang w:val="en-US"/>
        </w:rPr>
        <w:t>-1</w:t>
      </w:r>
      <w:r w:rsidR="00A6140B">
        <w:rPr>
          <w:rFonts w:cs="Arial"/>
          <w:szCs w:val="20"/>
          <w:lang w:val="en-US"/>
        </w:rPr>
        <w:t>7</w:t>
      </w:r>
      <w:r w:rsidR="001F7499">
        <w:rPr>
          <w:rFonts w:cs="Arial"/>
          <w:szCs w:val="20"/>
          <w:lang w:val="en-US"/>
        </w:rPr>
        <w:t xml:space="preserve"> (GWPCARE1</w:t>
      </w:r>
      <w:r w:rsidR="00AC0280">
        <w:rPr>
          <w:rFonts w:cs="Arial"/>
          <w:szCs w:val="20"/>
          <w:lang w:val="en-US"/>
        </w:rPr>
        <w:t>B</w:t>
      </w:r>
      <w:r w:rsidR="00643D0B">
        <w:rPr>
          <w:rFonts w:cs="Arial"/>
          <w:szCs w:val="20"/>
          <w:lang w:val="en-US"/>
        </w:rPr>
        <w:t>, 3</w:t>
      </w:r>
      <w:r w:rsidR="00AC0280">
        <w:rPr>
          <w:rFonts w:cs="Arial"/>
          <w:szCs w:val="20"/>
          <w:lang w:val="en-US"/>
        </w:rPr>
        <w:t xml:space="preserve"> and 4</w:t>
      </w:r>
      <w:r w:rsidR="001F7499">
        <w:rPr>
          <w:rFonts w:cs="Arial"/>
          <w:szCs w:val="20"/>
          <w:lang w:val="en-US"/>
        </w:rPr>
        <w:t>)</w:t>
      </w:r>
      <w:r>
        <w:rPr>
          <w:rFonts w:cs="Arial"/>
          <w:szCs w:val="20"/>
          <w:lang w:val="en-US"/>
        </w:rPr>
        <w:t>), found that adverse effects were most commonly seen within the first 14 days of dose escalation. Effects that occurred in more than 10% of treated patients were pyre</w:t>
      </w:r>
      <w:r w:rsidR="004B2A38">
        <w:rPr>
          <w:rFonts w:cs="Arial"/>
          <w:szCs w:val="20"/>
          <w:lang w:val="en-US"/>
        </w:rPr>
        <w:t>x</w:t>
      </w:r>
      <w:r>
        <w:rPr>
          <w:rFonts w:cs="Arial"/>
          <w:szCs w:val="20"/>
          <w:lang w:val="en-US"/>
        </w:rPr>
        <w:t>ia, upper respiratory tract infection, somnolence, decreased appetite, diarrh</w:t>
      </w:r>
      <w:r w:rsidR="00AC0280">
        <w:rPr>
          <w:rFonts w:cs="Arial"/>
          <w:szCs w:val="20"/>
          <w:lang w:val="en-US"/>
        </w:rPr>
        <w:t>o</w:t>
      </w:r>
      <w:r>
        <w:rPr>
          <w:rFonts w:cs="Arial"/>
          <w:szCs w:val="20"/>
          <w:lang w:val="en-US"/>
        </w:rPr>
        <w:t>ea, vomiting, nasopharyngitis, status epilepticus, fatigue, convulsion and lethargy. Reports of somnolence were more frequent in patients w</w:t>
      </w:r>
      <w:r w:rsidR="00F26598">
        <w:rPr>
          <w:rFonts w:cs="Arial"/>
          <w:szCs w:val="20"/>
          <w:lang w:val="en-US"/>
        </w:rPr>
        <w:t>ho were also receiving clobazam</w:t>
      </w:r>
      <w:r>
        <w:rPr>
          <w:rFonts w:cs="Arial"/>
          <w:szCs w:val="20"/>
          <w:lang w:val="en-US"/>
        </w:rPr>
        <w:t xml:space="preserve"> (</w:t>
      </w:r>
      <w:r w:rsidR="00C22719">
        <w:rPr>
          <w:rFonts w:cs="Arial"/>
          <w:szCs w:val="20"/>
          <w:lang w:val="en-US"/>
        </w:rPr>
        <w:t>1</w:t>
      </w:r>
      <w:r w:rsidR="00CC6C99">
        <w:rPr>
          <w:rFonts w:cs="Arial"/>
          <w:szCs w:val="20"/>
          <w:lang w:val="en-US"/>
        </w:rPr>
        <w:t>7</w:t>
      </w:r>
      <w:r>
        <w:rPr>
          <w:rFonts w:cs="Arial"/>
          <w:szCs w:val="20"/>
          <w:lang w:val="en-US"/>
        </w:rPr>
        <w:t>)</w:t>
      </w:r>
      <w:r w:rsidR="00993633">
        <w:rPr>
          <w:rFonts w:cs="Arial"/>
          <w:szCs w:val="20"/>
          <w:lang w:val="en-US"/>
        </w:rPr>
        <w:t>.</w:t>
      </w:r>
    </w:p>
    <w:p w14:paraId="6CE266F6" w14:textId="159B1852" w:rsidR="00BF6A60" w:rsidRDefault="009F1208" w:rsidP="00177485">
      <w:pPr>
        <w:rPr>
          <w:rFonts w:cs="Arial"/>
          <w:szCs w:val="20"/>
          <w:lang w:val="en-US"/>
        </w:rPr>
      </w:pPr>
      <w:r>
        <w:rPr>
          <w:rFonts w:cs="Arial"/>
          <w:szCs w:val="20"/>
          <w:lang w:val="en-US"/>
        </w:rPr>
        <w:t>GWPCARE5 is</w:t>
      </w:r>
      <w:r w:rsidR="00A879FC">
        <w:rPr>
          <w:rFonts w:cs="Arial"/>
          <w:szCs w:val="20"/>
          <w:lang w:val="en-US"/>
        </w:rPr>
        <w:t xml:space="preserve"> </w:t>
      </w:r>
      <w:r>
        <w:rPr>
          <w:rFonts w:cs="Arial"/>
          <w:szCs w:val="20"/>
          <w:lang w:val="en-US"/>
        </w:rPr>
        <w:t xml:space="preserve">an </w:t>
      </w:r>
      <w:r w:rsidR="00A879FC">
        <w:rPr>
          <w:rFonts w:cs="Arial"/>
          <w:szCs w:val="20"/>
          <w:lang w:val="en-US"/>
        </w:rPr>
        <w:t>o</w:t>
      </w:r>
      <w:r w:rsidR="00B3035C">
        <w:rPr>
          <w:rFonts w:cs="Arial"/>
          <w:szCs w:val="20"/>
          <w:lang w:val="en-US"/>
        </w:rPr>
        <w:t>pen-</w:t>
      </w:r>
      <w:r w:rsidR="004B2A38">
        <w:rPr>
          <w:rFonts w:cs="Arial"/>
          <w:szCs w:val="20"/>
          <w:lang w:val="en-US"/>
        </w:rPr>
        <w:t>label</w:t>
      </w:r>
      <w:r w:rsidR="00173E83">
        <w:rPr>
          <w:rFonts w:cs="Arial"/>
          <w:szCs w:val="20"/>
          <w:lang w:val="en-US"/>
        </w:rPr>
        <w:t xml:space="preserve"> extension</w:t>
      </w:r>
      <w:r>
        <w:rPr>
          <w:rFonts w:cs="Arial"/>
          <w:szCs w:val="20"/>
          <w:lang w:val="en-US"/>
        </w:rPr>
        <w:t xml:space="preserve"> study</w:t>
      </w:r>
      <w:r w:rsidR="00173E83">
        <w:rPr>
          <w:rFonts w:cs="Arial"/>
          <w:szCs w:val="20"/>
          <w:lang w:val="en-US"/>
        </w:rPr>
        <w:t xml:space="preserve"> of GWPCARE1, </w:t>
      </w:r>
      <w:r w:rsidR="00AC0280">
        <w:rPr>
          <w:rFonts w:cs="Arial"/>
          <w:szCs w:val="20"/>
          <w:lang w:val="en-US"/>
        </w:rPr>
        <w:t>3</w:t>
      </w:r>
      <w:r w:rsidR="00173E83">
        <w:rPr>
          <w:rFonts w:cs="Arial"/>
          <w:szCs w:val="20"/>
          <w:lang w:val="en-US"/>
        </w:rPr>
        <w:t xml:space="preserve"> and </w:t>
      </w:r>
      <w:r w:rsidR="00AC0280">
        <w:rPr>
          <w:rFonts w:cs="Arial"/>
          <w:szCs w:val="20"/>
          <w:lang w:val="en-US"/>
        </w:rPr>
        <w:t>4</w:t>
      </w:r>
      <w:r w:rsidR="00A879FC">
        <w:rPr>
          <w:rFonts w:cs="Arial"/>
          <w:szCs w:val="20"/>
          <w:lang w:val="en-US"/>
        </w:rPr>
        <w:t xml:space="preserve"> </w:t>
      </w:r>
      <w:r w:rsidR="00BD361C">
        <w:rPr>
          <w:rFonts w:cs="Arial"/>
          <w:szCs w:val="20"/>
          <w:lang w:val="en-US"/>
        </w:rPr>
        <w:t xml:space="preserve">mentioned </w:t>
      </w:r>
      <w:r w:rsidR="00A879FC">
        <w:rPr>
          <w:rFonts w:cs="Arial"/>
          <w:szCs w:val="20"/>
          <w:lang w:val="en-US"/>
        </w:rPr>
        <w:t>above</w:t>
      </w:r>
      <w:r w:rsidR="001F7499">
        <w:rPr>
          <w:rFonts w:cs="Arial"/>
          <w:szCs w:val="20"/>
          <w:lang w:val="en-US"/>
        </w:rPr>
        <w:t xml:space="preserve"> (</w:t>
      </w:r>
      <w:r w:rsidR="006953A2">
        <w:rPr>
          <w:rFonts w:cs="Arial"/>
          <w:szCs w:val="20"/>
          <w:lang w:val="en-US"/>
        </w:rPr>
        <w:t>1</w:t>
      </w:r>
      <w:r w:rsidR="00953AA5">
        <w:rPr>
          <w:rFonts w:cs="Arial"/>
          <w:szCs w:val="20"/>
          <w:lang w:val="en-US"/>
        </w:rPr>
        <w:t>5</w:t>
      </w:r>
      <w:r w:rsidR="006953A2">
        <w:rPr>
          <w:rFonts w:cs="Arial"/>
          <w:szCs w:val="20"/>
          <w:lang w:val="en-US"/>
        </w:rPr>
        <w:t>-1</w:t>
      </w:r>
      <w:r w:rsidR="00953AA5">
        <w:rPr>
          <w:rFonts w:cs="Arial"/>
          <w:szCs w:val="20"/>
          <w:lang w:val="en-US"/>
        </w:rPr>
        <w:t>7</w:t>
      </w:r>
      <w:r w:rsidR="001F7499">
        <w:rPr>
          <w:rFonts w:cs="Arial"/>
          <w:szCs w:val="20"/>
          <w:lang w:val="en-US"/>
        </w:rPr>
        <w:t>)</w:t>
      </w:r>
      <w:r w:rsidR="00BD361C">
        <w:rPr>
          <w:rFonts w:cs="Arial"/>
          <w:szCs w:val="20"/>
          <w:lang w:val="en-US"/>
        </w:rPr>
        <w:t>,</w:t>
      </w:r>
      <w:r w:rsidR="00077083">
        <w:rPr>
          <w:rFonts w:cs="Arial"/>
          <w:szCs w:val="20"/>
          <w:lang w:val="en-US"/>
        </w:rPr>
        <w:t xml:space="preserve"> and </w:t>
      </w:r>
      <w:r w:rsidR="00C03B73">
        <w:rPr>
          <w:rFonts w:cs="Arial"/>
          <w:szCs w:val="20"/>
          <w:lang w:val="en-US"/>
        </w:rPr>
        <w:t xml:space="preserve">of </w:t>
      </w:r>
      <w:r w:rsidR="00077083">
        <w:rPr>
          <w:rFonts w:cs="Arial"/>
          <w:szCs w:val="20"/>
          <w:lang w:val="en-US"/>
        </w:rPr>
        <w:t xml:space="preserve">a further study </w:t>
      </w:r>
      <w:r w:rsidR="00BD361C">
        <w:rPr>
          <w:rFonts w:cs="Arial"/>
          <w:szCs w:val="20"/>
          <w:lang w:val="en-US"/>
        </w:rPr>
        <w:t>in Dravet syndrome (</w:t>
      </w:r>
      <w:r w:rsidR="00173E83">
        <w:rPr>
          <w:rFonts w:cs="Arial"/>
          <w:szCs w:val="20"/>
          <w:lang w:val="en-US"/>
        </w:rPr>
        <w:t>(GWPCARE2)</w:t>
      </w:r>
      <w:r w:rsidR="00C03B73">
        <w:rPr>
          <w:rFonts w:cs="Arial"/>
          <w:szCs w:val="20"/>
          <w:lang w:val="en-US"/>
        </w:rPr>
        <w:t xml:space="preserve"> 1</w:t>
      </w:r>
      <w:r w:rsidR="00953AA5">
        <w:rPr>
          <w:rFonts w:cs="Arial"/>
          <w:szCs w:val="20"/>
          <w:lang w:val="en-US"/>
        </w:rPr>
        <w:t>9</w:t>
      </w:r>
      <w:r w:rsidR="00BD361C">
        <w:rPr>
          <w:rFonts w:cs="Arial"/>
          <w:szCs w:val="20"/>
          <w:lang w:val="en-US"/>
        </w:rPr>
        <w:t>)</w:t>
      </w:r>
      <w:r w:rsidR="00A879FC">
        <w:rPr>
          <w:rFonts w:cs="Arial"/>
          <w:szCs w:val="20"/>
          <w:lang w:val="en-US"/>
        </w:rPr>
        <w:t xml:space="preserve">, </w:t>
      </w:r>
      <w:r w:rsidR="00F4616F">
        <w:rPr>
          <w:rFonts w:cs="Arial"/>
          <w:szCs w:val="20"/>
          <w:lang w:val="en-US"/>
        </w:rPr>
        <w:t>as yet unpublished</w:t>
      </w:r>
      <w:r>
        <w:rPr>
          <w:rFonts w:cs="Arial"/>
          <w:szCs w:val="20"/>
          <w:lang w:val="en-US"/>
        </w:rPr>
        <w:t>.</w:t>
      </w:r>
      <w:r w:rsidR="00F4616F">
        <w:rPr>
          <w:rFonts w:cs="Arial"/>
          <w:szCs w:val="20"/>
          <w:lang w:val="en-US"/>
        </w:rPr>
        <w:t xml:space="preserve"> </w:t>
      </w:r>
      <w:r>
        <w:rPr>
          <w:rFonts w:cs="Arial"/>
          <w:szCs w:val="20"/>
          <w:lang w:val="en-US"/>
        </w:rPr>
        <w:t>O</w:t>
      </w:r>
      <w:r w:rsidR="00A879FC">
        <w:rPr>
          <w:rFonts w:cs="Arial"/>
          <w:szCs w:val="20"/>
          <w:lang w:val="en-US"/>
        </w:rPr>
        <w:t xml:space="preserve">ver 600 patients </w:t>
      </w:r>
      <w:r>
        <w:rPr>
          <w:rFonts w:cs="Arial"/>
          <w:szCs w:val="20"/>
          <w:lang w:val="en-US"/>
        </w:rPr>
        <w:t xml:space="preserve">entered GWPCARE5 and </w:t>
      </w:r>
      <w:r w:rsidR="00A879FC">
        <w:rPr>
          <w:rFonts w:cs="Arial"/>
          <w:szCs w:val="20"/>
          <w:lang w:val="en-US"/>
        </w:rPr>
        <w:t>received CBD treatment at a mean modal dose of 21-23 mg/kg/day for a median of 38-39 weeks. For these patients, t</w:t>
      </w:r>
      <w:r w:rsidR="007B1415">
        <w:rPr>
          <w:rFonts w:cs="Arial"/>
          <w:szCs w:val="20"/>
          <w:lang w:val="en-US"/>
        </w:rPr>
        <w:t>reatmen</w:t>
      </w:r>
      <w:r w:rsidR="00A879FC">
        <w:rPr>
          <w:rFonts w:cs="Arial"/>
          <w:szCs w:val="20"/>
          <w:lang w:val="en-US"/>
        </w:rPr>
        <w:t xml:space="preserve">t-emergent adverse effects were found to be </w:t>
      </w:r>
      <w:r w:rsidR="007B1415">
        <w:rPr>
          <w:rFonts w:cs="Arial"/>
          <w:szCs w:val="20"/>
          <w:lang w:val="en-US"/>
        </w:rPr>
        <w:t xml:space="preserve">consistent with </w:t>
      </w:r>
      <w:r w:rsidR="00A879FC">
        <w:rPr>
          <w:rFonts w:cs="Arial"/>
          <w:szCs w:val="20"/>
          <w:lang w:val="en-US"/>
        </w:rPr>
        <w:t xml:space="preserve">those reported in the </w:t>
      </w:r>
      <w:r w:rsidR="006C6F25">
        <w:rPr>
          <w:rFonts w:cs="Arial"/>
          <w:szCs w:val="20"/>
          <w:lang w:val="en-US"/>
        </w:rPr>
        <w:t xml:space="preserve">14-week </w:t>
      </w:r>
      <w:r w:rsidR="00A879FC">
        <w:rPr>
          <w:rFonts w:cs="Arial"/>
          <w:szCs w:val="20"/>
          <w:lang w:val="en-US"/>
        </w:rPr>
        <w:t xml:space="preserve">original studies </w:t>
      </w:r>
      <w:r w:rsidR="007F04F3">
        <w:rPr>
          <w:rFonts w:cs="Arial"/>
          <w:szCs w:val="20"/>
          <w:lang w:val="en-US"/>
        </w:rPr>
        <w:t>(</w:t>
      </w:r>
      <w:r w:rsidR="0028588C">
        <w:rPr>
          <w:rFonts w:cs="Arial"/>
          <w:szCs w:val="20"/>
          <w:lang w:val="en-US"/>
        </w:rPr>
        <w:t>20</w:t>
      </w:r>
      <w:r w:rsidR="00AD3F47">
        <w:rPr>
          <w:rFonts w:cs="Arial"/>
          <w:szCs w:val="20"/>
          <w:lang w:val="en-US"/>
        </w:rPr>
        <w:t xml:space="preserve">, </w:t>
      </w:r>
      <w:r w:rsidR="0028588C">
        <w:rPr>
          <w:rFonts w:cs="Arial"/>
          <w:szCs w:val="20"/>
          <w:lang w:val="en-US"/>
        </w:rPr>
        <w:t>21</w:t>
      </w:r>
      <w:r w:rsidR="00D84C0A">
        <w:rPr>
          <w:rFonts w:cs="Arial"/>
          <w:szCs w:val="20"/>
          <w:lang w:val="en-US"/>
        </w:rPr>
        <w:t>).</w:t>
      </w:r>
    </w:p>
    <w:p w14:paraId="3B9E1500" w14:textId="59D2DD18" w:rsidR="009E2922" w:rsidRDefault="004F6362" w:rsidP="00177485">
      <w:pPr>
        <w:autoSpaceDE w:val="0"/>
        <w:autoSpaceDN w:val="0"/>
        <w:adjustRightInd w:val="0"/>
        <w:spacing w:after="0" w:line="240" w:lineRule="auto"/>
      </w:pPr>
      <w:r>
        <w:rPr>
          <w:rFonts w:eastAsiaTheme="minorHAnsi" w:cs="Arial"/>
          <w:color w:val="000000"/>
          <w:szCs w:val="20"/>
        </w:rPr>
        <w:t>D</w:t>
      </w:r>
      <w:r w:rsidR="00E142EA" w:rsidRPr="00177485">
        <w:rPr>
          <w:rFonts w:eastAsiaTheme="minorHAnsi" w:cs="Arial"/>
          <w:color w:val="000000"/>
          <w:szCs w:val="20"/>
        </w:rPr>
        <w:t xml:space="preserve">ose-related </w:t>
      </w:r>
      <w:r w:rsidR="002C33A8" w:rsidRPr="00177485">
        <w:rPr>
          <w:rFonts w:eastAsiaTheme="minorHAnsi" w:cs="Arial"/>
          <w:color w:val="000000"/>
          <w:szCs w:val="20"/>
        </w:rPr>
        <w:t xml:space="preserve">elevations of liver transaminase enzyme levels </w:t>
      </w:r>
      <w:r w:rsidR="009F1208">
        <w:rPr>
          <w:rFonts w:eastAsiaTheme="minorHAnsi" w:cs="Arial"/>
          <w:color w:val="000000"/>
          <w:szCs w:val="20"/>
        </w:rPr>
        <w:t>in</w:t>
      </w:r>
      <w:r w:rsidR="00F07E1C">
        <w:rPr>
          <w:rFonts w:eastAsiaTheme="minorHAnsi" w:cs="Arial"/>
          <w:color w:val="000000"/>
          <w:szCs w:val="20"/>
        </w:rPr>
        <w:t xml:space="preserve"> </w:t>
      </w:r>
      <w:r>
        <w:rPr>
          <w:rFonts w:eastAsiaTheme="minorHAnsi" w:cs="Arial"/>
          <w:color w:val="000000"/>
          <w:szCs w:val="20"/>
        </w:rPr>
        <w:t xml:space="preserve">GWPCARE5 </w:t>
      </w:r>
      <w:r w:rsidR="002C33A8" w:rsidRPr="00177485">
        <w:rPr>
          <w:rFonts w:eastAsiaTheme="minorHAnsi" w:cs="Arial"/>
          <w:color w:val="000000"/>
          <w:szCs w:val="20"/>
        </w:rPr>
        <w:t xml:space="preserve">were reported </w:t>
      </w:r>
      <w:r w:rsidR="00E142EA" w:rsidRPr="00177485">
        <w:rPr>
          <w:rFonts w:eastAsiaTheme="minorHAnsi" w:cs="Arial"/>
          <w:color w:val="000000"/>
          <w:szCs w:val="20"/>
        </w:rPr>
        <w:t xml:space="preserve">in </w:t>
      </w:r>
      <w:r w:rsidR="00DD4E94" w:rsidRPr="00177485">
        <w:rPr>
          <w:rFonts w:eastAsiaTheme="minorHAnsi" w:cs="Arial"/>
          <w:color w:val="000000"/>
          <w:szCs w:val="20"/>
        </w:rPr>
        <w:t>10.1</w:t>
      </w:r>
      <w:r w:rsidR="00E142EA" w:rsidRPr="00177485">
        <w:rPr>
          <w:rFonts w:eastAsiaTheme="minorHAnsi" w:cs="Arial"/>
          <w:color w:val="000000"/>
          <w:szCs w:val="20"/>
        </w:rPr>
        <w:t xml:space="preserve">% of </w:t>
      </w:r>
      <w:r w:rsidR="00CF326E">
        <w:rPr>
          <w:rFonts w:eastAsiaTheme="minorHAnsi" w:cs="Arial"/>
          <w:color w:val="000000"/>
          <w:szCs w:val="20"/>
        </w:rPr>
        <w:t xml:space="preserve">336 </w:t>
      </w:r>
      <w:r w:rsidR="00E142EA" w:rsidRPr="00177485">
        <w:rPr>
          <w:rFonts w:eastAsiaTheme="minorHAnsi" w:cs="Arial"/>
          <w:color w:val="000000"/>
          <w:szCs w:val="20"/>
        </w:rPr>
        <w:t xml:space="preserve">patients </w:t>
      </w:r>
      <w:r w:rsidR="00CF326E">
        <w:rPr>
          <w:rFonts w:eastAsiaTheme="minorHAnsi" w:cs="Arial"/>
          <w:color w:val="000000"/>
          <w:szCs w:val="20"/>
        </w:rPr>
        <w:t>with</w:t>
      </w:r>
      <w:r w:rsidR="00E142EA" w:rsidRPr="00177485">
        <w:rPr>
          <w:rFonts w:eastAsiaTheme="minorHAnsi" w:cs="Arial"/>
          <w:color w:val="000000"/>
          <w:szCs w:val="20"/>
        </w:rPr>
        <w:t xml:space="preserve"> </w:t>
      </w:r>
      <w:r w:rsidR="00480B7C" w:rsidRPr="00177485">
        <w:rPr>
          <w:rFonts w:eastAsiaTheme="minorHAnsi" w:cs="Arial"/>
          <w:color w:val="000000"/>
          <w:szCs w:val="20"/>
        </w:rPr>
        <w:t>Lennox-Gastaut</w:t>
      </w:r>
      <w:r w:rsidR="00E142EA" w:rsidRPr="00177485">
        <w:rPr>
          <w:rFonts w:eastAsiaTheme="minorHAnsi" w:cs="Arial"/>
          <w:color w:val="000000"/>
          <w:szCs w:val="20"/>
        </w:rPr>
        <w:t xml:space="preserve"> </w:t>
      </w:r>
      <w:r w:rsidR="00CF326E">
        <w:rPr>
          <w:rFonts w:eastAsiaTheme="minorHAnsi" w:cs="Arial"/>
          <w:color w:val="000000"/>
          <w:szCs w:val="20"/>
        </w:rPr>
        <w:t xml:space="preserve">syndrome </w:t>
      </w:r>
      <w:r w:rsidR="00480B7C" w:rsidRPr="00177485">
        <w:rPr>
          <w:rFonts w:eastAsiaTheme="minorHAnsi" w:cs="Arial"/>
          <w:color w:val="000000"/>
          <w:szCs w:val="20"/>
        </w:rPr>
        <w:t>and in 17.2</w:t>
      </w:r>
      <w:r w:rsidR="00CF326E" w:rsidRPr="00CF326E">
        <w:rPr>
          <w:rFonts w:eastAsiaTheme="minorHAnsi" w:cs="Arial"/>
          <w:color w:val="000000"/>
          <w:szCs w:val="20"/>
        </w:rPr>
        <w:t>% of 128 patients</w:t>
      </w:r>
      <w:r w:rsidR="00480B7C" w:rsidRPr="00177485">
        <w:rPr>
          <w:rFonts w:eastAsiaTheme="minorHAnsi" w:cs="Arial"/>
          <w:color w:val="000000"/>
          <w:szCs w:val="20"/>
        </w:rPr>
        <w:t xml:space="preserve"> </w:t>
      </w:r>
      <w:r w:rsidR="00CF326E">
        <w:rPr>
          <w:rFonts w:eastAsiaTheme="minorHAnsi" w:cs="Arial"/>
          <w:color w:val="000000"/>
          <w:szCs w:val="20"/>
        </w:rPr>
        <w:t>with</w:t>
      </w:r>
      <w:r w:rsidR="00480B7C" w:rsidRPr="00177485">
        <w:rPr>
          <w:rFonts w:eastAsiaTheme="minorHAnsi" w:cs="Arial"/>
          <w:color w:val="000000"/>
          <w:szCs w:val="20"/>
        </w:rPr>
        <w:t xml:space="preserve"> Dravet syndrome </w:t>
      </w:r>
      <w:r w:rsidR="002D259A">
        <w:rPr>
          <w:rFonts w:eastAsiaTheme="minorHAnsi" w:cs="Arial"/>
          <w:color w:val="000000"/>
          <w:szCs w:val="20"/>
        </w:rPr>
        <w:t>(</w:t>
      </w:r>
      <w:r w:rsidR="0028588C">
        <w:rPr>
          <w:rFonts w:eastAsiaTheme="minorHAnsi" w:cs="Arial"/>
          <w:color w:val="000000"/>
          <w:szCs w:val="20"/>
        </w:rPr>
        <w:t>20</w:t>
      </w:r>
      <w:r w:rsidR="00AD3F47">
        <w:rPr>
          <w:rFonts w:eastAsiaTheme="minorHAnsi" w:cs="Arial"/>
          <w:color w:val="000000"/>
          <w:szCs w:val="20"/>
        </w:rPr>
        <w:t xml:space="preserve">, </w:t>
      </w:r>
      <w:r w:rsidR="0028588C">
        <w:rPr>
          <w:rFonts w:eastAsiaTheme="minorHAnsi" w:cs="Arial"/>
          <w:color w:val="000000"/>
          <w:szCs w:val="20"/>
        </w:rPr>
        <w:t>21</w:t>
      </w:r>
      <w:r w:rsidR="002D259A">
        <w:rPr>
          <w:rFonts w:eastAsiaTheme="minorHAnsi" w:cs="Arial"/>
          <w:color w:val="000000"/>
          <w:szCs w:val="20"/>
        </w:rPr>
        <w:t>)</w:t>
      </w:r>
      <w:r w:rsidR="00480B7C" w:rsidRPr="00177485">
        <w:rPr>
          <w:rFonts w:eastAsiaTheme="minorHAnsi" w:cs="Arial"/>
          <w:color w:val="000000"/>
          <w:szCs w:val="20"/>
        </w:rPr>
        <w:t>. These elevations occurred</w:t>
      </w:r>
      <w:r w:rsidR="002C33A8" w:rsidRPr="00177485">
        <w:rPr>
          <w:rFonts w:eastAsiaTheme="minorHAnsi" w:cs="Arial"/>
          <w:color w:val="000000"/>
          <w:szCs w:val="20"/>
        </w:rPr>
        <w:t xml:space="preserve"> most often in patients receiving valproic acid</w:t>
      </w:r>
      <w:r w:rsidR="00B706B7">
        <w:rPr>
          <w:rFonts w:eastAsiaTheme="minorHAnsi" w:cs="Arial"/>
          <w:color w:val="000000"/>
          <w:szCs w:val="20"/>
        </w:rPr>
        <w:t xml:space="preserve"> which itself is</w:t>
      </w:r>
      <w:r w:rsidR="00BE3708">
        <w:rPr>
          <w:rFonts w:eastAsiaTheme="minorHAnsi" w:cs="Arial"/>
          <w:color w:val="000000"/>
          <w:szCs w:val="20"/>
        </w:rPr>
        <w:t xml:space="preserve"> </w:t>
      </w:r>
      <w:r w:rsidR="00A81721">
        <w:rPr>
          <w:rFonts w:eastAsiaTheme="minorHAnsi" w:cs="Arial"/>
          <w:color w:val="000000"/>
          <w:szCs w:val="20"/>
        </w:rPr>
        <w:t>known to be hepatotoxic</w:t>
      </w:r>
      <w:r w:rsidR="00B30D86">
        <w:rPr>
          <w:rFonts w:eastAsiaTheme="minorHAnsi" w:cs="Arial"/>
          <w:color w:val="000000"/>
          <w:szCs w:val="20"/>
        </w:rPr>
        <w:t xml:space="preserve"> (</w:t>
      </w:r>
      <w:r w:rsidR="0028588C">
        <w:rPr>
          <w:rFonts w:eastAsiaTheme="minorHAnsi" w:cs="Arial"/>
          <w:color w:val="000000"/>
          <w:szCs w:val="20"/>
        </w:rPr>
        <w:t>20</w:t>
      </w:r>
      <w:r w:rsidR="00AD3F47">
        <w:rPr>
          <w:rFonts w:eastAsiaTheme="minorHAnsi" w:cs="Arial"/>
          <w:color w:val="000000"/>
          <w:szCs w:val="20"/>
        </w:rPr>
        <w:t xml:space="preserve">, </w:t>
      </w:r>
      <w:r w:rsidR="0028588C">
        <w:rPr>
          <w:rFonts w:eastAsiaTheme="minorHAnsi" w:cs="Arial"/>
          <w:color w:val="000000"/>
          <w:szCs w:val="20"/>
        </w:rPr>
        <w:t>21</w:t>
      </w:r>
      <w:r w:rsidR="00B30D86">
        <w:rPr>
          <w:rFonts w:eastAsiaTheme="minorHAnsi" w:cs="Arial"/>
          <w:color w:val="000000"/>
          <w:szCs w:val="20"/>
        </w:rPr>
        <w:t xml:space="preserve">). </w:t>
      </w:r>
      <w:r w:rsidR="00B706B7">
        <w:rPr>
          <w:rFonts w:cs="Arial"/>
          <w:szCs w:val="20"/>
          <w:lang w:val="en-US"/>
        </w:rPr>
        <w:t>C</w:t>
      </w:r>
      <w:r w:rsidR="00F879A7">
        <w:rPr>
          <w:rFonts w:cs="Arial"/>
          <w:szCs w:val="20"/>
          <w:lang w:val="en-US"/>
        </w:rPr>
        <w:t xml:space="preserve">lobazam </w:t>
      </w:r>
      <w:r w:rsidR="00B706B7">
        <w:rPr>
          <w:rFonts w:cs="Arial"/>
          <w:szCs w:val="20"/>
          <w:lang w:val="en-US"/>
        </w:rPr>
        <w:t>has also been found to increase</w:t>
      </w:r>
      <w:r w:rsidR="00F879A7">
        <w:rPr>
          <w:rFonts w:cs="Arial"/>
          <w:szCs w:val="20"/>
          <w:lang w:val="en-US"/>
        </w:rPr>
        <w:t xml:space="preserve"> the </w:t>
      </w:r>
      <w:r w:rsidR="009E2DAF">
        <w:rPr>
          <w:rFonts w:cs="Arial"/>
          <w:szCs w:val="20"/>
          <w:lang w:val="en-US"/>
        </w:rPr>
        <w:t>incidence of transaminase elevations</w:t>
      </w:r>
      <w:r w:rsidR="00B706B7">
        <w:rPr>
          <w:rFonts w:cs="Arial"/>
          <w:szCs w:val="20"/>
          <w:lang w:val="en-US"/>
        </w:rPr>
        <w:t xml:space="preserve"> </w:t>
      </w:r>
      <w:r w:rsidR="00B706B7">
        <w:rPr>
          <w:rFonts w:eastAsiaTheme="minorHAnsi" w:cs="Arial"/>
          <w:color w:val="000000"/>
          <w:szCs w:val="20"/>
        </w:rPr>
        <w:t xml:space="preserve">with </w:t>
      </w:r>
      <w:r w:rsidR="00B706B7">
        <w:rPr>
          <w:rFonts w:cs="Arial"/>
          <w:szCs w:val="20"/>
          <w:lang w:val="en-US"/>
        </w:rPr>
        <w:t xml:space="preserve">CBD, </w:t>
      </w:r>
      <w:r w:rsidR="00B30D86">
        <w:rPr>
          <w:rFonts w:cs="Arial"/>
          <w:szCs w:val="20"/>
          <w:lang w:val="en-US"/>
        </w:rPr>
        <w:t xml:space="preserve">but </w:t>
      </w:r>
      <w:r w:rsidR="00626F18">
        <w:rPr>
          <w:rFonts w:cs="Arial"/>
          <w:szCs w:val="20"/>
          <w:lang w:val="en-US"/>
        </w:rPr>
        <w:t>to a lesser extent</w:t>
      </w:r>
      <w:r w:rsidR="00B30D86">
        <w:rPr>
          <w:rFonts w:cs="Arial"/>
          <w:szCs w:val="20"/>
          <w:lang w:val="en-US"/>
        </w:rPr>
        <w:t xml:space="preserve"> than valproate</w:t>
      </w:r>
      <w:r w:rsidR="00AD3F47">
        <w:rPr>
          <w:rFonts w:cs="Arial"/>
          <w:szCs w:val="20"/>
          <w:lang w:val="en-US"/>
        </w:rPr>
        <w:t xml:space="preserve"> (</w:t>
      </w:r>
      <w:r w:rsidR="0028588C">
        <w:rPr>
          <w:rFonts w:cs="Arial"/>
          <w:szCs w:val="20"/>
          <w:lang w:val="en-US"/>
        </w:rPr>
        <w:t>22</w:t>
      </w:r>
      <w:r w:rsidR="00EB230C">
        <w:rPr>
          <w:rFonts w:cs="Arial"/>
          <w:szCs w:val="20"/>
          <w:lang w:val="en-US"/>
        </w:rPr>
        <w:t xml:space="preserve">, </w:t>
      </w:r>
      <w:r w:rsidR="00AD3F47">
        <w:rPr>
          <w:rFonts w:cs="Arial"/>
          <w:szCs w:val="20"/>
          <w:lang w:val="en-US"/>
        </w:rPr>
        <w:t>2</w:t>
      </w:r>
      <w:r w:rsidR="0028588C">
        <w:rPr>
          <w:rFonts w:cs="Arial"/>
          <w:szCs w:val="20"/>
          <w:lang w:val="en-US"/>
        </w:rPr>
        <w:t>3</w:t>
      </w:r>
      <w:r w:rsidR="00B30D86">
        <w:rPr>
          <w:rFonts w:cs="Arial"/>
          <w:szCs w:val="20"/>
          <w:lang w:val="en-US"/>
        </w:rPr>
        <w:t>)</w:t>
      </w:r>
      <w:r w:rsidR="005A016B" w:rsidRPr="00177485">
        <w:rPr>
          <w:rFonts w:eastAsiaTheme="minorHAnsi" w:cs="Arial"/>
          <w:color w:val="000000"/>
          <w:sz w:val="24"/>
          <w:szCs w:val="24"/>
        </w:rPr>
        <w:t>.</w:t>
      </w:r>
      <w:r w:rsidR="002C33A8" w:rsidRPr="00177485">
        <w:rPr>
          <w:rFonts w:eastAsiaTheme="minorHAnsi" w:cs="Arial"/>
          <w:b/>
          <w:color w:val="000000"/>
          <w:sz w:val="24"/>
          <w:szCs w:val="24"/>
        </w:rPr>
        <w:t xml:space="preserve"> </w:t>
      </w:r>
      <w:r w:rsidR="00E142EA" w:rsidRPr="00177485">
        <w:rPr>
          <w:rFonts w:eastAsiaTheme="minorHAnsi" w:cs="Arial"/>
          <w:color w:val="000000"/>
          <w:szCs w:val="20"/>
        </w:rPr>
        <w:t>In the majority of cases</w:t>
      </w:r>
      <w:r w:rsidR="00A27E9C">
        <w:rPr>
          <w:rFonts w:eastAsiaTheme="minorHAnsi" w:cs="Arial"/>
          <w:color w:val="000000"/>
          <w:szCs w:val="20"/>
        </w:rPr>
        <w:t xml:space="preserve"> in GWPCARE5</w:t>
      </w:r>
      <w:r w:rsidR="00E142EA" w:rsidRPr="00177485">
        <w:rPr>
          <w:rFonts w:eastAsiaTheme="minorHAnsi" w:cs="Arial"/>
          <w:color w:val="000000"/>
          <w:szCs w:val="20"/>
        </w:rPr>
        <w:t>, t</w:t>
      </w:r>
      <w:r w:rsidR="00B30D86">
        <w:rPr>
          <w:rFonts w:eastAsiaTheme="minorHAnsi" w:cs="Arial"/>
          <w:color w:val="000000"/>
          <w:szCs w:val="20"/>
        </w:rPr>
        <w:t>ransaminase elevations</w:t>
      </w:r>
      <w:r w:rsidR="00480B7C" w:rsidRPr="00177485">
        <w:rPr>
          <w:rFonts w:eastAsiaTheme="minorHAnsi" w:cs="Arial"/>
          <w:color w:val="000000"/>
          <w:szCs w:val="20"/>
        </w:rPr>
        <w:t xml:space="preserve"> </w:t>
      </w:r>
      <w:r w:rsidR="00E142EA" w:rsidRPr="00177485">
        <w:rPr>
          <w:rFonts w:eastAsiaTheme="minorHAnsi" w:cs="Arial"/>
          <w:color w:val="000000"/>
          <w:szCs w:val="20"/>
        </w:rPr>
        <w:t xml:space="preserve">resolved spontaneously, after treatment discontinuation, or following </w:t>
      </w:r>
      <w:r w:rsidR="00DD4E94" w:rsidRPr="00177485">
        <w:rPr>
          <w:rFonts w:eastAsiaTheme="minorHAnsi" w:cs="Arial"/>
          <w:color w:val="000000"/>
          <w:szCs w:val="20"/>
        </w:rPr>
        <w:t>CBD/</w:t>
      </w:r>
      <w:r w:rsidR="00E142EA" w:rsidRPr="00177485">
        <w:t>concomitant antiepileptic drug dose reduction, with resolution being achiev</w:t>
      </w:r>
      <w:r w:rsidR="008F384D" w:rsidRPr="008F384D">
        <w:t xml:space="preserve">ed at </w:t>
      </w:r>
      <w:r w:rsidR="009E2922">
        <w:t>similar rates for each</w:t>
      </w:r>
      <w:r w:rsidR="00FF182D">
        <w:t xml:space="preserve">. </w:t>
      </w:r>
      <w:r w:rsidR="00FF182D" w:rsidRPr="00FF182D">
        <w:t xml:space="preserve">No patient met the </w:t>
      </w:r>
      <w:r w:rsidR="00B647D9" w:rsidRPr="00FF182D">
        <w:t>criteria</w:t>
      </w:r>
      <w:r w:rsidR="00FF182D" w:rsidRPr="00FF182D">
        <w:t xml:space="preserve"> for serious drug-induced liver injury</w:t>
      </w:r>
      <w:r w:rsidR="00FF182D">
        <w:t xml:space="preserve"> (</w:t>
      </w:r>
      <w:r w:rsidR="00510925">
        <w:t>alanine or aspartate aminotransferases</w:t>
      </w:r>
      <w:r w:rsidR="00A23A54">
        <w:t xml:space="preserve"> (ALT/AST)</w:t>
      </w:r>
      <w:r w:rsidR="00510925">
        <w:t xml:space="preserve"> </w:t>
      </w:r>
      <w:r w:rsidR="00FF182D">
        <w:t>&gt;3 times upper limit of normal (ULN) with concomitant total bilirubin &gt;2 ULN</w:t>
      </w:r>
      <w:r w:rsidR="005A016B" w:rsidRPr="00177485">
        <w:t xml:space="preserve"> </w:t>
      </w:r>
      <w:r w:rsidR="00BD361C" w:rsidRPr="00177485">
        <w:t>(</w:t>
      </w:r>
      <w:r w:rsidR="0028588C">
        <w:t>20</w:t>
      </w:r>
      <w:r w:rsidR="00AD3F47">
        <w:t xml:space="preserve">, </w:t>
      </w:r>
      <w:r w:rsidR="0028588C">
        <w:t>21</w:t>
      </w:r>
      <w:r w:rsidR="005A016B" w:rsidRPr="00177485">
        <w:t>)</w:t>
      </w:r>
      <w:r w:rsidR="0076630C">
        <w:t xml:space="preserve">. </w:t>
      </w:r>
    </w:p>
    <w:p w14:paraId="03B95DCB" w14:textId="77777777" w:rsidR="009E2922" w:rsidRDefault="009E2922" w:rsidP="00177485">
      <w:pPr>
        <w:autoSpaceDE w:val="0"/>
        <w:autoSpaceDN w:val="0"/>
        <w:adjustRightInd w:val="0"/>
        <w:spacing w:after="0" w:line="240" w:lineRule="auto"/>
      </w:pPr>
    </w:p>
    <w:p w14:paraId="18767AC7" w14:textId="7B6F0433" w:rsidR="002D26EA" w:rsidRPr="00EA18C5" w:rsidRDefault="000F4EBC" w:rsidP="008549AE">
      <w:r>
        <w:lastRenderedPageBreak/>
        <w:t>In the documentation submitted f</w:t>
      </w:r>
      <w:r w:rsidR="00062D44">
        <w:t>or the EU authorisation of Epidyolex</w:t>
      </w:r>
      <w:r>
        <w:t>,</w:t>
      </w:r>
      <w:r w:rsidR="00062D44">
        <w:t xml:space="preserve"> </w:t>
      </w:r>
      <w:r>
        <w:t xml:space="preserve">safety </w:t>
      </w:r>
      <w:r w:rsidR="003D1351">
        <w:t>data from L</w:t>
      </w:r>
      <w:r w:rsidR="00334206">
        <w:t>ennox</w:t>
      </w:r>
      <w:r w:rsidR="00115B9F">
        <w:t>-</w:t>
      </w:r>
      <w:r w:rsidR="00334206">
        <w:t>Gastaut and Dravet syndrome</w:t>
      </w:r>
      <w:r w:rsidR="003D1351">
        <w:t xml:space="preserve"> randomised controlled trials (RCTs)</w:t>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6A7E7A">
        <w:tab/>
      </w:r>
      <w:r w:rsidR="003D1351">
        <w:t xml:space="preserve"> were pooled an</w:t>
      </w:r>
      <w:r w:rsidR="00CA17A5">
        <w:t>d presented together. In the Lennox</w:t>
      </w:r>
      <w:r w:rsidR="00115B9F">
        <w:t>-</w:t>
      </w:r>
      <w:r w:rsidR="00CA17A5">
        <w:t>Gastaut syndrome/Dravet syndrome</w:t>
      </w:r>
      <w:r w:rsidR="003D1351">
        <w:t xml:space="preserve"> pool, </w:t>
      </w:r>
      <w:r w:rsidR="00062D44">
        <w:t>45</w:t>
      </w:r>
      <w:r w:rsidR="003D1351">
        <w:t>6 patients were exposed to CBD</w:t>
      </w:r>
      <w:r w:rsidR="00097DFF">
        <w:t xml:space="preserve"> </w:t>
      </w:r>
      <w:r w:rsidR="00CA17A5">
        <w:t>(pool Dravet syndrome</w:t>
      </w:r>
      <w:r w:rsidR="00FB2FCD">
        <w:t>, n=221;</w:t>
      </w:r>
      <w:r w:rsidR="00B43CD9">
        <w:t xml:space="preserve"> </w:t>
      </w:r>
      <w:r w:rsidR="00CA17A5">
        <w:t>pool Lennox</w:t>
      </w:r>
      <w:r w:rsidR="00115B9F">
        <w:t>-</w:t>
      </w:r>
      <w:r w:rsidR="00CA17A5">
        <w:t>Gastaut syndrome</w:t>
      </w:r>
      <w:r w:rsidR="00FB2FCD">
        <w:t xml:space="preserve">, n=235) </w:t>
      </w:r>
      <w:r w:rsidR="003D1351">
        <w:t>and 292 to placebo</w:t>
      </w:r>
      <w:r w:rsidR="00062D44">
        <w:t xml:space="preserve">. </w:t>
      </w:r>
      <w:r w:rsidR="00097DFF">
        <w:t>All patient</w:t>
      </w:r>
      <w:r w:rsidR="00A040F1">
        <w:t>s</w:t>
      </w:r>
      <w:r w:rsidR="00097DFF">
        <w:t xml:space="preserve"> received adjunctive antiepileptic drugs. </w:t>
      </w:r>
      <w:r w:rsidR="00062D44">
        <w:t>In line with the above</w:t>
      </w:r>
      <w:r w:rsidR="00C602DE">
        <w:t xml:space="preserve"> findings</w:t>
      </w:r>
      <w:r w:rsidR="00062D44">
        <w:t>, the most common advers</w:t>
      </w:r>
      <w:r>
        <w:t xml:space="preserve">e events reported with </w:t>
      </w:r>
      <w:r w:rsidR="00C602DE">
        <w:t xml:space="preserve">CBD at </w:t>
      </w:r>
      <w:r w:rsidR="00062D44">
        <w:t xml:space="preserve">the recommended maintenance dose of 10mg/kg/day were somnolence (23.7%), decreased appetite (16.5%), </w:t>
      </w:r>
      <w:r w:rsidR="00C602DE">
        <w:t>pyrexia (17.3%), diarrhoea (12.9%) and upper respiratory tract infection (10.1%). Irritability was reported in 7.2% of pat</w:t>
      </w:r>
      <w:r w:rsidR="0047567B">
        <w:t xml:space="preserve">ients receiving CBD 10mg/kg/day, raised ALT in 4.3%, raised AST in 3.6% and raised </w:t>
      </w:r>
      <w:r w:rsidR="000E553A">
        <w:t>gamma-glutamyl transferase (</w:t>
      </w:r>
      <w:r w:rsidR="0047567B">
        <w:t>GGT</w:t>
      </w:r>
      <w:r w:rsidR="000E553A">
        <w:t>)</w:t>
      </w:r>
      <w:r w:rsidR="0047567B">
        <w:t xml:space="preserve"> in 4.3%. Most cases of ALT elevation occurred within the first 30 days of use, but some (particularly those involving concomitant valproate) occurred 6-18 months after treatment was started in clinical trials. </w:t>
      </w:r>
      <w:r w:rsidR="00C647FE">
        <w:t xml:space="preserve">The majority of transaminase elevations were &lt; 3 times the ULN. However, in patients with &gt; 3 times the ULN elevation in transaminases, there was an increased risk for a dose of 20mg/kg/day, whereas the risk for 10mg/kg/day was comparable to that of placebo. </w:t>
      </w:r>
      <w:r w:rsidR="0047567B">
        <w:t xml:space="preserve">Hepatotoxicity was the main safety </w:t>
      </w:r>
      <w:r w:rsidR="00D97812">
        <w:t>issue identified (2</w:t>
      </w:r>
      <w:r w:rsidR="0028588C">
        <w:t>3</w:t>
      </w:r>
      <w:r w:rsidR="0047567B">
        <w:t>)</w:t>
      </w:r>
      <w:r w:rsidR="00A237BB">
        <w:t>.</w:t>
      </w:r>
      <w:r w:rsidR="00FB2FCD">
        <w:t xml:space="preserve"> </w:t>
      </w:r>
    </w:p>
    <w:p w14:paraId="741EA40C" w14:textId="5BFF031A" w:rsidR="006C6F25" w:rsidRDefault="00955543" w:rsidP="00D62A3C">
      <w:pPr>
        <w:rPr>
          <w:rFonts w:cs="Arial"/>
          <w:szCs w:val="20"/>
          <w:lang w:val="en-US"/>
        </w:rPr>
      </w:pPr>
      <w:r>
        <w:t>H</w:t>
      </w:r>
      <w:r w:rsidR="005708A1">
        <w:t>uman studies</w:t>
      </w:r>
      <w:r w:rsidR="00871583">
        <w:t xml:space="preserve"> </w:t>
      </w:r>
      <w:r w:rsidR="00ED02B7">
        <w:t>using</w:t>
      </w:r>
      <w:r w:rsidR="007054D5">
        <w:t xml:space="preserve"> </w:t>
      </w:r>
      <w:r w:rsidR="005D7286">
        <w:t xml:space="preserve">CBD </w:t>
      </w:r>
      <w:r w:rsidR="00871583">
        <w:t>doses</w:t>
      </w:r>
      <w:r w:rsidR="007054D5">
        <w:t xml:space="preserve"> from</w:t>
      </w:r>
      <w:r w:rsidR="007054D5" w:rsidRPr="000162EC">
        <w:t xml:space="preserve"> 5</w:t>
      </w:r>
      <w:r w:rsidR="007054D5">
        <w:t xml:space="preserve"> to </w:t>
      </w:r>
      <w:r w:rsidR="007054D5" w:rsidRPr="000162EC">
        <w:t>50mg/kg per day</w:t>
      </w:r>
      <w:r w:rsidR="00ED02B7">
        <w:t xml:space="preserve"> </w:t>
      </w:r>
      <w:r w:rsidR="00434A7C">
        <w:t xml:space="preserve">in epilepsy (various forms) and ulcerative colitis </w:t>
      </w:r>
      <w:r w:rsidR="00ED02B7">
        <w:t xml:space="preserve">have identified </w:t>
      </w:r>
      <w:r w:rsidR="00D62A3C" w:rsidRPr="000162EC">
        <w:rPr>
          <w:rFonts w:cs="Arial"/>
          <w:szCs w:val="20"/>
          <w:lang w:val="en-US"/>
        </w:rPr>
        <w:t>somnolence</w:t>
      </w:r>
      <w:r w:rsidR="003863AC">
        <w:rPr>
          <w:rFonts w:cs="Arial"/>
          <w:szCs w:val="20"/>
          <w:lang w:val="en-US"/>
        </w:rPr>
        <w:t xml:space="preserve"> and/or fatigue</w:t>
      </w:r>
      <w:r w:rsidR="00D62A3C" w:rsidRPr="000162EC">
        <w:rPr>
          <w:rFonts w:cs="Arial"/>
          <w:szCs w:val="20"/>
          <w:lang w:val="en-US"/>
        </w:rPr>
        <w:t xml:space="preserve">, decreased appetite, </w:t>
      </w:r>
      <w:r w:rsidR="003A66BC">
        <w:rPr>
          <w:rFonts w:cs="Arial"/>
          <w:szCs w:val="20"/>
          <w:lang w:val="en-US"/>
        </w:rPr>
        <w:t xml:space="preserve">respiratory tract infections, </w:t>
      </w:r>
      <w:r w:rsidR="00D62A3C" w:rsidRPr="000162EC">
        <w:rPr>
          <w:rFonts w:cs="Arial"/>
          <w:szCs w:val="20"/>
          <w:lang w:val="en-US"/>
        </w:rPr>
        <w:t xml:space="preserve">vomiting and </w:t>
      </w:r>
      <w:r w:rsidR="00ED02B7">
        <w:rPr>
          <w:rFonts w:cs="Arial"/>
          <w:szCs w:val="20"/>
          <w:lang w:val="en-US"/>
        </w:rPr>
        <w:t>diarrh</w:t>
      </w:r>
      <w:r w:rsidR="0065165D">
        <w:rPr>
          <w:rFonts w:cs="Arial"/>
          <w:szCs w:val="20"/>
          <w:lang w:val="en-US"/>
        </w:rPr>
        <w:t>o</w:t>
      </w:r>
      <w:r w:rsidR="00ED02B7">
        <w:rPr>
          <w:rFonts w:cs="Arial"/>
          <w:szCs w:val="20"/>
          <w:lang w:val="en-US"/>
        </w:rPr>
        <w:t>ea as common</w:t>
      </w:r>
      <w:r w:rsidR="003863AC">
        <w:rPr>
          <w:rFonts w:cs="Arial"/>
          <w:szCs w:val="20"/>
          <w:lang w:val="en-US"/>
        </w:rPr>
        <w:t>ly reported</w:t>
      </w:r>
      <w:r w:rsidR="003A66BC">
        <w:rPr>
          <w:rFonts w:cs="Arial"/>
          <w:szCs w:val="20"/>
          <w:lang w:val="en-US"/>
        </w:rPr>
        <w:t xml:space="preserve"> adverse effects with</w:t>
      </w:r>
      <w:r w:rsidR="00ED02B7">
        <w:rPr>
          <w:rFonts w:cs="Arial"/>
          <w:szCs w:val="20"/>
          <w:lang w:val="en-US"/>
        </w:rPr>
        <w:t xml:space="preserve"> CBD</w:t>
      </w:r>
      <w:r>
        <w:rPr>
          <w:rFonts w:cs="Arial"/>
          <w:szCs w:val="20"/>
          <w:lang w:val="en-US"/>
        </w:rPr>
        <w:t xml:space="preserve"> </w:t>
      </w:r>
      <w:r w:rsidR="00ED246F">
        <w:rPr>
          <w:rFonts w:cs="Arial"/>
          <w:szCs w:val="20"/>
          <w:lang w:val="en-US"/>
        </w:rPr>
        <w:t>(</w:t>
      </w:r>
      <w:r w:rsidR="008F384D">
        <w:rPr>
          <w:rFonts w:cs="Arial"/>
          <w:szCs w:val="20"/>
          <w:lang w:val="en-US"/>
        </w:rPr>
        <w:t>1</w:t>
      </w:r>
      <w:r w:rsidR="0028588C">
        <w:rPr>
          <w:rFonts w:cs="Arial"/>
          <w:szCs w:val="20"/>
          <w:lang w:val="en-US"/>
        </w:rPr>
        <w:t>5</w:t>
      </w:r>
      <w:r w:rsidR="006953A2">
        <w:rPr>
          <w:rFonts w:cs="Arial"/>
          <w:szCs w:val="20"/>
          <w:lang w:val="en-US"/>
        </w:rPr>
        <w:t>-1</w:t>
      </w:r>
      <w:r w:rsidR="0028588C">
        <w:rPr>
          <w:rFonts w:cs="Arial"/>
          <w:szCs w:val="20"/>
          <w:lang w:val="en-US"/>
        </w:rPr>
        <w:t>7</w:t>
      </w:r>
      <w:r w:rsidR="008F384D" w:rsidRPr="00667CC6">
        <w:rPr>
          <w:rFonts w:cs="Arial"/>
          <w:szCs w:val="20"/>
          <w:lang w:val="en-US"/>
        </w:rPr>
        <w:t>,</w:t>
      </w:r>
      <w:r w:rsidR="006953A2">
        <w:rPr>
          <w:rFonts w:cs="Arial"/>
          <w:szCs w:val="20"/>
          <w:lang w:val="en-US"/>
        </w:rPr>
        <w:t xml:space="preserve"> 2</w:t>
      </w:r>
      <w:r w:rsidR="0028588C">
        <w:rPr>
          <w:rFonts w:cs="Arial"/>
          <w:szCs w:val="20"/>
          <w:lang w:val="en-US"/>
        </w:rPr>
        <w:t>4</w:t>
      </w:r>
      <w:r w:rsidR="008F384D" w:rsidRPr="00667CC6">
        <w:rPr>
          <w:rFonts w:cs="Arial"/>
          <w:szCs w:val="20"/>
          <w:lang w:val="en-US"/>
        </w:rPr>
        <w:t>-2</w:t>
      </w:r>
      <w:r w:rsidR="0028588C">
        <w:rPr>
          <w:rFonts w:cs="Arial"/>
          <w:szCs w:val="20"/>
          <w:lang w:val="en-US"/>
        </w:rPr>
        <w:t>6</w:t>
      </w:r>
      <w:r w:rsidR="005765FC" w:rsidRPr="000162EC">
        <w:rPr>
          <w:rFonts w:cs="Arial"/>
          <w:szCs w:val="20"/>
          <w:lang w:val="en-US"/>
        </w:rPr>
        <w:t>)</w:t>
      </w:r>
      <w:r w:rsidR="00095F29">
        <w:rPr>
          <w:rFonts w:cs="Arial"/>
          <w:szCs w:val="20"/>
          <w:lang w:val="en-US"/>
        </w:rPr>
        <w:t>.</w:t>
      </w:r>
      <w:r w:rsidR="003746C1">
        <w:rPr>
          <w:rFonts w:cs="Arial"/>
          <w:szCs w:val="20"/>
          <w:lang w:val="en-US"/>
        </w:rPr>
        <w:t xml:space="preserve"> </w:t>
      </w:r>
      <w:r w:rsidR="00CF00A2">
        <w:rPr>
          <w:rFonts w:cs="Arial"/>
          <w:szCs w:val="20"/>
          <w:lang w:val="en-US"/>
        </w:rPr>
        <w:t>The l</w:t>
      </w:r>
      <w:r w:rsidR="001F7499">
        <w:rPr>
          <w:rFonts w:cs="Arial"/>
          <w:szCs w:val="20"/>
          <w:lang w:val="en-US"/>
        </w:rPr>
        <w:t xml:space="preserve">ong-term safety of CBD is yet to be established, and </w:t>
      </w:r>
      <w:r w:rsidR="00CF00A2">
        <w:rPr>
          <w:rFonts w:cs="Arial"/>
          <w:szCs w:val="20"/>
          <w:lang w:val="en-US"/>
        </w:rPr>
        <w:t xml:space="preserve">further, </w:t>
      </w:r>
      <w:r w:rsidR="001F7499">
        <w:rPr>
          <w:rFonts w:cs="Arial"/>
          <w:szCs w:val="20"/>
          <w:lang w:val="en-US"/>
        </w:rPr>
        <w:t xml:space="preserve">rarer adverse effects of CBD may become apparent </w:t>
      </w:r>
      <w:r w:rsidR="000D52AC">
        <w:rPr>
          <w:rFonts w:cs="Arial"/>
          <w:szCs w:val="20"/>
          <w:lang w:val="en-US"/>
        </w:rPr>
        <w:t>with increasing patient exposure</w:t>
      </w:r>
      <w:r w:rsidR="001F7499">
        <w:rPr>
          <w:rFonts w:cs="Arial"/>
          <w:szCs w:val="20"/>
          <w:lang w:val="en-US"/>
        </w:rPr>
        <w:t xml:space="preserve"> (</w:t>
      </w:r>
      <w:r w:rsidR="00667CC6">
        <w:rPr>
          <w:rFonts w:cs="Arial"/>
          <w:szCs w:val="20"/>
          <w:lang w:val="en-US"/>
        </w:rPr>
        <w:t>2</w:t>
      </w:r>
      <w:r w:rsidR="00753D1C">
        <w:rPr>
          <w:rFonts w:cs="Arial"/>
          <w:szCs w:val="20"/>
          <w:lang w:val="en-US"/>
        </w:rPr>
        <w:t>7</w:t>
      </w:r>
      <w:r w:rsidR="000D52AC">
        <w:rPr>
          <w:rFonts w:cs="Arial"/>
          <w:szCs w:val="20"/>
          <w:lang w:val="en-US"/>
        </w:rPr>
        <w:t>).</w:t>
      </w:r>
      <w:r w:rsidR="001F7499">
        <w:rPr>
          <w:rFonts w:cs="Arial"/>
          <w:szCs w:val="20"/>
          <w:lang w:val="en-US"/>
        </w:rPr>
        <w:t xml:space="preserve"> </w:t>
      </w:r>
      <w:r w:rsidR="00CF00A2">
        <w:rPr>
          <w:rFonts w:cs="Arial"/>
          <w:szCs w:val="20"/>
          <w:lang w:val="en-US"/>
        </w:rPr>
        <w:t xml:space="preserve">Other </w:t>
      </w:r>
      <w:r w:rsidR="00ED02B7">
        <w:rPr>
          <w:rFonts w:cs="Arial"/>
          <w:szCs w:val="20"/>
          <w:lang w:val="en-US"/>
        </w:rPr>
        <w:t>adverse effects found in studies with CBD are discussed below.</w:t>
      </w:r>
    </w:p>
    <w:p w14:paraId="7F7ADD00" w14:textId="2BF82C62" w:rsidR="001A11D0" w:rsidRDefault="001A11D0" w:rsidP="00E16F14">
      <w:pPr>
        <w:rPr>
          <w:rFonts w:cs="Arial"/>
          <w:szCs w:val="20"/>
          <w:lang w:val="en-US"/>
        </w:rPr>
      </w:pPr>
      <w:r>
        <w:rPr>
          <w:rFonts w:cs="Arial"/>
          <w:szCs w:val="20"/>
          <w:lang w:val="en-US"/>
        </w:rPr>
        <w:t>I</w:t>
      </w:r>
      <w:r w:rsidR="00ED02B7">
        <w:rPr>
          <w:rFonts w:cs="Arial"/>
          <w:szCs w:val="20"/>
          <w:lang w:val="en-US"/>
        </w:rPr>
        <w:t xml:space="preserve">n </w:t>
      </w:r>
      <w:r w:rsidR="008C4E14">
        <w:rPr>
          <w:rFonts w:cs="Arial"/>
          <w:szCs w:val="20"/>
          <w:lang w:val="en-US"/>
        </w:rPr>
        <w:t>an</w:t>
      </w:r>
      <w:r>
        <w:rPr>
          <w:rFonts w:cs="Arial"/>
          <w:szCs w:val="20"/>
          <w:lang w:val="en-US"/>
        </w:rPr>
        <w:t xml:space="preserve"> </w:t>
      </w:r>
      <w:r w:rsidR="00ED02B7">
        <w:rPr>
          <w:rFonts w:cs="Arial"/>
          <w:szCs w:val="20"/>
          <w:lang w:val="en-US"/>
        </w:rPr>
        <w:t>open-label</w:t>
      </w:r>
      <w:r w:rsidR="0067318C">
        <w:rPr>
          <w:rFonts w:cs="Arial"/>
          <w:szCs w:val="20"/>
          <w:lang w:val="en-US"/>
        </w:rPr>
        <w:t xml:space="preserve"> trial</w:t>
      </w:r>
      <w:r w:rsidR="00ED02B7">
        <w:rPr>
          <w:rFonts w:cs="Arial"/>
          <w:szCs w:val="20"/>
          <w:lang w:val="en-US"/>
        </w:rPr>
        <w:t xml:space="preserve"> </w:t>
      </w:r>
      <w:r>
        <w:rPr>
          <w:rFonts w:cs="Arial"/>
          <w:szCs w:val="20"/>
          <w:lang w:val="en-US"/>
        </w:rPr>
        <w:t>of</w:t>
      </w:r>
      <w:r w:rsidR="00ED02B7">
        <w:rPr>
          <w:rFonts w:cs="Arial"/>
          <w:szCs w:val="20"/>
          <w:lang w:val="en-US"/>
        </w:rPr>
        <w:t xml:space="preserve"> </w:t>
      </w:r>
      <w:r w:rsidR="00095F29" w:rsidRPr="008769D1">
        <w:rPr>
          <w:rFonts w:cs="Arial"/>
          <w:szCs w:val="20"/>
          <w:lang w:val="en-US"/>
        </w:rPr>
        <w:t>162</w:t>
      </w:r>
      <w:r w:rsidR="00095F29">
        <w:rPr>
          <w:rFonts w:cs="Arial"/>
          <w:b/>
          <w:szCs w:val="20"/>
          <w:lang w:val="en-US"/>
        </w:rPr>
        <w:t xml:space="preserve"> </w:t>
      </w:r>
      <w:r w:rsidR="005708A1">
        <w:rPr>
          <w:rFonts w:cs="Arial"/>
          <w:szCs w:val="20"/>
          <w:lang w:val="en-US"/>
        </w:rPr>
        <w:t>patients with treatment resistant epilepsy</w:t>
      </w:r>
      <w:r>
        <w:rPr>
          <w:rFonts w:cs="Arial"/>
          <w:szCs w:val="20"/>
          <w:lang w:val="en-US"/>
        </w:rPr>
        <w:t>,</w:t>
      </w:r>
      <w:r w:rsidR="006953A2">
        <w:rPr>
          <w:rFonts w:cs="Arial"/>
          <w:szCs w:val="20"/>
          <w:lang w:val="en-US"/>
        </w:rPr>
        <w:t xml:space="preserve"> </w:t>
      </w:r>
      <w:r w:rsidR="005708A1">
        <w:rPr>
          <w:rFonts w:cs="Arial"/>
          <w:szCs w:val="20"/>
          <w:lang w:val="en-US"/>
        </w:rPr>
        <w:t>f</w:t>
      </w:r>
      <w:r w:rsidR="00C627C5" w:rsidRPr="000162EC">
        <w:rPr>
          <w:rFonts w:cs="Arial"/>
          <w:szCs w:val="20"/>
          <w:lang w:val="en-US"/>
        </w:rPr>
        <w:t xml:space="preserve">ive </w:t>
      </w:r>
      <w:r w:rsidR="005708A1">
        <w:rPr>
          <w:rFonts w:cs="Arial"/>
          <w:szCs w:val="20"/>
          <w:lang w:val="en-US"/>
        </w:rPr>
        <w:t>(3%)</w:t>
      </w:r>
      <w:r>
        <w:rPr>
          <w:rFonts w:cs="Arial"/>
          <w:szCs w:val="20"/>
          <w:lang w:val="en-US"/>
        </w:rPr>
        <w:t xml:space="preserve"> patients</w:t>
      </w:r>
      <w:r w:rsidR="005708A1">
        <w:rPr>
          <w:rFonts w:cs="Arial"/>
          <w:szCs w:val="20"/>
          <w:lang w:val="en-US"/>
        </w:rPr>
        <w:t xml:space="preserve"> </w:t>
      </w:r>
      <w:r w:rsidR="00D62A3C">
        <w:rPr>
          <w:rFonts w:cs="Arial"/>
          <w:szCs w:val="20"/>
          <w:lang w:val="en-US"/>
        </w:rPr>
        <w:t>were diagnosed with</w:t>
      </w:r>
      <w:r w:rsidR="00D62A3C" w:rsidRPr="000162EC">
        <w:rPr>
          <w:rFonts w:cs="Arial"/>
          <w:szCs w:val="20"/>
          <w:lang w:val="en-US"/>
        </w:rPr>
        <w:t xml:space="preserve"> mild to moderate thrombocytopenia</w:t>
      </w:r>
      <w:r w:rsidR="00D62A3C">
        <w:rPr>
          <w:rFonts w:cs="Arial"/>
          <w:szCs w:val="20"/>
          <w:lang w:val="en-US"/>
        </w:rPr>
        <w:t xml:space="preserve"> related to CBD use</w:t>
      </w:r>
      <w:r w:rsidR="00D62A3C" w:rsidRPr="000162EC">
        <w:rPr>
          <w:rFonts w:cs="Arial"/>
          <w:szCs w:val="20"/>
          <w:lang w:val="en-US"/>
        </w:rPr>
        <w:t xml:space="preserve">, </w:t>
      </w:r>
      <w:r w:rsidR="005708A1">
        <w:rPr>
          <w:rFonts w:cs="Arial"/>
          <w:szCs w:val="20"/>
          <w:lang w:val="en-US"/>
        </w:rPr>
        <w:t xml:space="preserve">and </w:t>
      </w:r>
      <w:r w:rsidR="00D62A3C" w:rsidRPr="000162EC">
        <w:rPr>
          <w:rFonts w:cs="Arial"/>
          <w:szCs w:val="20"/>
          <w:lang w:val="en-US"/>
        </w:rPr>
        <w:t>one</w:t>
      </w:r>
      <w:r w:rsidR="00C627C5">
        <w:rPr>
          <w:rFonts w:cs="Arial"/>
          <w:szCs w:val="20"/>
          <w:lang w:val="en-US"/>
        </w:rPr>
        <w:t xml:space="preserve"> </w:t>
      </w:r>
      <w:r w:rsidR="005708A1">
        <w:rPr>
          <w:rFonts w:cs="Arial"/>
          <w:szCs w:val="20"/>
          <w:lang w:val="en-US"/>
        </w:rPr>
        <w:t xml:space="preserve">(1%) </w:t>
      </w:r>
      <w:r w:rsidR="00D62A3C" w:rsidRPr="000162EC">
        <w:rPr>
          <w:rFonts w:cs="Arial"/>
          <w:szCs w:val="20"/>
          <w:lang w:val="en-US"/>
        </w:rPr>
        <w:t>had severe thrombocytopenia that resolved when</w:t>
      </w:r>
      <w:r w:rsidR="005F5527">
        <w:rPr>
          <w:rFonts w:cs="Arial"/>
          <w:szCs w:val="20"/>
          <w:lang w:val="en-US"/>
        </w:rPr>
        <w:t xml:space="preserve"> concomitant</w:t>
      </w:r>
      <w:r w:rsidR="00D62A3C" w:rsidRPr="000162EC">
        <w:rPr>
          <w:rFonts w:cs="Arial"/>
          <w:szCs w:val="20"/>
          <w:lang w:val="en-US"/>
        </w:rPr>
        <w:t xml:space="preserve"> valproate was stopped.</w:t>
      </w:r>
      <w:r w:rsidR="00C627C5">
        <w:rPr>
          <w:rFonts w:cs="Arial"/>
          <w:szCs w:val="20"/>
          <w:lang w:val="en-US"/>
        </w:rPr>
        <w:t xml:space="preserve"> One patient</w:t>
      </w:r>
      <w:r w:rsidR="00C627C5" w:rsidRPr="000162EC">
        <w:rPr>
          <w:rFonts w:cs="Arial"/>
          <w:szCs w:val="20"/>
          <w:lang w:val="en-US"/>
        </w:rPr>
        <w:t xml:space="preserve"> </w:t>
      </w:r>
      <w:r w:rsidR="00095F29">
        <w:rPr>
          <w:rFonts w:cs="Arial"/>
          <w:szCs w:val="20"/>
          <w:lang w:val="en-US"/>
        </w:rPr>
        <w:t xml:space="preserve">(1%) </w:t>
      </w:r>
      <w:r w:rsidR="00C627C5" w:rsidRPr="000162EC">
        <w:rPr>
          <w:rFonts w:cs="Arial"/>
          <w:szCs w:val="20"/>
          <w:lang w:val="en-US"/>
        </w:rPr>
        <w:t>taking valp</w:t>
      </w:r>
      <w:r w:rsidR="00C627C5">
        <w:rPr>
          <w:rFonts w:cs="Arial"/>
          <w:szCs w:val="20"/>
          <w:lang w:val="en-US"/>
        </w:rPr>
        <w:t>roate with CBD developed hyperammonaemia wh</w:t>
      </w:r>
      <w:r w:rsidR="001454D9">
        <w:rPr>
          <w:rFonts w:cs="Arial"/>
          <w:szCs w:val="20"/>
          <w:lang w:val="en-US"/>
        </w:rPr>
        <w:t xml:space="preserve">ich led to CBD discontinuation </w:t>
      </w:r>
      <w:r w:rsidR="002141FF">
        <w:rPr>
          <w:rFonts w:cs="Arial"/>
          <w:szCs w:val="20"/>
          <w:lang w:val="en-US"/>
        </w:rPr>
        <w:t>(</w:t>
      </w:r>
      <w:r w:rsidR="006953A2">
        <w:rPr>
          <w:rFonts w:cs="Arial"/>
          <w:szCs w:val="20"/>
          <w:lang w:val="en-US"/>
        </w:rPr>
        <w:t>2</w:t>
      </w:r>
      <w:r w:rsidR="00480715">
        <w:rPr>
          <w:rFonts w:cs="Arial"/>
          <w:szCs w:val="20"/>
          <w:lang w:val="en-US"/>
        </w:rPr>
        <w:t>6</w:t>
      </w:r>
      <w:r w:rsidR="00ED246F">
        <w:rPr>
          <w:rFonts w:cs="Arial"/>
          <w:szCs w:val="20"/>
          <w:lang w:val="en-US"/>
        </w:rPr>
        <w:t>)</w:t>
      </w:r>
      <w:r>
        <w:rPr>
          <w:rFonts w:cs="Arial"/>
          <w:szCs w:val="20"/>
          <w:lang w:val="en-US"/>
        </w:rPr>
        <w:t>.</w:t>
      </w:r>
    </w:p>
    <w:p w14:paraId="68A0E3E4" w14:textId="51663508" w:rsidR="00D62A3C" w:rsidRPr="000162EC" w:rsidRDefault="00D45AFA" w:rsidP="00E16F14">
      <w:pPr>
        <w:rPr>
          <w:rFonts w:cs="Arial"/>
          <w:szCs w:val="20"/>
          <w:lang w:val="en-US"/>
        </w:rPr>
      </w:pPr>
      <w:r>
        <w:rPr>
          <w:rFonts w:cs="Arial"/>
          <w:szCs w:val="20"/>
          <w:lang w:val="en-US"/>
        </w:rPr>
        <w:t>Sixty patients were randomised to treatment with CBD or placebo in a</w:t>
      </w:r>
      <w:r w:rsidR="00D62A3C">
        <w:rPr>
          <w:rFonts w:cs="Arial"/>
          <w:szCs w:val="20"/>
          <w:lang w:val="en-US"/>
        </w:rPr>
        <w:t xml:space="preserve"> </w:t>
      </w:r>
      <w:r w:rsidR="005C29E0">
        <w:rPr>
          <w:rFonts w:cs="Arial"/>
          <w:szCs w:val="20"/>
          <w:lang w:val="en-US"/>
        </w:rPr>
        <w:t>double</w:t>
      </w:r>
      <w:r w:rsidR="001454D9">
        <w:rPr>
          <w:rFonts w:cs="Arial"/>
          <w:szCs w:val="20"/>
          <w:lang w:val="en-US"/>
        </w:rPr>
        <w:t>-</w:t>
      </w:r>
      <w:r w:rsidR="00456CAA">
        <w:rPr>
          <w:rFonts w:cs="Arial"/>
          <w:szCs w:val="20"/>
          <w:lang w:val="en-US"/>
        </w:rPr>
        <w:t>blind</w:t>
      </w:r>
      <w:r w:rsidR="005C29E0">
        <w:rPr>
          <w:rFonts w:cs="Arial"/>
          <w:szCs w:val="20"/>
          <w:lang w:val="en-US"/>
        </w:rPr>
        <w:t xml:space="preserve"> </w:t>
      </w:r>
      <w:r w:rsidR="00D62A3C">
        <w:rPr>
          <w:rFonts w:cs="Arial"/>
          <w:szCs w:val="20"/>
          <w:lang w:val="en-US"/>
        </w:rPr>
        <w:t xml:space="preserve">trial </w:t>
      </w:r>
      <w:r>
        <w:rPr>
          <w:rFonts w:cs="Arial"/>
          <w:szCs w:val="20"/>
          <w:lang w:val="en-US"/>
        </w:rPr>
        <w:t>investigating</w:t>
      </w:r>
      <w:r w:rsidR="00D62A3C">
        <w:rPr>
          <w:rFonts w:cs="Arial"/>
          <w:szCs w:val="20"/>
          <w:lang w:val="en-US"/>
        </w:rPr>
        <w:t xml:space="preserve"> </w:t>
      </w:r>
      <w:r>
        <w:rPr>
          <w:rFonts w:cs="Arial"/>
          <w:szCs w:val="20"/>
          <w:lang w:val="en-US"/>
        </w:rPr>
        <w:t xml:space="preserve">the effects of </w:t>
      </w:r>
      <w:r w:rsidR="00D62A3C">
        <w:rPr>
          <w:rFonts w:cs="Arial"/>
          <w:szCs w:val="20"/>
          <w:lang w:val="en-US"/>
        </w:rPr>
        <w:t xml:space="preserve">CBD </w:t>
      </w:r>
      <w:r>
        <w:rPr>
          <w:rFonts w:cs="Arial"/>
          <w:szCs w:val="20"/>
          <w:lang w:val="en-US"/>
        </w:rPr>
        <w:t xml:space="preserve">in </w:t>
      </w:r>
      <w:r w:rsidR="00D62A3C">
        <w:rPr>
          <w:rFonts w:cs="Arial"/>
          <w:szCs w:val="20"/>
          <w:lang w:val="en-US"/>
        </w:rPr>
        <w:t>symptomatic ulcerative colitis</w:t>
      </w:r>
      <w:r>
        <w:rPr>
          <w:rFonts w:cs="Arial"/>
          <w:szCs w:val="20"/>
          <w:lang w:val="en-US"/>
        </w:rPr>
        <w:t>. M</w:t>
      </w:r>
      <w:r w:rsidR="00D62A3C">
        <w:rPr>
          <w:rFonts w:cs="Arial"/>
          <w:szCs w:val="20"/>
          <w:lang w:val="en-US"/>
        </w:rPr>
        <w:t xml:space="preserve">ost adverse </w:t>
      </w:r>
      <w:r w:rsidR="00925B4C">
        <w:rPr>
          <w:rFonts w:cs="Arial"/>
          <w:szCs w:val="20"/>
          <w:lang w:val="en-US"/>
        </w:rPr>
        <w:t>effects</w:t>
      </w:r>
      <w:r w:rsidR="00D62A3C">
        <w:rPr>
          <w:rFonts w:cs="Arial"/>
          <w:szCs w:val="20"/>
          <w:lang w:val="en-US"/>
        </w:rPr>
        <w:t xml:space="preserve"> were </w:t>
      </w:r>
      <w:r>
        <w:rPr>
          <w:rFonts w:cs="Arial"/>
          <w:szCs w:val="20"/>
          <w:lang w:val="en-US"/>
        </w:rPr>
        <w:t xml:space="preserve">found to be </w:t>
      </w:r>
      <w:r w:rsidR="00D62A3C">
        <w:rPr>
          <w:rFonts w:cs="Arial"/>
          <w:szCs w:val="20"/>
          <w:lang w:val="en-US"/>
        </w:rPr>
        <w:t>mild or moderate in severity</w:t>
      </w:r>
      <w:r>
        <w:rPr>
          <w:rFonts w:cs="Arial"/>
          <w:szCs w:val="20"/>
          <w:lang w:val="en-US"/>
        </w:rPr>
        <w:t>, but</w:t>
      </w:r>
      <w:r w:rsidR="00D62A3C">
        <w:rPr>
          <w:rFonts w:cs="Arial"/>
          <w:szCs w:val="20"/>
          <w:lang w:val="en-US"/>
        </w:rPr>
        <w:t xml:space="preserve"> three patients </w:t>
      </w:r>
      <w:r>
        <w:rPr>
          <w:rFonts w:cs="Arial"/>
          <w:szCs w:val="20"/>
          <w:lang w:val="en-US"/>
        </w:rPr>
        <w:t xml:space="preserve">on CBD </w:t>
      </w:r>
      <w:r w:rsidR="00D62A3C">
        <w:rPr>
          <w:rFonts w:cs="Arial"/>
          <w:szCs w:val="20"/>
          <w:lang w:val="en-US"/>
        </w:rPr>
        <w:t xml:space="preserve">had severe neurological adverse </w:t>
      </w:r>
      <w:r w:rsidR="0031051A">
        <w:rPr>
          <w:rFonts w:cs="Arial"/>
          <w:szCs w:val="20"/>
          <w:lang w:val="en-US"/>
        </w:rPr>
        <w:t>effects</w:t>
      </w:r>
      <w:r w:rsidR="00D62A3C">
        <w:rPr>
          <w:rFonts w:cs="Arial"/>
          <w:szCs w:val="20"/>
          <w:lang w:val="en-US"/>
        </w:rPr>
        <w:t xml:space="preserve"> which included disturbance in attention, dizziness, joint swelling, and muscle twitching.</w:t>
      </w:r>
      <w:r w:rsidR="005C29E0">
        <w:rPr>
          <w:rFonts w:cs="Arial"/>
          <w:szCs w:val="20"/>
          <w:lang w:val="en-US"/>
        </w:rPr>
        <w:t xml:space="preserve"> Approximately twice as many patients in the CBD-rich botanical </w:t>
      </w:r>
      <w:r w:rsidR="002262BF">
        <w:rPr>
          <w:rFonts w:cs="Arial"/>
          <w:szCs w:val="20"/>
          <w:lang w:val="en-US"/>
        </w:rPr>
        <w:t>extract</w:t>
      </w:r>
      <w:r w:rsidR="0031051A">
        <w:rPr>
          <w:rFonts w:cs="Arial"/>
          <w:szCs w:val="20"/>
          <w:lang w:val="en-US"/>
        </w:rPr>
        <w:t xml:space="preserve"> group stopped </w:t>
      </w:r>
      <w:r w:rsidR="0013377C" w:rsidRPr="0013377C">
        <w:rPr>
          <w:rFonts w:cs="Arial"/>
          <w:szCs w:val="20"/>
          <w:lang w:val="en-US"/>
        </w:rPr>
        <w:t>CBD</w:t>
      </w:r>
      <w:r w:rsidR="005C29E0" w:rsidRPr="00EC55ED">
        <w:rPr>
          <w:rFonts w:cs="Arial"/>
          <w:color w:val="FF0000"/>
          <w:szCs w:val="20"/>
          <w:lang w:val="en-US"/>
        </w:rPr>
        <w:t xml:space="preserve"> </w:t>
      </w:r>
      <w:r w:rsidR="005C29E0">
        <w:rPr>
          <w:rFonts w:cs="Arial"/>
          <w:szCs w:val="20"/>
          <w:lang w:val="en-US"/>
        </w:rPr>
        <w:t>due to adverse events compared to those in the placebo group.</w:t>
      </w:r>
      <w:r w:rsidR="00D62A3C">
        <w:rPr>
          <w:rFonts w:cs="Arial"/>
          <w:szCs w:val="20"/>
          <w:lang w:val="en-US"/>
        </w:rPr>
        <w:t xml:space="preserve"> It should be noted </w:t>
      </w:r>
      <w:r>
        <w:rPr>
          <w:rFonts w:cs="Arial"/>
          <w:szCs w:val="20"/>
          <w:lang w:val="en-US"/>
        </w:rPr>
        <w:t xml:space="preserve">that </w:t>
      </w:r>
      <w:r w:rsidR="00D62A3C">
        <w:rPr>
          <w:rFonts w:cs="Arial"/>
          <w:szCs w:val="20"/>
          <w:lang w:val="en-US"/>
        </w:rPr>
        <w:t xml:space="preserve">the CBD administered was not highly purified and contained a number of other </w:t>
      </w:r>
      <w:r w:rsidR="00925B4C">
        <w:rPr>
          <w:rFonts w:cs="Arial"/>
          <w:szCs w:val="20"/>
          <w:lang w:val="en-US"/>
        </w:rPr>
        <w:t>excipients</w:t>
      </w:r>
      <w:r w:rsidR="00D62A3C">
        <w:rPr>
          <w:rFonts w:cs="Arial"/>
          <w:szCs w:val="20"/>
          <w:lang w:val="en-US"/>
        </w:rPr>
        <w:t xml:space="preserve"> including up to 4.7%</w:t>
      </w:r>
      <w:r w:rsidR="0031051A">
        <w:rPr>
          <w:rFonts w:cs="Arial"/>
          <w:szCs w:val="20"/>
          <w:lang w:val="en-US"/>
        </w:rPr>
        <w:t xml:space="preserve"> of</w:t>
      </w:r>
      <w:r w:rsidR="00D62A3C">
        <w:rPr>
          <w:rFonts w:cs="Arial"/>
          <w:szCs w:val="20"/>
          <w:lang w:val="en-US"/>
        </w:rPr>
        <w:t xml:space="preserve"> THC which could have contributed to</w:t>
      </w:r>
      <w:r w:rsidR="0031051A">
        <w:rPr>
          <w:rFonts w:cs="Arial"/>
          <w:szCs w:val="20"/>
          <w:lang w:val="en-US"/>
        </w:rPr>
        <w:t xml:space="preserve"> some of</w:t>
      </w:r>
      <w:r w:rsidR="00D62A3C">
        <w:rPr>
          <w:rFonts w:cs="Arial"/>
          <w:szCs w:val="20"/>
          <w:lang w:val="en-US"/>
        </w:rPr>
        <w:t xml:space="preserve"> the adverse </w:t>
      </w:r>
      <w:r w:rsidR="0031051A">
        <w:rPr>
          <w:rFonts w:cs="Arial"/>
          <w:szCs w:val="20"/>
          <w:lang w:val="en-US"/>
        </w:rPr>
        <w:t>effects</w:t>
      </w:r>
      <w:r w:rsidR="00D62A3C">
        <w:rPr>
          <w:rFonts w:cs="Arial"/>
          <w:szCs w:val="20"/>
          <w:lang w:val="en-US"/>
        </w:rPr>
        <w:t xml:space="preserve"> </w:t>
      </w:r>
      <w:r w:rsidR="006723D0">
        <w:rPr>
          <w:rFonts w:cs="Arial"/>
          <w:szCs w:val="20"/>
          <w:lang w:val="en-US"/>
        </w:rPr>
        <w:t>(</w:t>
      </w:r>
      <w:r w:rsidR="006953A2">
        <w:rPr>
          <w:rFonts w:cs="Arial"/>
          <w:szCs w:val="20"/>
          <w:lang w:val="en-US"/>
        </w:rPr>
        <w:t>2</w:t>
      </w:r>
      <w:r w:rsidR="009A2033">
        <w:rPr>
          <w:rFonts w:cs="Arial"/>
          <w:szCs w:val="20"/>
          <w:lang w:val="en-US"/>
        </w:rPr>
        <w:t>4</w:t>
      </w:r>
      <w:r w:rsidR="006723D0">
        <w:rPr>
          <w:rFonts w:cs="Arial"/>
          <w:szCs w:val="20"/>
          <w:lang w:val="en-US"/>
        </w:rPr>
        <w:t>)</w:t>
      </w:r>
      <w:r w:rsidR="006953A2">
        <w:rPr>
          <w:rFonts w:cs="Arial"/>
          <w:szCs w:val="20"/>
          <w:lang w:val="en-US"/>
        </w:rPr>
        <w:t>.</w:t>
      </w:r>
    </w:p>
    <w:p w14:paraId="7F53852F" w14:textId="6E9CF2D9" w:rsidR="00D62A3C" w:rsidRDefault="005B1ACC" w:rsidP="00D62A3C">
      <w:pPr>
        <w:rPr>
          <w:rFonts w:cs="Arial"/>
          <w:szCs w:val="20"/>
          <w:lang w:val="en"/>
        </w:rPr>
      </w:pPr>
      <w:r>
        <w:rPr>
          <w:rFonts w:eastAsiaTheme="minorHAnsi" w:cs="Arial"/>
          <w:color w:val="000000"/>
          <w:szCs w:val="20"/>
        </w:rPr>
        <w:t xml:space="preserve">An </w:t>
      </w:r>
      <w:r w:rsidR="00702618">
        <w:rPr>
          <w:rFonts w:eastAsiaTheme="minorHAnsi" w:cs="Arial"/>
          <w:color w:val="000000"/>
          <w:szCs w:val="20"/>
        </w:rPr>
        <w:t>open-</w:t>
      </w:r>
      <w:r w:rsidR="00D62A3C" w:rsidRPr="000162EC">
        <w:rPr>
          <w:rFonts w:eastAsiaTheme="minorHAnsi" w:cs="Arial"/>
          <w:color w:val="000000"/>
          <w:szCs w:val="20"/>
        </w:rPr>
        <w:t xml:space="preserve">label evaluation of CBD in dystonic movement disorders </w:t>
      </w:r>
      <w:r w:rsidR="00D62A3C">
        <w:rPr>
          <w:rFonts w:eastAsiaTheme="minorHAnsi" w:cs="Arial"/>
          <w:color w:val="000000"/>
          <w:szCs w:val="20"/>
        </w:rPr>
        <w:t xml:space="preserve">(n = 5) </w:t>
      </w:r>
      <w:r w:rsidR="00184225">
        <w:rPr>
          <w:rFonts w:eastAsiaTheme="minorHAnsi" w:cs="Arial"/>
          <w:color w:val="000000"/>
          <w:szCs w:val="20"/>
        </w:rPr>
        <w:t xml:space="preserve">found </w:t>
      </w:r>
      <w:r w:rsidR="00184225" w:rsidRPr="000162EC">
        <w:rPr>
          <w:rFonts w:cs="Arial"/>
          <w:szCs w:val="20"/>
          <w:lang w:val="en"/>
        </w:rPr>
        <w:t>hypotension, dry mouth, psychomotor slowing, lightheadedness, and sedation</w:t>
      </w:r>
      <w:r w:rsidR="00184225">
        <w:rPr>
          <w:rFonts w:eastAsiaTheme="minorHAnsi" w:cs="Arial"/>
          <w:color w:val="000000"/>
          <w:szCs w:val="20"/>
        </w:rPr>
        <w:t xml:space="preserve"> to be among the adverse effects of CBD, which were </w:t>
      </w:r>
      <w:r w:rsidR="00925B4C">
        <w:rPr>
          <w:rFonts w:eastAsiaTheme="minorHAnsi" w:cs="Arial"/>
          <w:color w:val="000000"/>
          <w:szCs w:val="20"/>
        </w:rPr>
        <w:t>describe</w:t>
      </w:r>
      <w:r w:rsidR="00925A36">
        <w:rPr>
          <w:rFonts w:eastAsiaTheme="minorHAnsi" w:cs="Arial"/>
          <w:color w:val="000000"/>
          <w:szCs w:val="20"/>
        </w:rPr>
        <w:t>d</w:t>
      </w:r>
      <w:r w:rsidR="00D62A3C">
        <w:rPr>
          <w:rFonts w:eastAsiaTheme="minorHAnsi" w:cs="Arial"/>
          <w:color w:val="000000"/>
          <w:szCs w:val="20"/>
        </w:rPr>
        <w:t xml:space="preserve"> </w:t>
      </w:r>
      <w:r w:rsidR="00184225">
        <w:rPr>
          <w:rFonts w:cs="Arial"/>
          <w:szCs w:val="20"/>
          <w:lang w:val="en"/>
        </w:rPr>
        <w:t>as</w:t>
      </w:r>
      <w:r w:rsidR="00D62A3C" w:rsidRPr="000162EC">
        <w:rPr>
          <w:rFonts w:cs="Arial"/>
          <w:szCs w:val="20"/>
          <w:lang w:val="en"/>
        </w:rPr>
        <w:t xml:space="preserve"> mild</w:t>
      </w:r>
      <w:r w:rsidR="00184225">
        <w:rPr>
          <w:rFonts w:cs="Arial"/>
          <w:szCs w:val="20"/>
          <w:lang w:val="en"/>
        </w:rPr>
        <w:t>.</w:t>
      </w:r>
      <w:r w:rsidR="00D62A3C" w:rsidRPr="000162EC">
        <w:rPr>
          <w:rFonts w:cs="Arial"/>
          <w:szCs w:val="20"/>
          <w:lang w:val="en"/>
        </w:rPr>
        <w:t xml:space="preserve"> In </w:t>
      </w:r>
      <w:r w:rsidR="00D62A3C">
        <w:rPr>
          <w:rFonts w:cs="Arial"/>
          <w:szCs w:val="20"/>
          <w:lang w:val="en"/>
        </w:rPr>
        <w:t>two</w:t>
      </w:r>
      <w:r w:rsidR="00D62A3C" w:rsidRPr="000162EC">
        <w:rPr>
          <w:rFonts w:cs="Arial"/>
          <w:szCs w:val="20"/>
          <w:lang w:val="en"/>
        </w:rPr>
        <w:t xml:space="preserve"> patients with coexisting Parkinsonian features, CBD at doses over 300 mg/day exacerbated the hypokinesia and resting tremor (</w:t>
      </w:r>
      <w:r w:rsidR="00643DC7">
        <w:rPr>
          <w:rFonts w:cs="Arial"/>
          <w:szCs w:val="20"/>
          <w:lang w:val="en"/>
        </w:rPr>
        <w:t>2</w:t>
      </w:r>
      <w:r w:rsidR="00784B48">
        <w:rPr>
          <w:rFonts w:cs="Arial"/>
          <w:szCs w:val="20"/>
          <w:lang w:val="en"/>
        </w:rPr>
        <w:t>8</w:t>
      </w:r>
      <w:r w:rsidR="00D62A3C" w:rsidRPr="000162EC">
        <w:rPr>
          <w:rFonts w:cs="Arial"/>
          <w:szCs w:val="20"/>
          <w:lang w:val="en"/>
        </w:rPr>
        <w:t>)</w:t>
      </w:r>
      <w:r w:rsidR="00B706B7">
        <w:rPr>
          <w:rFonts w:cs="Arial"/>
          <w:szCs w:val="20"/>
          <w:lang w:val="en"/>
        </w:rPr>
        <w:t>.</w:t>
      </w:r>
    </w:p>
    <w:p w14:paraId="05B91A26" w14:textId="75A1A27A" w:rsidR="00611854" w:rsidRPr="00C426F6" w:rsidRDefault="00611854" w:rsidP="00D62A3C">
      <w:pPr>
        <w:rPr>
          <w:rFonts w:cs="Arial"/>
          <w:szCs w:val="20"/>
          <w:lang w:val="en-US"/>
        </w:rPr>
      </w:pPr>
      <w:r w:rsidRPr="00C426F6">
        <w:rPr>
          <w:rFonts w:cs="Arial"/>
          <w:szCs w:val="20"/>
          <w:lang w:val="en-US"/>
        </w:rPr>
        <w:t xml:space="preserve">In a small study (n=5) in which CBD was </w:t>
      </w:r>
      <w:r w:rsidR="00100802" w:rsidRPr="00C426F6">
        <w:rPr>
          <w:rFonts w:cs="Arial"/>
          <w:szCs w:val="20"/>
          <w:lang w:val="en-US"/>
        </w:rPr>
        <w:t>trialed</w:t>
      </w:r>
      <w:r w:rsidRPr="00C426F6">
        <w:rPr>
          <w:rFonts w:cs="Arial"/>
          <w:szCs w:val="20"/>
          <w:lang w:val="en-US"/>
        </w:rPr>
        <w:t xml:space="preserve"> for refractory seizures in Sturge-Weber syndrome, one patient reported eye exotropia and redness. The authors concluded this was possibly related to CBD (</w:t>
      </w:r>
      <w:r w:rsidR="00675FCF">
        <w:rPr>
          <w:rFonts w:cs="Arial"/>
          <w:szCs w:val="20"/>
          <w:lang w:val="en-US"/>
        </w:rPr>
        <w:t>29</w:t>
      </w:r>
      <w:r w:rsidRPr="00C426F6">
        <w:rPr>
          <w:rFonts w:cs="Arial"/>
          <w:szCs w:val="20"/>
          <w:lang w:val="en-US"/>
        </w:rPr>
        <w:t>)</w:t>
      </w:r>
      <w:r w:rsidR="00100802" w:rsidRPr="00C426F6">
        <w:rPr>
          <w:rFonts w:cs="Arial"/>
          <w:szCs w:val="20"/>
          <w:lang w:val="en-US"/>
        </w:rPr>
        <w:t>.</w:t>
      </w:r>
    </w:p>
    <w:p w14:paraId="0DD9386C" w14:textId="282366D7" w:rsidR="00C426F6" w:rsidRPr="00C426F6" w:rsidRDefault="00C426F6" w:rsidP="00D62A3C">
      <w:pPr>
        <w:rPr>
          <w:rFonts w:cs="Arial"/>
          <w:szCs w:val="20"/>
          <w:lang w:val="en-US"/>
        </w:rPr>
      </w:pPr>
      <w:r w:rsidRPr="006D2FB5">
        <w:rPr>
          <w:rFonts w:cs="Arial"/>
          <w:szCs w:val="20"/>
          <w:lang w:val="en-US"/>
        </w:rPr>
        <w:t>T</w:t>
      </w:r>
      <w:r w:rsidR="00611854" w:rsidRPr="006D2FB5">
        <w:rPr>
          <w:rFonts w:cs="Arial"/>
          <w:szCs w:val="20"/>
          <w:lang w:val="en-US"/>
        </w:rPr>
        <w:t xml:space="preserve">here is </w:t>
      </w:r>
      <w:r w:rsidRPr="006D2FB5">
        <w:rPr>
          <w:rFonts w:cs="Arial"/>
          <w:szCs w:val="20"/>
          <w:lang w:val="en-US"/>
        </w:rPr>
        <w:t xml:space="preserve">also </w:t>
      </w:r>
      <w:r w:rsidR="00611854" w:rsidRPr="006D2FB5">
        <w:rPr>
          <w:rFonts w:cs="Arial"/>
          <w:szCs w:val="20"/>
          <w:lang w:val="en-US"/>
        </w:rPr>
        <w:t xml:space="preserve">a </w:t>
      </w:r>
      <w:r w:rsidRPr="006D2FB5">
        <w:rPr>
          <w:rFonts w:cs="Arial"/>
          <w:szCs w:val="20"/>
          <w:lang w:val="en-US"/>
        </w:rPr>
        <w:t xml:space="preserve">published </w:t>
      </w:r>
      <w:r w:rsidR="00611854" w:rsidRPr="006D2FB5">
        <w:rPr>
          <w:rFonts w:cs="Arial"/>
          <w:szCs w:val="20"/>
          <w:lang w:val="en-US"/>
        </w:rPr>
        <w:t>case report of acute generali</w:t>
      </w:r>
      <w:r w:rsidR="00BD66E7" w:rsidRPr="006D2FB5">
        <w:rPr>
          <w:rFonts w:cs="Arial"/>
          <w:szCs w:val="20"/>
          <w:lang w:val="en-US"/>
        </w:rPr>
        <w:t>s</w:t>
      </w:r>
      <w:r w:rsidR="00611854" w:rsidRPr="006D2FB5">
        <w:rPr>
          <w:rFonts w:cs="Arial"/>
          <w:szCs w:val="20"/>
          <w:lang w:val="en-US"/>
        </w:rPr>
        <w:t xml:space="preserve">ed exanthematous pustulosis in a 63-year-old man who self-medicated with CBD for hypertension. The patient had a history of localised </w:t>
      </w:r>
      <w:r w:rsidR="00611854" w:rsidRPr="00C426F6">
        <w:rPr>
          <w:rFonts w:cs="Arial"/>
          <w:szCs w:val="20"/>
          <w:lang w:val="en-US"/>
        </w:rPr>
        <w:t>plaque psoriasis. He was treated with ce</w:t>
      </w:r>
      <w:r w:rsidR="009F4949">
        <w:rPr>
          <w:rFonts w:cs="Arial"/>
          <w:szCs w:val="20"/>
          <w:lang w:val="en-US"/>
        </w:rPr>
        <w:t>f</w:t>
      </w:r>
      <w:r w:rsidR="00611854" w:rsidRPr="00C426F6">
        <w:rPr>
          <w:rFonts w:cs="Arial"/>
          <w:szCs w:val="20"/>
          <w:lang w:val="en-US"/>
        </w:rPr>
        <w:t>alexin and methylprednisone in hospital, advised to discontinue the CBD, and discharged with prednisone (tapering dose) and triamcinolone cream. The pustules resolved within a few weeks</w:t>
      </w:r>
      <w:r w:rsidR="00643DC7" w:rsidRPr="00C426F6">
        <w:rPr>
          <w:rFonts w:cs="Arial"/>
          <w:szCs w:val="20"/>
          <w:lang w:val="en-US"/>
        </w:rPr>
        <w:t xml:space="preserve"> </w:t>
      </w:r>
      <w:r w:rsidR="00675FCF">
        <w:rPr>
          <w:rFonts w:cs="Arial"/>
          <w:szCs w:val="20"/>
          <w:lang w:val="en-US"/>
        </w:rPr>
        <w:t>(30</w:t>
      </w:r>
      <w:r w:rsidR="009E1C25">
        <w:rPr>
          <w:rFonts w:cs="Arial"/>
          <w:szCs w:val="20"/>
          <w:lang w:val="en-US"/>
        </w:rPr>
        <w:t>)</w:t>
      </w:r>
      <w:r w:rsidR="00651542" w:rsidRPr="00C426F6">
        <w:rPr>
          <w:rFonts w:cs="Arial"/>
          <w:szCs w:val="20"/>
          <w:lang w:val="en-US"/>
        </w:rPr>
        <w:t>.</w:t>
      </w:r>
    </w:p>
    <w:p w14:paraId="700856DB" w14:textId="4504F9F1" w:rsidR="00C426F6" w:rsidRDefault="009E1C25" w:rsidP="00C426F6">
      <w:pPr>
        <w:spacing w:after="0"/>
        <w:rPr>
          <w:rFonts w:cs="Arial"/>
          <w:szCs w:val="20"/>
          <w:lang w:val="en-US"/>
        </w:rPr>
      </w:pPr>
      <w:r w:rsidRPr="003943EE">
        <w:rPr>
          <w:rFonts w:cs="Arial"/>
          <w:szCs w:val="20"/>
          <w:lang w:val="en-US"/>
        </w:rPr>
        <w:t xml:space="preserve">Finally, the SPC for Epidyolex® </w:t>
      </w:r>
      <w:r>
        <w:rPr>
          <w:rFonts w:cs="Arial"/>
          <w:szCs w:val="20"/>
          <w:lang w:val="en-US"/>
        </w:rPr>
        <w:t xml:space="preserve">warns that </w:t>
      </w:r>
      <w:r w:rsidRPr="003943EE">
        <w:rPr>
          <w:rFonts w:cs="Arial"/>
          <w:szCs w:val="20"/>
          <w:lang w:val="en-US"/>
        </w:rPr>
        <w:t xml:space="preserve">if cannabidiol has to be discontinued, the dose should be decreased gradually. In clinical trials, cannabidiol discontinuation was achieved by reducing the dose </w:t>
      </w:r>
      <w:r w:rsidRPr="003943EE">
        <w:rPr>
          <w:rFonts w:cs="Arial"/>
          <w:szCs w:val="20"/>
          <w:lang w:val="en-US"/>
        </w:rPr>
        <w:lastRenderedPageBreak/>
        <w:t>by approximately 10% per d</w:t>
      </w:r>
      <w:r w:rsidRPr="009E1C25">
        <w:rPr>
          <w:rFonts w:cs="Arial"/>
          <w:szCs w:val="20"/>
          <w:lang w:val="en-US"/>
        </w:rPr>
        <w:t>ay for 10 days</w:t>
      </w:r>
      <w:r w:rsidRPr="003943EE">
        <w:rPr>
          <w:rFonts w:cs="Arial"/>
          <w:szCs w:val="20"/>
          <w:lang w:val="en-US"/>
        </w:rPr>
        <w:t>. A slower or faster down titration may be required, as clinically indicated, at the discretion of the prescriber</w:t>
      </w:r>
      <w:r>
        <w:rPr>
          <w:rFonts w:cs="Arial"/>
          <w:szCs w:val="20"/>
          <w:lang w:val="en-US"/>
        </w:rPr>
        <w:t xml:space="preserve"> </w:t>
      </w:r>
      <w:r w:rsidR="00E36DD4">
        <w:rPr>
          <w:rFonts w:cs="Arial"/>
          <w:szCs w:val="20"/>
          <w:lang w:val="en-US"/>
        </w:rPr>
        <w:t>(22</w:t>
      </w:r>
      <w:r>
        <w:rPr>
          <w:rFonts w:cs="Arial"/>
          <w:szCs w:val="20"/>
          <w:lang w:val="en-US"/>
        </w:rPr>
        <w:t xml:space="preserve">). </w:t>
      </w:r>
    </w:p>
    <w:p w14:paraId="648C7EC8" w14:textId="77777777" w:rsidR="009E1C25" w:rsidRDefault="009E1C25" w:rsidP="00C426F6">
      <w:pPr>
        <w:spacing w:after="0"/>
        <w:rPr>
          <w:rFonts w:cs="Arial"/>
          <w:szCs w:val="20"/>
          <w:lang w:val="en-US"/>
        </w:rPr>
      </w:pPr>
    </w:p>
    <w:p w14:paraId="44A3E58C" w14:textId="77777777" w:rsidR="00456CAA" w:rsidRDefault="00456CAA" w:rsidP="00456CAA">
      <w:pPr>
        <w:rPr>
          <w:rFonts w:cs="Arial"/>
          <w:szCs w:val="20"/>
          <w:lang w:val="en-US"/>
        </w:rPr>
      </w:pPr>
      <w:r>
        <w:rPr>
          <w:rFonts w:cs="Arial"/>
          <w:szCs w:val="20"/>
          <w:lang w:val="en-US"/>
        </w:rPr>
        <w:t xml:space="preserve">If a patient is self-administering CBD which they have bought over-the-counter, the clinician should be aware of its potential side effects, in particular when prescribing medications that may cause an additive effect.  </w:t>
      </w:r>
    </w:p>
    <w:p w14:paraId="5EAA0420" w14:textId="4A8B7971" w:rsidR="00FB3983" w:rsidRDefault="00611854" w:rsidP="00AC66BE">
      <w:r>
        <w:rPr>
          <w:rFonts w:cs="Arial"/>
          <w:szCs w:val="20"/>
          <w:lang w:val="en-US"/>
        </w:rPr>
        <w:t>I</w:t>
      </w:r>
      <w:r w:rsidR="004E5FC2">
        <w:rPr>
          <w:rFonts w:cs="Arial"/>
          <w:szCs w:val="20"/>
          <w:lang w:val="en-US"/>
        </w:rPr>
        <w:t xml:space="preserve">nformation from </w:t>
      </w:r>
      <w:r w:rsidR="00EC55ED">
        <w:rPr>
          <w:rFonts w:cs="Arial"/>
          <w:szCs w:val="20"/>
          <w:lang w:val="en-US"/>
        </w:rPr>
        <w:t>the</w:t>
      </w:r>
      <w:r w:rsidR="004E5FC2">
        <w:rPr>
          <w:rFonts w:cs="Arial"/>
          <w:szCs w:val="20"/>
          <w:lang w:val="en-US"/>
        </w:rPr>
        <w:t xml:space="preserve"> trials </w:t>
      </w:r>
      <w:r w:rsidR="00EC55ED">
        <w:rPr>
          <w:rFonts w:cs="Arial"/>
          <w:szCs w:val="20"/>
          <w:lang w:val="en-US"/>
        </w:rPr>
        <w:t xml:space="preserve">mentioned </w:t>
      </w:r>
      <w:r w:rsidR="00184225">
        <w:rPr>
          <w:rFonts w:cs="Arial"/>
          <w:szCs w:val="20"/>
          <w:lang w:val="en-US"/>
        </w:rPr>
        <w:t xml:space="preserve">above </w:t>
      </w:r>
      <w:r w:rsidR="004E5FC2">
        <w:rPr>
          <w:rFonts w:cs="Arial"/>
          <w:szCs w:val="20"/>
          <w:lang w:val="en-US"/>
        </w:rPr>
        <w:t>should be interpreted with caution as not all studies have carried out statistical analys</w:t>
      </w:r>
      <w:r w:rsidR="00807FE2">
        <w:rPr>
          <w:rFonts w:cs="Arial"/>
          <w:szCs w:val="20"/>
          <w:lang w:val="en-US"/>
        </w:rPr>
        <w:t>e</w:t>
      </w:r>
      <w:r w:rsidR="004E5FC2">
        <w:rPr>
          <w:rFonts w:cs="Arial"/>
          <w:szCs w:val="20"/>
          <w:lang w:val="en-US"/>
        </w:rPr>
        <w:t xml:space="preserve">s to confirm </w:t>
      </w:r>
      <w:r w:rsidR="00695F1E">
        <w:rPr>
          <w:rFonts w:cs="Arial"/>
          <w:szCs w:val="20"/>
          <w:lang w:val="en-US"/>
        </w:rPr>
        <w:t xml:space="preserve">an </w:t>
      </w:r>
      <w:r w:rsidR="004E5FC2">
        <w:rPr>
          <w:rFonts w:cs="Arial"/>
          <w:szCs w:val="20"/>
          <w:lang w:val="en-US"/>
        </w:rPr>
        <w:t>associ</w:t>
      </w:r>
      <w:r w:rsidR="0031051A">
        <w:rPr>
          <w:rFonts w:cs="Arial"/>
          <w:szCs w:val="20"/>
          <w:lang w:val="en-US"/>
        </w:rPr>
        <w:t>ation between the adverse event</w:t>
      </w:r>
      <w:r w:rsidR="004E5FC2">
        <w:rPr>
          <w:rFonts w:cs="Arial"/>
          <w:szCs w:val="20"/>
          <w:lang w:val="en-US"/>
        </w:rPr>
        <w:t xml:space="preserve"> and the use of CBD. </w:t>
      </w:r>
      <w:r w:rsidR="00CC4020">
        <w:rPr>
          <w:rFonts w:cs="Arial"/>
          <w:szCs w:val="20"/>
          <w:lang w:val="en-US"/>
        </w:rPr>
        <w:t xml:space="preserve">Moreover, most trials have used highly purified CBD whereas patients may be using a </w:t>
      </w:r>
      <w:r w:rsidR="0067318C">
        <w:rPr>
          <w:rFonts w:cs="Arial"/>
          <w:szCs w:val="20"/>
          <w:lang w:val="en-US"/>
        </w:rPr>
        <w:t xml:space="preserve">multi-constituent </w:t>
      </w:r>
      <w:r w:rsidR="00CC4020">
        <w:rPr>
          <w:rFonts w:cs="Arial"/>
          <w:szCs w:val="20"/>
          <w:lang w:val="en-US"/>
        </w:rPr>
        <w:t>product</w:t>
      </w:r>
      <w:r w:rsidR="00695F1E">
        <w:rPr>
          <w:rFonts w:cs="Arial"/>
          <w:szCs w:val="20"/>
          <w:lang w:val="en-US"/>
        </w:rPr>
        <w:t>,</w:t>
      </w:r>
      <w:r w:rsidR="00CC4020">
        <w:rPr>
          <w:rFonts w:cs="Arial"/>
          <w:szCs w:val="20"/>
          <w:lang w:val="en-US"/>
        </w:rPr>
        <w:t xml:space="preserve"> </w:t>
      </w:r>
      <w:r w:rsidR="0067318C">
        <w:rPr>
          <w:rFonts w:cs="Arial"/>
          <w:szCs w:val="20"/>
          <w:lang w:val="en-US"/>
        </w:rPr>
        <w:t>perhaps contain</w:t>
      </w:r>
      <w:r w:rsidR="00CC4020">
        <w:rPr>
          <w:rFonts w:cs="Arial"/>
          <w:szCs w:val="20"/>
          <w:lang w:val="en-US"/>
        </w:rPr>
        <w:t xml:space="preserve">ing THC which </w:t>
      </w:r>
      <w:r w:rsidR="00807FE2">
        <w:rPr>
          <w:rFonts w:cs="Arial"/>
          <w:szCs w:val="20"/>
          <w:lang w:val="en-US"/>
        </w:rPr>
        <w:t>can</w:t>
      </w:r>
      <w:r w:rsidR="000765A5">
        <w:rPr>
          <w:rFonts w:cs="Arial"/>
          <w:szCs w:val="20"/>
          <w:lang w:val="en-US"/>
        </w:rPr>
        <w:t xml:space="preserve"> </w:t>
      </w:r>
      <w:r w:rsidR="00CC4020">
        <w:rPr>
          <w:rFonts w:cs="Arial"/>
          <w:szCs w:val="20"/>
          <w:lang w:val="en-US"/>
        </w:rPr>
        <w:t>cause its own side effects. Healthcare professional</w:t>
      </w:r>
      <w:r w:rsidR="00456CAA">
        <w:rPr>
          <w:rFonts w:cs="Arial"/>
          <w:szCs w:val="20"/>
          <w:lang w:val="en-US"/>
        </w:rPr>
        <w:t>s</w:t>
      </w:r>
      <w:r w:rsidR="00CC4020">
        <w:rPr>
          <w:rFonts w:cs="Arial"/>
          <w:szCs w:val="20"/>
          <w:lang w:val="en-US"/>
        </w:rPr>
        <w:t xml:space="preserve"> should make patients aware that l</w:t>
      </w:r>
      <w:r w:rsidR="00CC4020">
        <w:t xml:space="preserve">ow doses of THC can cause psychological effects, such as euphoria, drowsiness, and altered perception of time. </w:t>
      </w:r>
      <w:r w:rsidR="00695F1E">
        <w:t>An</w:t>
      </w:r>
      <w:r w:rsidR="00CC4020">
        <w:t xml:space="preserve"> individual’s ability to drive may be impacted; however, the specific correlation between cannabis blood levels and impairment of driving performance has not yet been established. </w:t>
      </w:r>
      <w:r w:rsidR="00184225">
        <w:t>Due to its association with illegal use</w:t>
      </w:r>
      <w:r w:rsidR="00CC4020">
        <w:t>, the UK government has included THC under drug driving law</w:t>
      </w:r>
      <w:r w:rsidR="00666BDD">
        <w:t xml:space="preserve"> with a threshold </w:t>
      </w:r>
      <w:r w:rsidR="00CC4020">
        <w:t>blood limit of 2</w:t>
      </w:r>
      <w:r w:rsidR="00925A36">
        <w:t xml:space="preserve"> </w:t>
      </w:r>
      <w:r w:rsidR="00CC4020">
        <w:t>m</w:t>
      </w:r>
      <w:r w:rsidR="00702618">
        <w:t>icro</w:t>
      </w:r>
      <w:r w:rsidR="00CC4020">
        <w:t>g</w:t>
      </w:r>
      <w:r w:rsidR="00702618">
        <w:t>rams</w:t>
      </w:r>
      <w:r w:rsidR="00CC4020">
        <w:t>/L and elevated blood lev</w:t>
      </w:r>
      <w:r w:rsidR="00C0705C">
        <w:t>els could lead to prosecution.</w:t>
      </w:r>
      <w:r w:rsidR="00666BDD">
        <w:t xml:space="preserve"> The presence of even trace amounts of THC in CBD products may affect the individual’s clinical/psychological status and driving ability</w:t>
      </w:r>
      <w:r w:rsidR="00C0705C">
        <w:t xml:space="preserve"> (</w:t>
      </w:r>
      <w:r w:rsidR="00D14D08">
        <w:t>3</w:t>
      </w:r>
      <w:r w:rsidR="009E1C25">
        <w:t>1</w:t>
      </w:r>
      <w:r w:rsidR="00C0705C">
        <w:t>)</w:t>
      </w:r>
      <w:r w:rsidR="006953A2">
        <w:t>.</w:t>
      </w:r>
    </w:p>
    <w:p w14:paraId="3B6D186A" w14:textId="0AED9457" w:rsidR="00AC66BE" w:rsidRPr="000162EC" w:rsidRDefault="006953A2" w:rsidP="00AC66BE">
      <w:pPr>
        <w:pStyle w:val="Heading3"/>
      </w:pPr>
      <w:r>
        <w:t>Adverse Effects Associated with</w:t>
      </w:r>
      <w:r w:rsidR="00014CA3">
        <w:t xml:space="preserve"> Drug </w:t>
      </w:r>
      <w:r w:rsidR="008561A4">
        <w:t>I</w:t>
      </w:r>
      <w:r w:rsidR="00AC66BE">
        <w:t>nteractions</w:t>
      </w:r>
    </w:p>
    <w:p w14:paraId="30C866AA" w14:textId="61A661FF" w:rsidR="00B84C6C" w:rsidRDefault="0030436E" w:rsidP="00365889">
      <w:pPr>
        <w:rPr>
          <w:lang w:val="en-US"/>
        </w:rPr>
      </w:pPr>
      <w:r>
        <w:rPr>
          <w:lang w:val="en-US"/>
        </w:rPr>
        <w:t>As many as 60% of adverse drug reactions are preventable</w:t>
      </w:r>
      <w:r w:rsidR="00BE6619">
        <w:rPr>
          <w:lang w:val="en-US"/>
        </w:rPr>
        <w:t xml:space="preserve"> and</w:t>
      </w:r>
      <w:r>
        <w:rPr>
          <w:lang w:val="en-US"/>
        </w:rPr>
        <w:t xml:space="preserve"> interactions with other drugs are among the possible causes</w:t>
      </w:r>
      <w:r w:rsidR="00643DC7">
        <w:rPr>
          <w:lang w:val="en-US"/>
        </w:rPr>
        <w:t xml:space="preserve"> (</w:t>
      </w:r>
      <w:r w:rsidR="00953E1B">
        <w:rPr>
          <w:lang w:val="en-US"/>
        </w:rPr>
        <w:t>3</w:t>
      </w:r>
      <w:r w:rsidR="00D14D08">
        <w:rPr>
          <w:lang w:val="en-US"/>
        </w:rPr>
        <w:t>2</w:t>
      </w:r>
      <w:r>
        <w:rPr>
          <w:lang w:val="en-US"/>
        </w:rPr>
        <w:t xml:space="preserve">). </w:t>
      </w:r>
      <w:r w:rsidRPr="00D71E92">
        <w:rPr>
          <w:lang w:val="en-US"/>
        </w:rPr>
        <w:t xml:space="preserve">CBD is metabolised via hydroxylation through CYP 2C19 and 3A4 and </w:t>
      </w:r>
      <w:r w:rsidR="00643DC7">
        <w:rPr>
          <w:lang w:val="en-US"/>
        </w:rPr>
        <w:t>excreted by the kidneys (4,</w:t>
      </w:r>
      <w:r w:rsidR="00024793">
        <w:rPr>
          <w:lang w:val="en-US"/>
        </w:rPr>
        <w:t>3</w:t>
      </w:r>
      <w:r w:rsidR="00D14D08">
        <w:rPr>
          <w:lang w:val="en-US"/>
        </w:rPr>
        <w:t>3</w:t>
      </w:r>
      <w:r w:rsidRPr="00D71E92">
        <w:rPr>
          <w:lang w:val="en-US"/>
        </w:rPr>
        <w:t>)</w:t>
      </w:r>
      <w:r>
        <w:rPr>
          <w:lang w:val="en-US"/>
        </w:rPr>
        <w:t>.</w:t>
      </w:r>
      <w:r w:rsidRPr="00D71E92">
        <w:rPr>
          <w:lang w:val="en-US"/>
        </w:rPr>
        <w:t xml:space="preserve"> </w:t>
      </w:r>
      <w:r>
        <w:rPr>
          <w:lang w:val="en-US"/>
        </w:rPr>
        <w:t xml:space="preserve"> It has </w:t>
      </w:r>
      <w:r w:rsidR="00BD66E7">
        <w:rPr>
          <w:lang w:val="en-US"/>
        </w:rPr>
        <w:t xml:space="preserve">been </w:t>
      </w:r>
      <w:r>
        <w:rPr>
          <w:lang w:val="en-US"/>
        </w:rPr>
        <w:t>shown</w:t>
      </w:r>
      <w:r w:rsidR="00BD66E7">
        <w:rPr>
          <w:lang w:val="en-US"/>
        </w:rPr>
        <w:t xml:space="preserve"> to</w:t>
      </w:r>
      <w:r>
        <w:rPr>
          <w:lang w:val="en-US"/>
        </w:rPr>
        <w:t xml:space="preserve"> inhibit cytochrome P450 isoenzymes</w:t>
      </w:r>
      <w:r w:rsidR="00441EA4">
        <w:rPr>
          <w:lang w:val="en-US"/>
        </w:rPr>
        <w:t xml:space="preserve">. For information on potential interactions, please see the UKMi Q&amp;A </w:t>
      </w:r>
      <w:hyperlink r:id="rId13" w:history="1">
        <w:r w:rsidR="00441EA4" w:rsidRPr="00C20C9C">
          <w:rPr>
            <w:rStyle w:val="Hyperlink"/>
            <w:lang w:val="en-US"/>
          </w:rPr>
          <w:t>Cannabis based medicinal products potential drug interactions</w:t>
        </w:r>
      </w:hyperlink>
      <w:r w:rsidR="00441EA4">
        <w:rPr>
          <w:lang w:val="en-US"/>
        </w:rPr>
        <w:t xml:space="preserve">, with specific reference to tables 1 and 3. </w:t>
      </w:r>
    </w:p>
    <w:p w14:paraId="72EC8284" w14:textId="77777777" w:rsidR="00B84C6C" w:rsidRDefault="00441EA4" w:rsidP="00B84C6C">
      <w:pPr>
        <w:rPr>
          <w:lang w:val="en-US"/>
        </w:rPr>
      </w:pPr>
      <w:r>
        <w:rPr>
          <w:lang w:val="en-US"/>
        </w:rPr>
        <w:t>CBD is excreted by the kidneys and m</w:t>
      </w:r>
      <w:r w:rsidR="0030436E" w:rsidRPr="00D71E92">
        <w:rPr>
          <w:lang w:val="en-US"/>
        </w:rPr>
        <w:t xml:space="preserve">oderate to severe impairment of kidney or liver function may </w:t>
      </w:r>
      <w:r w:rsidR="0030436E">
        <w:rPr>
          <w:lang w:val="en-US"/>
        </w:rPr>
        <w:t xml:space="preserve">theoretically </w:t>
      </w:r>
      <w:r w:rsidR="0030436E" w:rsidRPr="00D71E92">
        <w:rPr>
          <w:lang w:val="en-US"/>
        </w:rPr>
        <w:t xml:space="preserve">reduce </w:t>
      </w:r>
      <w:r>
        <w:rPr>
          <w:lang w:val="en-US"/>
        </w:rPr>
        <w:t xml:space="preserve">its clearance. </w:t>
      </w:r>
      <w:r w:rsidR="00EA596B">
        <w:rPr>
          <w:lang w:val="en-US"/>
        </w:rPr>
        <w:t>The SPC for Epidyolex</w:t>
      </w:r>
      <w:r w:rsidR="00991D85" w:rsidRPr="00B84C6C">
        <w:rPr>
          <w:rFonts w:cs="Arial"/>
          <w:vertAlign w:val="superscript"/>
          <w:lang w:val="en-US"/>
        </w:rPr>
        <w:t>®</w:t>
      </w:r>
      <w:r w:rsidR="00EA596B" w:rsidRPr="00B84C6C">
        <w:rPr>
          <w:vertAlign w:val="superscript"/>
          <w:lang w:val="en-US"/>
        </w:rPr>
        <w:t xml:space="preserve"> </w:t>
      </w:r>
      <w:r w:rsidR="00EA596B">
        <w:rPr>
          <w:lang w:val="en-US"/>
        </w:rPr>
        <w:t xml:space="preserve">advises that </w:t>
      </w:r>
      <w:r w:rsidR="00EA596B">
        <w:rPr>
          <w:rFonts w:cs="Arial"/>
          <w:color w:val="000000"/>
          <w:sz w:val="19"/>
          <w:szCs w:val="19"/>
          <w:shd w:val="clear" w:color="auto" w:fill="FFFFFF"/>
        </w:rPr>
        <w:t>cannabidiol is used with caution in patients with moderate or severe hepatic impairment and recommends a lower starting dose in these patients</w:t>
      </w:r>
      <w:r w:rsidR="00A04608">
        <w:rPr>
          <w:rFonts w:cs="Arial"/>
          <w:color w:val="000000"/>
          <w:sz w:val="19"/>
          <w:szCs w:val="19"/>
          <w:shd w:val="clear" w:color="auto" w:fill="FFFFFF"/>
        </w:rPr>
        <w:t xml:space="preserve"> </w:t>
      </w:r>
      <w:r w:rsidR="00E36DD4">
        <w:rPr>
          <w:rFonts w:cs="Arial"/>
          <w:color w:val="000000"/>
          <w:sz w:val="19"/>
          <w:szCs w:val="19"/>
          <w:shd w:val="clear" w:color="auto" w:fill="FFFFFF"/>
        </w:rPr>
        <w:t>(22</w:t>
      </w:r>
      <w:r w:rsidR="00EA596B">
        <w:rPr>
          <w:rFonts w:cs="Arial"/>
          <w:color w:val="000000"/>
          <w:sz w:val="19"/>
          <w:szCs w:val="19"/>
          <w:shd w:val="clear" w:color="auto" w:fill="FFFFFF"/>
        </w:rPr>
        <w:t xml:space="preserve">). </w:t>
      </w:r>
      <w:r>
        <w:rPr>
          <w:lang w:val="en-US"/>
        </w:rPr>
        <w:t>C</w:t>
      </w:r>
      <w:r w:rsidR="0030436E" w:rsidRPr="00D71E92">
        <w:rPr>
          <w:lang w:val="en-US"/>
        </w:rPr>
        <w:t>linicians are advised to monitor for potential adverse effects/interactions that may occur as a result of raised serum</w:t>
      </w:r>
      <w:r w:rsidR="0030436E">
        <w:rPr>
          <w:lang w:val="en-US"/>
        </w:rPr>
        <w:t xml:space="preserve"> CBD</w:t>
      </w:r>
      <w:r w:rsidR="0030436E" w:rsidRPr="00D71E92">
        <w:rPr>
          <w:lang w:val="en-US"/>
        </w:rPr>
        <w:t xml:space="preserve"> levels.</w:t>
      </w:r>
    </w:p>
    <w:p w14:paraId="005F06B2" w14:textId="7657FAF6" w:rsidR="00911ACF" w:rsidRDefault="00911ACF" w:rsidP="00B84C6C">
      <w:pPr>
        <w:rPr>
          <w:rStyle w:val="apple-converted-space"/>
          <w:rFonts w:cs="Arial"/>
          <w:shd w:val="clear" w:color="auto" w:fill="FFFFFF"/>
        </w:rPr>
      </w:pPr>
      <w:r w:rsidRPr="00621BA9">
        <w:t xml:space="preserve">Healthcare professionals and patients can </w:t>
      </w:r>
      <w:r w:rsidRPr="00621BA9">
        <w:rPr>
          <w:rFonts w:cs="Arial"/>
        </w:rPr>
        <w:t xml:space="preserve">report any suspected adverse reactions to </w:t>
      </w:r>
      <w:r w:rsidR="00621BA9" w:rsidRPr="00621BA9">
        <w:rPr>
          <w:rFonts w:cs="Arial"/>
        </w:rPr>
        <w:t>CBD oil</w:t>
      </w:r>
      <w:r w:rsidRPr="00621BA9">
        <w:rPr>
          <w:rFonts w:cs="Arial"/>
        </w:rPr>
        <w:t xml:space="preserve"> </w:t>
      </w:r>
      <w:r w:rsidR="00D75B01">
        <w:rPr>
          <w:rFonts w:cs="Arial"/>
        </w:rPr>
        <w:t xml:space="preserve">or cannabis-based medicinal products </w:t>
      </w:r>
      <w:r w:rsidRPr="00621BA9">
        <w:rPr>
          <w:rFonts w:cs="Arial"/>
        </w:rPr>
        <w:t>using the Yellow Card Scheme. </w:t>
      </w:r>
      <w:r w:rsidR="005949A2">
        <w:t xml:space="preserve">Reporting adverse reactions via the Yellow Card Scheme can lead to important medicines safety </w:t>
      </w:r>
      <w:r w:rsidR="005949A2" w:rsidRPr="00621BA9">
        <w:t>warnings</w:t>
      </w:r>
      <w:r w:rsidR="005949A2">
        <w:t>.</w:t>
      </w:r>
      <w:r w:rsidR="00643DC7">
        <w:t xml:space="preserve"> </w:t>
      </w:r>
      <w:r w:rsidRPr="00621BA9">
        <w:rPr>
          <w:rFonts w:cs="Arial"/>
        </w:rPr>
        <w:t xml:space="preserve">The </w:t>
      </w:r>
      <w:r w:rsidRPr="00621BA9">
        <w:rPr>
          <w:rFonts w:cs="Arial"/>
          <w:shd w:val="clear" w:color="auto" w:fill="FFFFFF"/>
        </w:rPr>
        <w:t>easiest and quickest way to report adverse reactions is online at</w:t>
      </w:r>
      <w:r w:rsidR="00621BA9">
        <w:rPr>
          <w:rFonts w:cs="Arial"/>
          <w:shd w:val="clear" w:color="auto" w:fill="FFFFFF"/>
        </w:rPr>
        <w:t xml:space="preserve"> </w:t>
      </w:r>
      <w:hyperlink r:id="rId14" w:history="1">
        <w:r w:rsidR="00EA6950" w:rsidRPr="00C222ED">
          <w:rPr>
            <w:rStyle w:val="Hyperlink"/>
            <w:rFonts w:cs="Arial"/>
            <w:shd w:val="clear" w:color="auto" w:fill="FFFFFF"/>
          </w:rPr>
          <w:t>http://www.mhra.gov.uk/yellowcard</w:t>
        </w:r>
      </w:hyperlink>
      <w:r w:rsidR="00EA6950">
        <w:rPr>
          <w:rFonts w:cs="Arial"/>
          <w:shd w:val="clear" w:color="auto" w:fill="FFFFFF"/>
        </w:rPr>
        <w:t xml:space="preserve">. </w:t>
      </w:r>
      <w:r w:rsidRPr="00621BA9">
        <w:rPr>
          <w:rStyle w:val="apple-converted-space"/>
          <w:rFonts w:cs="Arial"/>
          <w:shd w:val="clear" w:color="auto" w:fill="FFFFFF"/>
        </w:rPr>
        <w:t> </w:t>
      </w:r>
    </w:p>
    <w:p w14:paraId="284396B2" w14:textId="77777777" w:rsidR="00B84C6C" w:rsidRPr="00B84C6C" w:rsidRDefault="00B84C6C" w:rsidP="00B84C6C">
      <w:pPr>
        <w:rPr>
          <w:lang w:val="en-US"/>
        </w:rPr>
      </w:pPr>
    </w:p>
    <w:p w14:paraId="496E9F3E" w14:textId="77777777" w:rsidR="00427F92" w:rsidRPr="000162EC" w:rsidRDefault="00427F92" w:rsidP="00427F92">
      <w:pPr>
        <w:pStyle w:val="Heading2"/>
        <w:rPr>
          <w:rFonts w:cs="Arial"/>
          <w:sz w:val="20"/>
        </w:rPr>
      </w:pPr>
      <w:r w:rsidRPr="000162EC">
        <w:rPr>
          <w:rFonts w:cs="Arial"/>
          <w:sz w:val="20"/>
        </w:rPr>
        <w:t>Summary</w:t>
      </w:r>
    </w:p>
    <w:p w14:paraId="33DFFCDE" w14:textId="20F00CD8" w:rsidR="0077381E" w:rsidRDefault="0003163F" w:rsidP="002B56B1">
      <w:pPr>
        <w:pStyle w:val="ListParagraph"/>
        <w:numPr>
          <w:ilvl w:val="0"/>
          <w:numId w:val="17"/>
        </w:numPr>
        <w:rPr>
          <w:rFonts w:cs="Arial"/>
          <w:szCs w:val="20"/>
          <w:lang w:val="en-US"/>
        </w:rPr>
      </w:pPr>
      <w:r>
        <w:rPr>
          <w:rFonts w:cs="Arial"/>
          <w:szCs w:val="20"/>
          <w:lang w:val="en-US"/>
        </w:rPr>
        <w:t>S</w:t>
      </w:r>
      <w:r w:rsidR="002B56B1">
        <w:rPr>
          <w:rFonts w:cs="Arial"/>
          <w:szCs w:val="20"/>
          <w:lang w:val="en-US"/>
        </w:rPr>
        <w:t>elf-administration of over-the-counter bought CBD</w:t>
      </w:r>
      <w:r>
        <w:rPr>
          <w:rFonts w:cs="Arial"/>
          <w:szCs w:val="20"/>
          <w:lang w:val="en-US"/>
        </w:rPr>
        <w:t xml:space="preserve"> is increasingly popular and</w:t>
      </w:r>
      <w:r w:rsidR="002B56B1">
        <w:rPr>
          <w:rFonts w:cs="Arial"/>
          <w:szCs w:val="20"/>
          <w:lang w:val="en-US"/>
        </w:rPr>
        <w:t xml:space="preserve"> </w:t>
      </w:r>
      <w:r w:rsidR="005A58BE">
        <w:rPr>
          <w:rFonts w:cs="Arial"/>
          <w:szCs w:val="20"/>
          <w:lang w:val="en-US"/>
        </w:rPr>
        <w:t>doctors and pharmacists</w:t>
      </w:r>
      <w:r w:rsidR="0077381E" w:rsidRPr="002B56B1">
        <w:rPr>
          <w:rFonts w:cs="Arial"/>
          <w:szCs w:val="20"/>
          <w:lang w:val="en-US"/>
        </w:rPr>
        <w:t xml:space="preserve"> should be aware of its potential adverse effects</w:t>
      </w:r>
      <w:r w:rsidR="003C19B2">
        <w:rPr>
          <w:rFonts w:cs="Arial"/>
          <w:szCs w:val="20"/>
          <w:lang w:val="en-US"/>
        </w:rPr>
        <w:t>.</w:t>
      </w:r>
      <w:r w:rsidR="0077381E" w:rsidRPr="002B56B1">
        <w:rPr>
          <w:rFonts w:cs="Arial"/>
          <w:szCs w:val="20"/>
          <w:lang w:val="en-US"/>
        </w:rPr>
        <w:t xml:space="preserve"> </w:t>
      </w:r>
    </w:p>
    <w:p w14:paraId="1D312012" w14:textId="411C8F2F" w:rsidR="00A469BC" w:rsidRDefault="00A469BC" w:rsidP="002B56B1">
      <w:pPr>
        <w:pStyle w:val="ListParagraph"/>
        <w:numPr>
          <w:ilvl w:val="0"/>
          <w:numId w:val="17"/>
        </w:numPr>
        <w:rPr>
          <w:rFonts w:cs="Arial"/>
          <w:szCs w:val="20"/>
          <w:lang w:val="en-US"/>
        </w:rPr>
      </w:pPr>
      <w:r>
        <w:rPr>
          <w:rFonts w:cs="Arial"/>
          <w:szCs w:val="20"/>
          <w:lang w:val="en-US"/>
        </w:rPr>
        <w:t>The</w:t>
      </w:r>
      <w:r>
        <w:t xml:space="preserve"> Food Standards Agency (FSA) is advising people who are pregnant, breastfeeding or taking any medication not to consume non-prescription CBD products. Healthy adults are advised by the FSA to think carefully before taking these products, and to keep their daily intake at</w:t>
      </w:r>
      <w:r w:rsidR="000E0346">
        <w:t>, or below, 70mg</w:t>
      </w:r>
      <w:r>
        <w:t xml:space="preserve"> (about 28 drops of 5% CBD) unless otherwise advised by a healthcare professional.</w:t>
      </w:r>
    </w:p>
    <w:p w14:paraId="63629419" w14:textId="407404F4" w:rsidR="006953A2" w:rsidRDefault="00CB4CB7" w:rsidP="002B2C1B">
      <w:pPr>
        <w:pStyle w:val="ListParagraph"/>
        <w:numPr>
          <w:ilvl w:val="0"/>
          <w:numId w:val="17"/>
        </w:numPr>
        <w:rPr>
          <w:rFonts w:cs="Arial"/>
          <w:szCs w:val="20"/>
          <w:lang w:val="en-US"/>
        </w:rPr>
      </w:pPr>
      <w:r>
        <w:rPr>
          <w:rFonts w:cs="Arial"/>
          <w:szCs w:val="20"/>
          <w:lang w:val="en-US"/>
        </w:rPr>
        <w:t>S</w:t>
      </w:r>
      <w:r w:rsidR="003C19B2">
        <w:rPr>
          <w:rFonts w:cs="Arial"/>
          <w:szCs w:val="20"/>
          <w:lang w:val="en-US"/>
        </w:rPr>
        <w:t>omnolence</w:t>
      </w:r>
      <w:r w:rsidR="009F4949">
        <w:rPr>
          <w:rFonts w:cs="Arial"/>
          <w:szCs w:val="20"/>
          <w:lang w:val="en-US"/>
        </w:rPr>
        <w:t xml:space="preserve"> (d</w:t>
      </w:r>
      <w:r w:rsidR="00991D85">
        <w:rPr>
          <w:rFonts w:cs="Arial"/>
          <w:szCs w:val="20"/>
          <w:lang w:val="en-US"/>
        </w:rPr>
        <w:t>r</w:t>
      </w:r>
      <w:r w:rsidR="009F4949">
        <w:rPr>
          <w:rFonts w:cs="Arial"/>
          <w:szCs w:val="20"/>
          <w:lang w:val="en-US"/>
        </w:rPr>
        <w:t>owsiness)</w:t>
      </w:r>
      <w:r w:rsidR="003C19B2">
        <w:rPr>
          <w:rFonts w:cs="Arial"/>
          <w:szCs w:val="20"/>
          <w:lang w:val="en-US"/>
        </w:rPr>
        <w:t>, decreased appetite, diarrh</w:t>
      </w:r>
      <w:r w:rsidR="009F4949">
        <w:rPr>
          <w:rFonts w:cs="Arial"/>
          <w:szCs w:val="20"/>
          <w:lang w:val="en-US"/>
        </w:rPr>
        <w:t>o</w:t>
      </w:r>
      <w:r w:rsidR="003C19B2">
        <w:rPr>
          <w:rFonts w:cs="Arial"/>
          <w:szCs w:val="20"/>
          <w:lang w:val="en-US"/>
        </w:rPr>
        <w:t xml:space="preserve">ea and </w:t>
      </w:r>
      <w:r w:rsidR="009F4949">
        <w:rPr>
          <w:rFonts w:cs="Arial"/>
          <w:szCs w:val="20"/>
          <w:lang w:val="en-US"/>
        </w:rPr>
        <w:t xml:space="preserve">raised </w:t>
      </w:r>
      <w:r w:rsidR="003C19B2">
        <w:rPr>
          <w:rFonts w:cs="Arial"/>
          <w:szCs w:val="20"/>
          <w:lang w:val="en-US"/>
        </w:rPr>
        <w:t>serum aminotransferases</w:t>
      </w:r>
      <w:r w:rsidR="009F4949">
        <w:rPr>
          <w:rFonts w:cs="Arial"/>
          <w:szCs w:val="20"/>
          <w:lang w:val="en-US"/>
        </w:rPr>
        <w:t xml:space="preserve"> (liver enzymes)</w:t>
      </w:r>
      <w:r w:rsidR="003C19B2">
        <w:rPr>
          <w:rFonts w:cs="Arial"/>
          <w:szCs w:val="20"/>
          <w:lang w:val="en-US"/>
        </w:rPr>
        <w:t xml:space="preserve"> </w:t>
      </w:r>
      <w:r>
        <w:rPr>
          <w:rFonts w:cs="Arial"/>
          <w:szCs w:val="20"/>
          <w:lang w:val="en-US"/>
        </w:rPr>
        <w:t xml:space="preserve">were </w:t>
      </w:r>
      <w:r w:rsidR="002311E8">
        <w:rPr>
          <w:rFonts w:cs="Arial"/>
          <w:szCs w:val="20"/>
          <w:lang w:val="en-US"/>
        </w:rPr>
        <w:t xml:space="preserve">side effects </w:t>
      </w:r>
      <w:r w:rsidR="003C19B2">
        <w:rPr>
          <w:rFonts w:cs="Arial"/>
          <w:szCs w:val="20"/>
          <w:lang w:val="en-US"/>
        </w:rPr>
        <w:t>significantly associated with</w:t>
      </w:r>
      <w:r w:rsidR="002311E8">
        <w:rPr>
          <w:rFonts w:cs="Arial"/>
          <w:szCs w:val="20"/>
          <w:lang w:val="en-US"/>
        </w:rPr>
        <w:t xml:space="preserve"> the use of</w:t>
      </w:r>
      <w:r w:rsidR="003C19B2">
        <w:rPr>
          <w:rFonts w:cs="Arial"/>
          <w:szCs w:val="20"/>
          <w:lang w:val="en-US"/>
        </w:rPr>
        <w:t xml:space="preserve"> </w:t>
      </w:r>
      <w:r w:rsidR="002311E8">
        <w:rPr>
          <w:rFonts w:cs="Arial"/>
          <w:szCs w:val="20"/>
          <w:lang w:val="en-US"/>
        </w:rPr>
        <w:t>an oral purified CBD solution (100mg/ml) (</w:t>
      </w:r>
      <w:r w:rsidR="003943EE">
        <w:rPr>
          <w:rFonts w:cs="Arial"/>
          <w:szCs w:val="20"/>
          <w:lang w:val="en-US"/>
        </w:rPr>
        <w:t>Epidiolex/</w:t>
      </w:r>
      <w:r w:rsidR="002311E8">
        <w:rPr>
          <w:rFonts w:cs="Arial"/>
          <w:szCs w:val="20"/>
          <w:lang w:val="en-US"/>
        </w:rPr>
        <w:t>Epid</w:t>
      </w:r>
      <w:r w:rsidR="00EE0495">
        <w:rPr>
          <w:rFonts w:cs="Arial"/>
          <w:szCs w:val="20"/>
          <w:lang w:val="en-US"/>
        </w:rPr>
        <w:t>y</w:t>
      </w:r>
      <w:r w:rsidR="002311E8">
        <w:rPr>
          <w:rFonts w:cs="Arial"/>
          <w:szCs w:val="20"/>
          <w:lang w:val="en-US"/>
        </w:rPr>
        <w:t>olex</w:t>
      </w:r>
      <w:r w:rsidR="002311E8" w:rsidRPr="00AF64C8">
        <w:rPr>
          <w:rFonts w:cs="Arial"/>
          <w:szCs w:val="20"/>
          <w:vertAlign w:val="superscript"/>
          <w:lang w:val="en-US"/>
        </w:rPr>
        <w:t>®</w:t>
      </w:r>
      <w:r w:rsidR="002311E8">
        <w:rPr>
          <w:rFonts w:cs="Arial"/>
          <w:szCs w:val="20"/>
          <w:lang w:val="en-US"/>
        </w:rPr>
        <w:t xml:space="preserve">, GW Pharmaceuticals) </w:t>
      </w:r>
      <w:r>
        <w:rPr>
          <w:rFonts w:cs="Arial"/>
          <w:szCs w:val="20"/>
          <w:lang w:val="en-US"/>
        </w:rPr>
        <w:t>in a meta-analysis of studies involving 550 patients with Lennox-Gastaut or Drav</w:t>
      </w:r>
      <w:r w:rsidR="00B66C35">
        <w:rPr>
          <w:rFonts w:cs="Arial"/>
          <w:szCs w:val="20"/>
          <w:lang w:val="en-US"/>
        </w:rPr>
        <w:t>e</w:t>
      </w:r>
      <w:r>
        <w:rPr>
          <w:rFonts w:cs="Arial"/>
          <w:szCs w:val="20"/>
          <w:lang w:val="en-US"/>
        </w:rPr>
        <w:t>t syndrome</w:t>
      </w:r>
      <w:r w:rsidR="003C19B2">
        <w:rPr>
          <w:rFonts w:cs="Arial"/>
          <w:szCs w:val="20"/>
          <w:lang w:val="en-US"/>
        </w:rPr>
        <w:t>.</w:t>
      </w:r>
      <w:r w:rsidR="002B2C1B">
        <w:rPr>
          <w:rFonts w:cs="Arial"/>
          <w:szCs w:val="20"/>
          <w:lang w:val="en-US"/>
        </w:rPr>
        <w:t xml:space="preserve"> </w:t>
      </w:r>
    </w:p>
    <w:p w14:paraId="1C09AB2B" w14:textId="74288F8E" w:rsidR="00A724F9" w:rsidRDefault="00A724F9" w:rsidP="002B2C1B">
      <w:pPr>
        <w:pStyle w:val="ListParagraph"/>
        <w:numPr>
          <w:ilvl w:val="0"/>
          <w:numId w:val="17"/>
        </w:numPr>
        <w:rPr>
          <w:rFonts w:cs="Arial"/>
          <w:szCs w:val="20"/>
          <w:lang w:val="en-US"/>
        </w:rPr>
      </w:pPr>
      <w:r>
        <w:rPr>
          <w:rFonts w:cs="Arial"/>
          <w:szCs w:val="20"/>
          <w:lang w:val="en-US"/>
        </w:rPr>
        <w:t xml:space="preserve">Other effects found to occur very commonly in treated patients in CBD studies for Lennox-Gastaut or Dravet syndrome </w:t>
      </w:r>
      <w:r w:rsidR="00202566">
        <w:rPr>
          <w:rFonts w:cs="Arial"/>
          <w:szCs w:val="20"/>
          <w:lang w:val="en-US"/>
        </w:rPr>
        <w:t>were</w:t>
      </w:r>
      <w:r>
        <w:rPr>
          <w:rFonts w:cs="Arial"/>
          <w:szCs w:val="20"/>
          <w:lang w:val="en-US"/>
        </w:rPr>
        <w:t xml:space="preserve"> vomiting, pyrexia and fatigue. </w:t>
      </w:r>
    </w:p>
    <w:p w14:paraId="7D330C68" w14:textId="075DD629" w:rsidR="009F4949" w:rsidRPr="009F4949" w:rsidRDefault="009F4949" w:rsidP="009F4949">
      <w:pPr>
        <w:pStyle w:val="ListParagraph"/>
        <w:numPr>
          <w:ilvl w:val="0"/>
          <w:numId w:val="17"/>
        </w:numPr>
        <w:rPr>
          <w:rFonts w:cs="Arial"/>
          <w:szCs w:val="20"/>
          <w:lang w:val="en-US"/>
        </w:rPr>
      </w:pPr>
      <w:r w:rsidRPr="009F4949">
        <w:rPr>
          <w:rFonts w:cs="Arial"/>
          <w:szCs w:val="20"/>
          <w:lang w:val="en-US"/>
        </w:rPr>
        <w:t xml:space="preserve">Reports of somnolence were more frequent in patients also receiving </w:t>
      </w:r>
      <w:r>
        <w:rPr>
          <w:rFonts w:cs="Arial"/>
          <w:szCs w:val="20"/>
          <w:lang w:val="en-US"/>
        </w:rPr>
        <w:t xml:space="preserve">the antiepileptic </w:t>
      </w:r>
      <w:r w:rsidRPr="009F4949">
        <w:rPr>
          <w:rFonts w:cs="Arial"/>
          <w:szCs w:val="20"/>
          <w:lang w:val="en-US"/>
        </w:rPr>
        <w:t xml:space="preserve">clobazam. </w:t>
      </w:r>
    </w:p>
    <w:p w14:paraId="2A6FE493" w14:textId="3DEED1D1" w:rsidR="009F4949" w:rsidRPr="009F4949" w:rsidRDefault="009F4949" w:rsidP="009F4949">
      <w:pPr>
        <w:pStyle w:val="ListParagraph"/>
        <w:numPr>
          <w:ilvl w:val="0"/>
          <w:numId w:val="17"/>
        </w:numPr>
        <w:rPr>
          <w:rFonts w:cs="Arial"/>
          <w:szCs w:val="20"/>
          <w:lang w:val="en-US"/>
        </w:rPr>
      </w:pPr>
      <w:r w:rsidRPr="009F4949">
        <w:rPr>
          <w:rFonts w:cs="Arial"/>
        </w:rPr>
        <w:lastRenderedPageBreak/>
        <w:t>Most</w:t>
      </w:r>
      <w:r w:rsidRPr="00661D40">
        <w:rPr>
          <w:rFonts w:eastAsiaTheme="minorHAnsi" w:cs="Arial"/>
          <w:szCs w:val="20"/>
        </w:rPr>
        <w:t xml:space="preserve"> serum aminotransferase </w:t>
      </w:r>
      <w:r w:rsidRPr="009F4949">
        <w:rPr>
          <w:rFonts w:cs="Arial"/>
          <w:szCs w:val="20"/>
          <w:lang w:val="en-US"/>
        </w:rPr>
        <w:t>elevations occurred in the first 30 days of treatment</w:t>
      </w:r>
      <w:r w:rsidR="00B91265">
        <w:rPr>
          <w:rFonts w:cs="Arial"/>
          <w:szCs w:val="20"/>
          <w:lang w:val="en-US"/>
        </w:rPr>
        <w:t xml:space="preserve"> but some occurred up to 18 months after treatment initiation in clinical trials</w:t>
      </w:r>
      <w:r w:rsidRPr="009F4949">
        <w:rPr>
          <w:rFonts w:cs="Arial"/>
          <w:szCs w:val="20"/>
          <w:lang w:val="en-US"/>
        </w:rPr>
        <w:t xml:space="preserve">. </w:t>
      </w:r>
      <w:r w:rsidR="00446621">
        <w:rPr>
          <w:rFonts w:cs="Arial"/>
          <w:szCs w:val="20"/>
          <w:lang w:val="en-US"/>
        </w:rPr>
        <w:t>This adverse effect is more likely to occur i</w:t>
      </w:r>
      <w:r w:rsidR="00661D40">
        <w:rPr>
          <w:rFonts w:cs="Arial"/>
          <w:szCs w:val="20"/>
          <w:lang w:val="en-US"/>
        </w:rPr>
        <w:t>n</w:t>
      </w:r>
      <w:r w:rsidR="00446621">
        <w:rPr>
          <w:rFonts w:cs="Arial"/>
          <w:szCs w:val="20"/>
          <w:lang w:val="en-US"/>
        </w:rPr>
        <w:t xml:space="preserve"> a person</w:t>
      </w:r>
      <w:r w:rsidR="00661D40">
        <w:rPr>
          <w:rFonts w:cs="Arial"/>
          <w:szCs w:val="20"/>
          <w:lang w:val="en-US"/>
        </w:rPr>
        <w:t xml:space="preserve"> who</w:t>
      </w:r>
      <w:r w:rsidR="00446621">
        <w:rPr>
          <w:rFonts w:cs="Arial"/>
          <w:szCs w:val="20"/>
          <w:lang w:val="en-US"/>
        </w:rPr>
        <w:t xml:space="preserve"> is also receiving </w:t>
      </w:r>
      <w:r w:rsidRPr="009F4949">
        <w:rPr>
          <w:rFonts w:cs="Arial"/>
          <w:szCs w:val="20"/>
          <w:lang w:val="en-US"/>
        </w:rPr>
        <w:t>valproate</w:t>
      </w:r>
      <w:r>
        <w:rPr>
          <w:rFonts w:cs="Arial"/>
          <w:szCs w:val="20"/>
          <w:lang w:val="en-US"/>
        </w:rPr>
        <w:t xml:space="preserve"> (an antiepileptic)</w:t>
      </w:r>
      <w:r w:rsidRPr="009F4949">
        <w:rPr>
          <w:rFonts w:cs="Arial"/>
          <w:szCs w:val="20"/>
          <w:lang w:val="en-US"/>
        </w:rPr>
        <w:t>, higher doses of CBD and (to a lesser extent) clobazam.</w:t>
      </w:r>
    </w:p>
    <w:p w14:paraId="0F31B989" w14:textId="6D1602CA" w:rsidR="00433B14" w:rsidRPr="000162EC" w:rsidRDefault="00433B14" w:rsidP="00433B14">
      <w:pPr>
        <w:pStyle w:val="ListParagraph"/>
        <w:numPr>
          <w:ilvl w:val="0"/>
          <w:numId w:val="17"/>
        </w:numPr>
        <w:rPr>
          <w:rFonts w:cs="Arial"/>
          <w:szCs w:val="20"/>
          <w:lang w:val="en-US"/>
        </w:rPr>
      </w:pPr>
      <w:r>
        <w:rPr>
          <w:lang w:val="en-US"/>
        </w:rPr>
        <w:t>Theoretically, m</w:t>
      </w:r>
      <w:r w:rsidRPr="00CF1CC8">
        <w:rPr>
          <w:lang w:val="en-US"/>
        </w:rPr>
        <w:t>oderate to severe impairment of kidney or liver function may</w:t>
      </w:r>
      <w:r>
        <w:rPr>
          <w:lang w:val="en-US"/>
        </w:rPr>
        <w:t xml:space="preserve"> </w:t>
      </w:r>
      <w:r w:rsidRPr="00CF1CC8">
        <w:rPr>
          <w:lang w:val="en-US"/>
        </w:rPr>
        <w:t>reduce the clea</w:t>
      </w:r>
      <w:r>
        <w:rPr>
          <w:lang w:val="en-US"/>
        </w:rPr>
        <w:t>rance and/or excretion of CBD</w:t>
      </w:r>
      <w:r w:rsidR="002311E8">
        <w:rPr>
          <w:lang w:val="en-US"/>
        </w:rPr>
        <w:t xml:space="preserve"> which could increase the risk of side effects occurring</w:t>
      </w:r>
      <w:r>
        <w:rPr>
          <w:lang w:val="en-US"/>
        </w:rPr>
        <w:t>.</w:t>
      </w:r>
      <w:r w:rsidR="00EA596B">
        <w:rPr>
          <w:lang w:val="en-US"/>
        </w:rPr>
        <w:t xml:space="preserve"> The SPC for Epidyolex</w:t>
      </w:r>
      <w:r w:rsidR="008C28DF" w:rsidRPr="00AF64C8">
        <w:rPr>
          <w:rFonts w:cs="Arial"/>
          <w:szCs w:val="20"/>
          <w:vertAlign w:val="superscript"/>
          <w:lang w:val="en-US"/>
        </w:rPr>
        <w:t>®</w:t>
      </w:r>
      <w:r w:rsidR="00EA596B">
        <w:rPr>
          <w:lang w:val="en-US"/>
        </w:rPr>
        <w:t xml:space="preserve"> advises that </w:t>
      </w:r>
      <w:r w:rsidR="00EA596B">
        <w:rPr>
          <w:rFonts w:cs="Arial"/>
          <w:color w:val="000000"/>
          <w:sz w:val="19"/>
          <w:szCs w:val="19"/>
          <w:shd w:val="clear" w:color="auto" w:fill="FFFFFF"/>
        </w:rPr>
        <w:t>cannabidiol is used with caution in patients with moderate or severe hepatic impairment and recommends a lower starting dose in these patients.</w:t>
      </w:r>
    </w:p>
    <w:p w14:paraId="0E36C1D3" w14:textId="77777777" w:rsidR="00433B14" w:rsidRDefault="00433B14" w:rsidP="00433B14">
      <w:pPr>
        <w:pStyle w:val="ListParagraph"/>
        <w:numPr>
          <w:ilvl w:val="0"/>
          <w:numId w:val="17"/>
        </w:numPr>
        <w:rPr>
          <w:rFonts w:cs="Arial"/>
          <w:szCs w:val="20"/>
          <w:lang w:val="en-US"/>
        </w:rPr>
      </w:pPr>
      <w:r>
        <w:rPr>
          <w:rFonts w:cs="Arial"/>
          <w:szCs w:val="20"/>
          <w:lang w:val="en-US"/>
        </w:rPr>
        <w:t xml:space="preserve">Readers should consult the UKMi Q&amp;A </w:t>
      </w:r>
      <w:hyperlink r:id="rId15" w:history="1">
        <w:r>
          <w:rPr>
            <w:rStyle w:val="Hyperlink"/>
            <w:rFonts w:cs="Arial"/>
            <w:szCs w:val="20"/>
            <w:lang w:val="en-US"/>
          </w:rPr>
          <w:t>C</w:t>
        </w:r>
        <w:r w:rsidRPr="00C20C9C">
          <w:rPr>
            <w:rStyle w:val="Hyperlink"/>
            <w:rFonts w:cs="Arial"/>
            <w:szCs w:val="20"/>
            <w:lang w:val="en-US"/>
          </w:rPr>
          <w:t>annabis based medicinal products potential drug interactions</w:t>
        </w:r>
      </w:hyperlink>
      <w:r>
        <w:rPr>
          <w:rFonts w:cs="Arial"/>
          <w:szCs w:val="20"/>
          <w:lang w:val="en-US"/>
        </w:rPr>
        <w:t xml:space="preserve"> for further information on potential drug interactions.</w:t>
      </w:r>
      <w:r w:rsidDel="00411F7A">
        <w:rPr>
          <w:rFonts w:cs="Arial"/>
          <w:szCs w:val="20"/>
          <w:lang w:val="en-US"/>
        </w:rPr>
        <w:t xml:space="preserve"> </w:t>
      </w:r>
    </w:p>
    <w:p w14:paraId="29FF813D" w14:textId="77777777" w:rsidR="00433B14" w:rsidRPr="00056347" w:rsidRDefault="00433B14" w:rsidP="00433B14">
      <w:pPr>
        <w:pStyle w:val="ListParagraph"/>
        <w:numPr>
          <w:ilvl w:val="0"/>
          <w:numId w:val="17"/>
        </w:numPr>
        <w:rPr>
          <w:rFonts w:cs="Arial"/>
          <w:szCs w:val="20"/>
          <w:lang w:val="en-US"/>
        </w:rPr>
      </w:pPr>
      <w:r>
        <w:t xml:space="preserve">CBD-containing products are commonly advertised to be free from </w:t>
      </w:r>
      <w:r>
        <w:rPr>
          <w:rFonts w:eastAsiaTheme="minorHAnsi"/>
        </w:rPr>
        <w:t>t</w:t>
      </w:r>
      <w:r w:rsidRPr="000F0E29">
        <w:t>etrahydrocannabinol</w:t>
      </w:r>
      <w:r>
        <w:t xml:space="preserve"> (THC) but have the potential to contain traces of THC, even after the manufacturing process. THC has psychotropic properties and may contribute to potential adverse effects.</w:t>
      </w:r>
    </w:p>
    <w:p w14:paraId="71E779BB" w14:textId="64736A9E" w:rsidR="005963EF" w:rsidRPr="005A7611" w:rsidRDefault="00433B14" w:rsidP="0085665A">
      <w:pPr>
        <w:pStyle w:val="ListParagraph"/>
        <w:numPr>
          <w:ilvl w:val="0"/>
          <w:numId w:val="17"/>
        </w:numPr>
        <w:rPr>
          <w:rFonts w:cs="Arial"/>
          <w:szCs w:val="20"/>
          <w:lang w:val="en-US"/>
        </w:rPr>
      </w:pPr>
      <w:r>
        <w:rPr>
          <w:lang w:val="en-US"/>
        </w:rPr>
        <w:t xml:space="preserve">The purity of individual products may differ, possibly due to undisclosed ingredients or variation in content of CBD (as well as THC), which will have an effect on potential adverse effects or drug interactions. </w:t>
      </w:r>
      <w:r>
        <w:t>Anyone wishing to use a CBD containing supplement should ensure they obtain their supply from a reputable source.</w:t>
      </w:r>
    </w:p>
    <w:p w14:paraId="3833D8A8" w14:textId="721D2F43" w:rsidR="00E15366" w:rsidRPr="00661D40" w:rsidRDefault="00E15366" w:rsidP="0085665A">
      <w:pPr>
        <w:pStyle w:val="ListParagraph"/>
        <w:numPr>
          <w:ilvl w:val="0"/>
          <w:numId w:val="17"/>
        </w:numPr>
        <w:rPr>
          <w:rFonts w:cs="Arial"/>
          <w:szCs w:val="20"/>
          <w:lang w:val="en-US"/>
        </w:rPr>
      </w:pPr>
      <w:r>
        <w:t>The FSA has requested that all CBD products sold as food supplements will require a valid novel food authorisation application to be submitted by the 31 March 2021 to meet legal standards on safety and content.</w:t>
      </w:r>
    </w:p>
    <w:p w14:paraId="50A80F99" w14:textId="25B56153" w:rsidR="000939E3" w:rsidRDefault="000939E3" w:rsidP="00CA0BCC">
      <w:pPr>
        <w:pStyle w:val="ListParagraph"/>
        <w:numPr>
          <w:ilvl w:val="0"/>
          <w:numId w:val="17"/>
        </w:numPr>
        <w:rPr>
          <w:rFonts w:cs="Arial"/>
          <w:szCs w:val="20"/>
          <w:lang w:val="en-US"/>
        </w:rPr>
      </w:pPr>
      <w:r w:rsidRPr="000162EC">
        <w:rPr>
          <w:rFonts w:cs="Arial"/>
          <w:szCs w:val="20"/>
          <w:lang w:val="en-US"/>
        </w:rPr>
        <w:t xml:space="preserve">Information regarding </w:t>
      </w:r>
      <w:r w:rsidR="00A15096">
        <w:rPr>
          <w:rFonts w:cs="Arial"/>
          <w:szCs w:val="20"/>
          <w:lang w:val="en-US"/>
        </w:rPr>
        <w:t>CBD</w:t>
      </w:r>
      <w:r w:rsidRPr="000162EC">
        <w:rPr>
          <w:rFonts w:cs="Arial"/>
          <w:szCs w:val="20"/>
          <w:lang w:val="en-US"/>
        </w:rPr>
        <w:t xml:space="preserve"> safety is limited to </w:t>
      </w:r>
      <w:r w:rsidR="003C19B2">
        <w:rPr>
          <w:rFonts w:cs="Arial"/>
          <w:szCs w:val="20"/>
          <w:lang w:val="en-US"/>
        </w:rPr>
        <w:t xml:space="preserve">a </w:t>
      </w:r>
      <w:r w:rsidRPr="000162EC">
        <w:rPr>
          <w:rFonts w:cs="Arial"/>
          <w:szCs w:val="20"/>
          <w:lang w:val="en-US"/>
        </w:rPr>
        <w:t xml:space="preserve">few human studies </w:t>
      </w:r>
      <w:r w:rsidR="00CE2276">
        <w:rPr>
          <w:rFonts w:cs="Arial"/>
          <w:szCs w:val="20"/>
          <w:lang w:val="en-US"/>
        </w:rPr>
        <w:t>and</w:t>
      </w:r>
      <w:r w:rsidRPr="000162EC">
        <w:rPr>
          <w:rFonts w:cs="Arial"/>
          <w:szCs w:val="20"/>
          <w:lang w:val="en-US"/>
        </w:rPr>
        <w:t xml:space="preserve"> information s</w:t>
      </w:r>
      <w:r w:rsidR="00CE2276">
        <w:rPr>
          <w:rFonts w:cs="Arial"/>
          <w:szCs w:val="20"/>
          <w:lang w:val="en-US"/>
        </w:rPr>
        <w:t>hould be interpreted cautiously. F</w:t>
      </w:r>
      <w:r w:rsidRPr="000162EC">
        <w:rPr>
          <w:rFonts w:cs="Arial"/>
          <w:szCs w:val="20"/>
          <w:lang w:val="en-US"/>
        </w:rPr>
        <w:t xml:space="preserve">urther studies are needed </w:t>
      </w:r>
      <w:r w:rsidR="00B2642E" w:rsidRPr="000162EC">
        <w:rPr>
          <w:rFonts w:cs="Arial"/>
          <w:szCs w:val="20"/>
          <w:lang w:val="en-US"/>
        </w:rPr>
        <w:t>to evaluate</w:t>
      </w:r>
      <w:r w:rsidR="007B5683">
        <w:rPr>
          <w:rFonts w:cs="Arial"/>
          <w:szCs w:val="20"/>
          <w:lang w:val="en-US"/>
        </w:rPr>
        <w:t xml:space="preserve"> the full safety profile</w:t>
      </w:r>
      <w:r w:rsidR="00B2642E" w:rsidRPr="000162EC">
        <w:rPr>
          <w:rFonts w:cs="Arial"/>
          <w:szCs w:val="20"/>
          <w:lang w:val="en-US"/>
        </w:rPr>
        <w:t xml:space="preserve">. </w:t>
      </w:r>
    </w:p>
    <w:p w14:paraId="2FD65633" w14:textId="77777777" w:rsidR="006E16F0" w:rsidRPr="000162EC" w:rsidRDefault="006E16F0" w:rsidP="00282590">
      <w:pPr>
        <w:pStyle w:val="ListParagraph"/>
        <w:ind w:left="360"/>
        <w:rPr>
          <w:rFonts w:cs="Arial"/>
          <w:szCs w:val="20"/>
          <w:lang w:val="en-US"/>
        </w:rPr>
      </w:pPr>
    </w:p>
    <w:p w14:paraId="5A6B541F" w14:textId="77777777" w:rsidR="0048414F" w:rsidRPr="00AC66BE" w:rsidRDefault="00427F92" w:rsidP="00103D78">
      <w:pPr>
        <w:spacing w:after="0"/>
        <w:rPr>
          <w:rStyle w:val="Heading3Char"/>
          <w:rFonts w:eastAsia="Calibri" w:cs="Arial"/>
        </w:rPr>
      </w:pPr>
      <w:r w:rsidRPr="00AC66BE">
        <w:rPr>
          <w:rStyle w:val="Heading3Char"/>
          <w:rFonts w:eastAsia="Calibri" w:cs="Arial"/>
        </w:rPr>
        <w:t>Limitations</w:t>
      </w:r>
    </w:p>
    <w:p w14:paraId="6496C04A" w14:textId="21E4F2F4" w:rsidR="00CF10B6" w:rsidRPr="00BD4CF3" w:rsidRDefault="00430B4B" w:rsidP="0085415A">
      <w:pPr>
        <w:pStyle w:val="ListParagraph"/>
        <w:numPr>
          <w:ilvl w:val="0"/>
          <w:numId w:val="17"/>
        </w:numPr>
        <w:rPr>
          <w:rFonts w:cs="Arial"/>
          <w:szCs w:val="20"/>
          <w:lang w:val="en-US"/>
        </w:rPr>
      </w:pPr>
      <w:r>
        <w:rPr>
          <w:rFonts w:cs="Arial"/>
          <w:szCs w:val="20"/>
        </w:rPr>
        <w:t>This Q&amp;A focuses on CBD</w:t>
      </w:r>
      <w:r w:rsidR="00CF10B6">
        <w:rPr>
          <w:rFonts w:cs="Arial"/>
          <w:szCs w:val="20"/>
        </w:rPr>
        <w:t xml:space="preserve"> distinct from cannabis-</w:t>
      </w:r>
      <w:r w:rsidR="00BD4CF3">
        <w:rPr>
          <w:rFonts w:cs="Arial"/>
          <w:szCs w:val="20"/>
        </w:rPr>
        <w:t>based</w:t>
      </w:r>
      <w:r w:rsidR="00467010">
        <w:rPr>
          <w:rFonts w:cs="Arial"/>
          <w:szCs w:val="20"/>
        </w:rPr>
        <w:t xml:space="preserve"> </w:t>
      </w:r>
      <w:r w:rsidR="007D1792">
        <w:rPr>
          <w:rFonts w:cs="Arial"/>
          <w:szCs w:val="20"/>
        </w:rPr>
        <w:t xml:space="preserve">medicinal </w:t>
      </w:r>
      <w:r w:rsidR="00CF10B6">
        <w:rPr>
          <w:rFonts w:cs="Arial"/>
          <w:szCs w:val="20"/>
        </w:rPr>
        <w:t>products</w:t>
      </w:r>
      <w:r w:rsidR="007D1792">
        <w:rPr>
          <w:rFonts w:cs="Arial"/>
          <w:szCs w:val="20"/>
        </w:rPr>
        <w:t>.</w:t>
      </w:r>
    </w:p>
    <w:p w14:paraId="012ECF41" w14:textId="2BECEA80" w:rsidR="007D1792" w:rsidRPr="00BD4CF3" w:rsidRDefault="007D1792" w:rsidP="007D1792">
      <w:pPr>
        <w:pStyle w:val="ListParagraph"/>
        <w:numPr>
          <w:ilvl w:val="0"/>
          <w:numId w:val="17"/>
        </w:numPr>
        <w:rPr>
          <w:rFonts w:cs="Arial"/>
          <w:szCs w:val="20"/>
          <w:lang w:val="en-US"/>
        </w:rPr>
      </w:pPr>
      <w:r>
        <w:rPr>
          <w:rFonts w:cs="Arial"/>
          <w:szCs w:val="20"/>
        </w:rPr>
        <w:t>This Q&amp;A considers adverse effects. Information on the controlled status of CB</w:t>
      </w:r>
      <w:r w:rsidR="00430B4B">
        <w:rPr>
          <w:rFonts w:cs="Arial"/>
          <w:szCs w:val="20"/>
        </w:rPr>
        <w:t>D</w:t>
      </w:r>
      <w:r>
        <w:rPr>
          <w:rFonts w:cs="Arial"/>
          <w:szCs w:val="20"/>
        </w:rPr>
        <w:t xml:space="preserve"> can be found in the 201</w:t>
      </w:r>
      <w:r w:rsidR="0046201C">
        <w:rPr>
          <w:rFonts w:cs="Arial"/>
          <w:szCs w:val="20"/>
        </w:rPr>
        <w:t>9</w:t>
      </w:r>
      <w:r w:rsidR="0046201C">
        <w:rPr>
          <w:rStyle w:val="Hyperlink"/>
          <w:rFonts w:cs="Arial"/>
          <w:szCs w:val="20"/>
        </w:rPr>
        <w:t xml:space="preserve"> </w:t>
      </w:r>
      <w:hyperlink r:id="rId16" w:history="1">
        <w:r w:rsidR="0046201C" w:rsidRPr="0046201C">
          <w:rPr>
            <w:rStyle w:val="Hyperlink"/>
            <w:rFonts w:cs="Arial"/>
            <w:szCs w:val="20"/>
          </w:rPr>
          <w:t>Home Office Drug Licensing Factsheet- Cannabis, CBD and other cannabinoids</w:t>
        </w:r>
      </w:hyperlink>
      <w:r>
        <w:rPr>
          <w:rFonts w:cs="Arial"/>
          <w:szCs w:val="20"/>
        </w:rPr>
        <w:t xml:space="preserve">. </w:t>
      </w:r>
    </w:p>
    <w:p w14:paraId="6287068C" w14:textId="661F9E01" w:rsidR="0085415A" w:rsidRPr="000162EC" w:rsidRDefault="0085415A" w:rsidP="0085415A">
      <w:pPr>
        <w:pStyle w:val="ListParagraph"/>
        <w:numPr>
          <w:ilvl w:val="0"/>
          <w:numId w:val="17"/>
        </w:numPr>
        <w:rPr>
          <w:rFonts w:cs="Arial"/>
          <w:szCs w:val="20"/>
          <w:lang w:val="en-US"/>
        </w:rPr>
      </w:pPr>
      <w:r w:rsidRPr="000162EC">
        <w:rPr>
          <w:rFonts w:cs="Arial"/>
          <w:szCs w:val="20"/>
        </w:rPr>
        <w:t xml:space="preserve">The information for this Q&amp;A is derived from human studies only and the list of adverse effects are not exhaustive. </w:t>
      </w:r>
    </w:p>
    <w:p w14:paraId="7113082A" w14:textId="77777777" w:rsidR="00947E2E" w:rsidRPr="00FD1F6B" w:rsidRDefault="00947E2E" w:rsidP="00242E8F">
      <w:pPr>
        <w:pStyle w:val="ListParagraph"/>
        <w:numPr>
          <w:ilvl w:val="0"/>
          <w:numId w:val="17"/>
        </w:numPr>
        <w:spacing w:after="0"/>
        <w:rPr>
          <w:rFonts w:cs="Arial"/>
          <w:szCs w:val="20"/>
        </w:rPr>
      </w:pPr>
      <w:r w:rsidRPr="00FD1F6B">
        <w:rPr>
          <w:rFonts w:cs="Arial"/>
          <w:szCs w:val="20"/>
        </w:rPr>
        <w:t xml:space="preserve">Some </w:t>
      </w:r>
      <w:r w:rsidR="0048414F" w:rsidRPr="00FD1F6B">
        <w:rPr>
          <w:rFonts w:cs="Arial"/>
          <w:szCs w:val="20"/>
        </w:rPr>
        <w:t>studies</w:t>
      </w:r>
      <w:r w:rsidRPr="00FD1F6B">
        <w:rPr>
          <w:rFonts w:cs="Arial"/>
          <w:szCs w:val="20"/>
        </w:rPr>
        <w:t xml:space="preserve"> used</w:t>
      </w:r>
      <w:r w:rsidR="0048414F" w:rsidRPr="00FD1F6B">
        <w:rPr>
          <w:rFonts w:cs="Arial"/>
          <w:szCs w:val="20"/>
        </w:rPr>
        <w:t xml:space="preserve"> highly purified</w:t>
      </w:r>
      <w:r w:rsidRPr="00FD1F6B">
        <w:rPr>
          <w:rFonts w:cs="Arial"/>
          <w:szCs w:val="20"/>
        </w:rPr>
        <w:t xml:space="preserve"> </w:t>
      </w:r>
      <w:r w:rsidR="00A15096" w:rsidRPr="00FD1F6B">
        <w:rPr>
          <w:rFonts w:cs="Arial"/>
          <w:szCs w:val="20"/>
        </w:rPr>
        <w:t>CBD whilst</w:t>
      </w:r>
      <w:r w:rsidR="0048414F" w:rsidRPr="00FD1F6B">
        <w:rPr>
          <w:rFonts w:cs="Arial"/>
          <w:szCs w:val="20"/>
        </w:rPr>
        <w:t xml:space="preserve"> others used </w:t>
      </w:r>
      <w:r w:rsidRPr="00FD1F6B">
        <w:rPr>
          <w:rFonts w:cs="Arial"/>
          <w:szCs w:val="20"/>
        </w:rPr>
        <w:t xml:space="preserve">preparations </w:t>
      </w:r>
      <w:r w:rsidR="00A15096">
        <w:rPr>
          <w:rFonts w:cs="Arial"/>
          <w:szCs w:val="20"/>
        </w:rPr>
        <w:t>containing</w:t>
      </w:r>
      <w:r w:rsidRPr="00FD1F6B">
        <w:rPr>
          <w:rFonts w:cs="Arial"/>
          <w:szCs w:val="20"/>
        </w:rPr>
        <w:t xml:space="preserve"> other co</w:t>
      </w:r>
      <w:r w:rsidR="0085415A">
        <w:rPr>
          <w:rFonts w:cs="Arial"/>
          <w:szCs w:val="20"/>
        </w:rPr>
        <w:t xml:space="preserve">mponents (sesame seed oil, THC) </w:t>
      </w:r>
      <w:r w:rsidR="00A15096">
        <w:rPr>
          <w:rFonts w:cs="Arial"/>
          <w:szCs w:val="20"/>
        </w:rPr>
        <w:t>which</w:t>
      </w:r>
      <w:r w:rsidR="0085415A">
        <w:rPr>
          <w:rFonts w:cs="Arial"/>
          <w:szCs w:val="20"/>
        </w:rPr>
        <w:t xml:space="preserve"> may have contributed to adverse effects/interactions.</w:t>
      </w:r>
    </w:p>
    <w:p w14:paraId="35E5FE42" w14:textId="7474D3C7" w:rsidR="003A66BC" w:rsidRPr="005A52CE" w:rsidRDefault="009654DE" w:rsidP="003A66BC">
      <w:pPr>
        <w:pStyle w:val="ListParagraph"/>
        <w:numPr>
          <w:ilvl w:val="0"/>
          <w:numId w:val="17"/>
        </w:numPr>
        <w:rPr>
          <w:rFonts w:cs="Arial"/>
          <w:lang w:val="en-US"/>
        </w:rPr>
      </w:pPr>
      <w:r w:rsidRPr="00FD1F6B">
        <w:rPr>
          <w:rFonts w:cs="Arial"/>
          <w:szCs w:val="20"/>
        </w:rPr>
        <w:t xml:space="preserve">Patients included in these studies </w:t>
      </w:r>
      <w:r w:rsidR="000158F9" w:rsidRPr="00FD1F6B">
        <w:rPr>
          <w:rFonts w:cs="Arial"/>
          <w:szCs w:val="20"/>
        </w:rPr>
        <w:t>are characterise</w:t>
      </w:r>
      <w:r w:rsidR="00057B7F" w:rsidRPr="00FD1F6B">
        <w:rPr>
          <w:rFonts w:cs="Arial"/>
          <w:szCs w:val="20"/>
        </w:rPr>
        <w:t>d by poor prognosis</w:t>
      </w:r>
      <w:r w:rsidR="00FD1F6B">
        <w:rPr>
          <w:rFonts w:cs="Arial"/>
          <w:szCs w:val="20"/>
        </w:rPr>
        <w:t>,</w:t>
      </w:r>
      <w:r w:rsidR="00057B7F" w:rsidRPr="00FD1F6B">
        <w:rPr>
          <w:rFonts w:cs="Arial"/>
          <w:szCs w:val="20"/>
        </w:rPr>
        <w:t xml:space="preserve"> and </w:t>
      </w:r>
      <w:r w:rsidR="00FD1F6B">
        <w:rPr>
          <w:rFonts w:cs="Arial"/>
          <w:szCs w:val="20"/>
        </w:rPr>
        <w:t xml:space="preserve">have </w:t>
      </w:r>
      <w:r w:rsidR="0085415A">
        <w:rPr>
          <w:rFonts w:cs="Arial"/>
          <w:szCs w:val="20"/>
        </w:rPr>
        <w:t>multiple</w:t>
      </w:r>
      <w:r w:rsidR="00FD1F6B">
        <w:rPr>
          <w:rFonts w:cs="Arial"/>
          <w:szCs w:val="20"/>
        </w:rPr>
        <w:t xml:space="preserve"> co-morbidities and polypharmacy. </w:t>
      </w:r>
    </w:p>
    <w:p w14:paraId="1B610483" w14:textId="77777777" w:rsidR="00AC66BE" w:rsidRPr="00B00B12" w:rsidRDefault="00AC66BE" w:rsidP="00AC66BE">
      <w:pPr>
        <w:pStyle w:val="Heading3"/>
        <w:rPr>
          <w:lang w:val="en-US"/>
        </w:rPr>
      </w:pPr>
      <w:r w:rsidRPr="00B00B12">
        <w:rPr>
          <w:lang w:val="en-US"/>
        </w:rPr>
        <w:t>References</w:t>
      </w:r>
    </w:p>
    <w:p w14:paraId="73F6DFC5" w14:textId="2DEA530A" w:rsidR="00F92577" w:rsidRPr="00A34E6E" w:rsidRDefault="00F92577" w:rsidP="00F92577">
      <w:pPr>
        <w:pStyle w:val="ListParagraph"/>
        <w:numPr>
          <w:ilvl w:val="0"/>
          <w:numId w:val="3"/>
        </w:numPr>
        <w:rPr>
          <w:rFonts w:cs="Arial"/>
          <w:color w:val="000000"/>
          <w:szCs w:val="20"/>
        </w:rPr>
      </w:pPr>
      <w:r w:rsidRPr="00A34E6E">
        <w:rPr>
          <w:rFonts w:cs="Arial"/>
          <w:color w:val="000000"/>
          <w:szCs w:val="20"/>
        </w:rPr>
        <w:t xml:space="preserve">Gaston T, Friedman D. Pharmacology of cannabinoids in the treatment of epilepsy. </w:t>
      </w:r>
      <w:r w:rsidR="00655817">
        <w:rPr>
          <w:rFonts w:cs="Arial"/>
          <w:iCs/>
          <w:color w:val="000000"/>
          <w:szCs w:val="20"/>
        </w:rPr>
        <w:t xml:space="preserve">Epilepsy &amp; </w:t>
      </w:r>
      <w:r w:rsidR="00655817" w:rsidRPr="00655817">
        <w:rPr>
          <w:rFonts w:cs="Arial"/>
          <w:iCs/>
          <w:szCs w:val="20"/>
        </w:rPr>
        <w:t>Behavior</w:t>
      </w:r>
      <w:r w:rsidR="00103D78" w:rsidRPr="00655817">
        <w:rPr>
          <w:rFonts w:cs="Arial"/>
          <w:iCs/>
          <w:szCs w:val="20"/>
        </w:rPr>
        <w:t xml:space="preserve"> </w:t>
      </w:r>
      <w:r w:rsidR="00655817" w:rsidRPr="00655817">
        <w:rPr>
          <w:rFonts w:cs="Arial"/>
          <w:szCs w:val="20"/>
        </w:rPr>
        <w:t>2017;</w:t>
      </w:r>
      <w:r w:rsidRPr="00655817">
        <w:rPr>
          <w:rFonts w:cs="Arial"/>
          <w:szCs w:val="20"/>
        </w:rPr>
        <w:t>70:</w:t>
      </w:r>
      <w:r w:rsidRPr="00655817">
        <w:rPr>
          <w:rFonts w:cs="Arial"/>
          <w:szCs w:val="20"/>
          <w:lang w:val="en"/>
        </w:rPr>
        <w:t>313-318</w:t>
      </w:r>
      <w:r w:rsidR="00BE3708">
        <w:rPr>
          <w:rFonts w:cs="Arial"/>
          <w:szCs w:val="20"/>
          <w:lang w:val="en"/>
        </w:rPr>
        <w:t>.</w:t>
      </w:r>
    </w:p>
    <w:p w14:paraId="60F372AA" w14:textId="226349A2" w:rsidR="00F92577" w:rsidRPr="00A34E6E" w:rsidRDefault="00F92577" w:rsidP="00F92577">
      <w:pPr>
        <w:pStyle w:val="ListParagraph"/>
        <w:numPr>
          <w:ilvl w:val="0"/>
          <w:numId w:val="3"/>
        </w:numPr>
        <w:rPr>
          <w:rFonts w:cs="Arial"/>
          <w:color w:val="000000"/>
          <w:szCs w:val="20"/>
        </w:rPr>
      </w:pPr>
      <w:r w:rsidRPr="00A34E6E">
        <w:rPr>
          <w:rFonts w:cs="Arial"/>
          <w:szCs w:val="20"/>
        </w:rPr>
        <w:t xml:space="preserve">Seeman P. Cannabidiol is a partial agonist at dopamine D2 High receptors, predicting its antipsychotic clinical dose. </w:t>
      </w:r>
      <w:r w:rsidRPr="00A34E6E">
        <w:rPr>
          <w:rFonts w:cs="Arial"/>
          <w:iCs/>
          <w:szCs w:val="20"/>
        </w:rPr>
        <w:t xml:space="preserve">Translational Psychiatry </w:t>
      </w:r>
      <w:r w:rsidRPr="00A34E6E">
        <w:rPr>
          <w:rFonts w:cs="Arial"/>
          <w:szCs w:val="20"/>
        </w:rPr>
        <w:t xml:space="preserve">2016 Oct [cited 2 </w:t>
      </w:r>
      <w:r w:rsidR="00F30B56">
        <w:rPr>
          <w:rFonts w:cs="Arial"/>
          <w:szCs w:val="20"/>
        </w:rPr>
        <w:t>Dec</w:t>
      </w:r>
      <w:r w:rsidRPr="00A34E6E">
        <w:rPr>
          <w:rFonts w:cs="Arial"/>
          <w:szCs w:val="20"/>
        </w:rPr>
        <w:t xml:space="preserve"> 201</w:t>
      </w:r>
      <w:r w:rsidR="00F30B56">
        <w:rPr>
          <w:rFonts w:cs="Arial"/>
          <w:szCs w:val="20"/>
        </w:rPr>
        <w:t>9</w:t>
      </w:r>
      <w:r w:rsidRPr="00A34E6E">
        <w:rPr>
          <w:rFonts w:cs="Arial"/>
          <w:szCs w:val="20"/>
        </w:rPr>
        <w:t xml:space="preserve">]; 6(10): </w:t>
      </w:r>
    </w:p>
    <w:p w14:paraId="7682C563" w14:textId="77777777" w:rsidR="00F92577" w:rsidRPr="00A34E6E" w:rsidRDefault="00F92577" w:rsidP="00F92577">
      <w:pPr>
        <w:pStyle w:val="ListParagraph"/>
        <w:ind w:left="360"/>
        <w:rPr>
          <w:rFonts w:cs="Arial"/>
          <w:color w:val="000000"/>
          <w:szCs w:val="20"/>
        </w:rPr>
      </w:pPr>
      <w:r w:rsidRPr="00A34E6E">
        <w:rPr>
          <w:rFonts w:cs="Arial"/>
          <w:color w:val="000000"/>
          <w:szCs w:val="20"/>
        </w:rPr>
        <w:t xml:space="preserve">Available from: </w:t>
      </w:r>
      <w:hyperlink r:id="rId17" w:history="1">
        <w:r w:rsidRPr="00A34E6E">
          <w:rPr>
            <w:rStyle w:val="Hyperlink"/>
            <w:rFonts w:cs="Arial"/>
            <w:szCs w:val="20"/>
          </w:rPr>
          <w:t>https://www.ncbi.nlm.nih.gov/pmc/articles/PMC5315552/</w:t>
        </w:r>
      </w:hyperlink>
    </w:p>
    <w:p w14:paraId="11DB5ACF" w14:textId="77777777" w:rsidR="00F92577" w:rsidRPr="00A34E6E" w:rsidRDefault="00F92577" w:rsidP="00F92577">
      <w:pPr>
        <w:pStyle w:val="ListParagraph"/>
        <w:numPr>
          <w:ilvl w:val="0"/>
          <w:numId w:val="3"/>
        </w:numPr>
        <w:rPr>
          <w:rFonts w:cs="Arial"/>
          <w:color w:val="000000"/>
          <w:szCs w:val="20"/>
        </w:rPr>
      </w:pPr>
      <w:r w:rsidRPr="00A34E6E">
        <w:rPr>
          <w:rFonts w:cs="Arial"/>
          <w:color w:val="000000"/>
          <w:szCs w:val="20"/>
        </w:rPr>
        <w:t>Mehmedic Z, Chandra S, Slade D et al.</w:t>
      </w:r>
      <w:r w:rsidRPr="00A34E6E">
        <w:rPr>
          <w:rFonts w:cs="Arial"/>
          <w:szCs w:val="20"/>
        </w:rPr>
        <w:t xml:space="preserve"> Potency Trends of D9-THC and Other Cannabinoids in Confiscated Cannabis Preparations from 1993 to 2008.</w:t>
      </w:r>
      <w:r w:rsidR="00655817">
        <w:rPr>
          <w:rFonts w:cs="Arial"/>
          <w:szCs w:val="20"/>
        </w:rPr>
        <w:t xml:space="preserve"> Forensic Sciences 2010;55(5):</w:t>
      </w:r>
      <w:r w:rsidRPr="00A34E6E">
        <w:rPr>
          <w:rFonts w:cs="Arial"/>
          <w:color w:val="1C1D1E"/>
          <w:szCs w:val="20"/>
          <w:lang w:val="en"/>
        </w:rPr>
        <w:t>1209-1217</w:t>
      </w:r>
      <w:r w:rsidRPr="00A34E6E">
        <w:rPr>
          <w:rFonts w:cs="Arial"/>
          <w:szCs w:val="20"/>
        </w:rPr>
        <w:t xml:space="preserve"> </w:t>
      </w:r>
    </w:p>
    <w:p w14:paraId="58071705" w14:textId="339946B0" w:rsidR="00D8193B" w:rsidRPr="005A52CE" w:rsidRDefault="00D8193B" w:rsidP="005A52CE">
      <w:pPr>
        <w:pStyle w:val="ListParagraph"/>
        <w:numPr>
          <w:ilvl w:val="0"/>
          <w:numId w:val="3"/>
        </w:numPr>
        <w:rPr>
          <w:rFonts w:eastAsia="Times New Roman" w:cs="Arial"/>
          <w:szCs w:val="20"/>
          <w:lang w:eastAsia="en-GB"/>
        </w:rPr>
      </w:pPr>
      <w:r>
        <w:rPr>
          <w:rFonts w:eastAsia="Times New Roman" w:cs="Arial"/>
          <w:szCs w:val="20"/>
          <w:lang w:eastAsia="en-GB"/>
        </w:rPr>
        <w:t>Cannabidiol</w:t>
      </w:r>
      <w:r w:rsidRPr="005A52CE">
        <w:rPr>
          <w:rFonts w:eastAsia="Times New Roman" w:cs="Arial"/>
          <w:szCs w:val="20"/>
          <w:lang w:eastAsia="en-GB"/>
        </w:rPr>
        <w:t>. In: Natural Medicines (online). Somerville (MA): Therapeutic Research Center; publication year [</w:t>
      </w:r>
      <w:r w:rsidRPr="00D8193B">
        <w:rPr>
          <w:rFonts w:eastAsia="Times New Roman" w:cs="Arial"/>
          <w:szCs w:val="20"/>
          <w:lang w:eastAsia="en-GB"/>
        </w:rPr>
        <w:t>cited 2019</w:t>
      </w:r>
      <w:r w:rsidRPr="005A52CE">
        <w:rPr>
          <w:rFonts w:eastAsia="Times New Roman" w:cs="Arial"/>
          <w:szCs w:val="20"/>
          <w:lang w:eastAsia="en-GB"/>
        </w:rPr>
        <w:t xml:space="preserve"> </w:t>
      </w:r>
      <w:r w:rsidR="00F30B56">
        <w:rPr>
          <w:rFonts w:eastAsia="Times New Roman" w:cs="Arial"/>
          <w:szCs w:val="20"/>
          <w:lang w:eastAsia="en-GB"/>
        </w:rPr>
        <w:t>Dec</w:t>
      </w:r>
      <w:r w:rsidRPr="00D8193B">
        <w:rPr>
          <w:rFonts w:eastAsia="Times New Roman" w:cs="Arial"/>
          <w:szCs w:val="20"/>
          <w:lang w:eastAsia="en-GB"/>
        </w:rPr>
        <w:t xml:space="preserve"> 0</w:t>
      </w:r>
      <w:r w:rsidR="00F30B56">
        <w:rPr>
          <w:rFonts w:eastAsia="Times New Roman" w:cs="Arial"/>
          <w:szCs w:val="20"/>
          <w:lang w:eastAsia="en-GB"/>
        </w:rPr>
        <w:t>2</w:t>
      </w:r>
      <w:r w:rsidRPr="005A52CE">
        <w:rPr>
          <w:rFonts w:eastAsia="Times New Roman" w:cs="Arial"/>
          <w:szCs w:val="20"/>
          <w:lang w:eastAsia="en-GB"/>
        </w:rPr>
        <w:t>]. Available from:</w:t>
      </w:r>
      <w:r w:rsidR="00B826C9">
        <w:rPr>
          <w:rFonts w:eastAsia="Times New Roman" w:cs="Arial"/>
          <w:szCs w:val="20"/>
          <w:lang w:eastAsia="en-GB"/>
        </w:rPr>
        <w:t xml:space="preserve"> </w:t>
      </w:r>
      <w:hyperlink r:id="rId18" w:history="1">
        <w:r w:rsidR="00B826C9" w:rsidRPr="00ED34CC">
          <w:rPr>
            <w:rStyle w:val="Hyperlink"/>
            <w:rFonts w:eastAsia="Times New Roman" w:cs="Arial"/>
            <w:szCs w:val="20"/>
            <w:lang w:eastAsia="en-GB"/>
          </w:rPr>
          <w:t>https://naturalmedicines.therapeuticresearch.com</w:t>
        </w:r>
      </w:hyperlink>
      <w:r w:rsidR="00B826C9">
        <w:rPr>
          <w:rFonts w:eastAsia="Times New Roman" w:cs="Arial"/>
          <w:szCs w:val="20"/>
          <w:lang w:eastAsia="en-GB"/>
        </w:rPr>
        <w:t xml:space="preserve"> </w:t>
      </w:r>
    </w:p>
    <w:p w14:paraId="12FBCC6C" w14:textId="77777777" w:rsidR="00F92577" w:rsidRPr="00A34E6E" w:rsidRDefault="00F92577" w:rsidP="00F92577">
      <w:pPr>
        <w:pStyle w:val="ListParagraph"/>
        <w:numPr>
          <w:ilvl w:val="0"/>
          <w:numId w:val="3"/>
        </w:numPr>
        <w:rPr>
          <w:rFonts w:cs="Arial"/>
          <w:szCs w:val="20"/>
        </w:rPr>
      </w:pPr>
      <w:r w:rsidRPr="00A34E6E">
        <w:rPr>
          <w:rFonts w:eastAsia="Times New Roman" w:cs="Arial"/>
          <w:szCs w:val="20"/>
          <w:lang w:eastAsia="en-GB"/>
        </w:rPr>
        <w:t xml:space="preserve">Pavlovic R, Nenna G, Calvi L et al. Quality Traits of Cannabidiol Oils: Cannabinoids Content, Terpene Fingerprint and Oxidation Stability of European Commercially Available Preparations. </w:t>
      </w:r>
      <w:r w:rsidRPr="00A34E6E">
        <w:rPr>
          <w:rFonts w:eastAsia="Times New Roman" w:cs="Arial"/>
          <w:iCs/>
          <w:szCs w:val="20"/>
          <w:lang w:eastAsia="en-GB"/>
        </w:rPr>
        <w:t xml:space="preserve">Molecules </w:t>
      </w:r>
      <w:r w:rsidR="00655817">
        <w:rPr>
          <w:rFonts w:eastAsia="Times New Roman" w:cs="Arial"/>
          <w:szCs w:val="20"/>
          <w:lang w:eastAsia="en-GB"/>
        </w:rPr>
        <w:t>2018; 23(5):</w:t>
      </w:r>
      <w:r w:rsidRPr="00655817">
        <w:rPr>
          <w:rStyle w:val="Hyperlink"/>
          <w:rFonts w:cs="Arial"/>
          <w:color w:val="auto"/>
          <w:szCs w:val="20"/>
          <w:u w:val="none"/>
          <w:lang w:eastAsia="en-GB"/>
        </w:rPr>
        <w:t>1230</w:t>
      </w:r>
      <w:r w:rsidRPr="00A34E6E">
        <w:rPr>
          <w:rFonts w:eastAsia="Times New Roman" w:cs="Arial"/>
          <w:szCs w:val="20"/>
          <w:lang w:eastAsia="en-GB"/>
        </w:rPr>
        <w:t>.</w:t>
      </w:r>
    </w:p>
    <w:p w14:paraId="60DDF9C3" w14:textId="4AF086DB" w:rsidR="00F92577" w:rsidRPr="00862E3E" w:rsidRDefault="00F92577" w:rsidP="00F92577">
      <w:pPr>
        <w:pStyle w:val="ListParagraph"/>
        <w:numPr>
          <w:ilvl w:val="0"/>
          <w:numId w:val="3"/>
        </w:numPr>
        <w:rPr>
          <w:rFonts w:cs="Arial"/>
          <w:color w:val="000000"/>
          <w:szCs w:val="20"/>
        </w:rPr>
      </w:pPr>
      <w:r w:rsidRPr="00A34E6E">
        <w:rPr>
          <w:rFonts w:cs="Arial"/>
          <w:szCs w:val="20"/>
        </w:rPr>
        <w:t xml:space="preserve">Petrović M,Debeljak Z, Kezić N et al. Relationship between cannabinoids content and </w:t>
      </w:r>
      <w:r w:rsidRPr="00862E3E">
        <w:rPr>
          <w:rFonts w:cs="Arial"/>
          <w:szCs w:val="20"/>
        </w:rPr>
        <w:t xml:space="preserve">composition of fatty acids in hempseed oils. </w:t>
      </w:r>
      <w:r w:rsidR="00655817">
        <w:rPr>
          <w:rFonts w:cs="Arial"/>
          <w:iCs/>
          <w:szCs w:val="20"/>
        </w:rPr>
        <w:t xml:space="preserve">Food Chemistry </w:t>
      </w:r>
      <w:r w:rsidR="00655817">
        <w:rPr>
          <w:rFonts w:cs="Arial"/>
          <w:szCs w:val="20"/>
        </w:rPr>
        <w:t>2015;170:</w:t>
      </w:r>
      <w:r w:rsidRPr="00862E3E">
        <w:rPr>
          <w:rFonts w:cs="Arial"/>
          <w:szCs w:val="20"/>
        </w:rPr>
        <w:t>218-225</w:t>
      </w:r>
      <w:r w:rsidR="006E16F0">
        <w:rPr>
          <w:rFonts w:cs="Arial"/>
          <w:szCs w:val="20"/>
        </w:rPr>
        <w:t xml:space="preserve">. </w:t>
      </w:r>
    </w:p>
    <w:p w14:paraId="3E1CD92D" w14:textId="5452C5E5" w:rsidR="00E63E4B" w:rsidRPr="00054DAF" w:rsidRDefault="00E63E4B" w:rsidP="00E63E4B">
      <w:pPr>
        <w:pStyle w:val="ListParagraph"/>
        <w:numPr>
          <w:ilvl w:val="0"/>
          <w:numId w:val="3"/>
        </w:numPr>
        <w:rPr>
          <w:rFonts w:cs="Arial"/>
          <w:color w:val="000000"/>
          <w:szCs w:val="20"/>
        </w:rPr>
      </w:pPr>
      <w:r>
        <w:rPr>
          <w:rFonts w:cs="Arial"/>
          <w:color w:val="000000"/>
          <w:szCs w:val="20"/>
        </w:rPr>
        <w:lastRenderedPageBreak/>
        <w:t xml:space="preserve">National </w:t>
      </w:r>
      <w:proofErr w:type="spellStart"/>
      <w:proofErr w:type="gramStart"/>
      <w:r>
        <w:rPr>
          <w:rFonts w:cs="Arial"/>
          <w:color w:val="000000"/>
          <w:szCs w:val="20"/>
        </w:rPr>
        <w:t>Instit</w:t>
      </w:r>
      <w:proofErr w:type="spellEnd"/>
      <w:r w:rsidR="00234D3C">
        <w:rPr>
          <w:rFonts w:cs="Arial"/>
          <w:color w:val="000000"/>
          <w:szCs w:val="20"/>
        </w:rPr>
        <w:t>{</w:t>
      </w:r>
      <w:proofErr w:type="spellStart"/>
      <w:proofErr w:type="gramEnd"/>
      <w:r w:rsidR="00234D3C">
        <w:rPr>
          <w:rFonts w:cs="Arial"/>
          <w:color w:val="000000"/>
          <w:szCs w:val="20"/>
        </w:rPr>
        <w:t>f</w:t>
      </w:r>
      <w:r>
        <w:rPr>
          <w:rFonts w:cs="Arial"/>
          <w:color w:val="000000"/>
          <w:szCs w:val="20"/>
        </w:rPr>
        <w:t>ute</w:t>
      </w:r>
      <w:proofErr w:type="spellEnd"/>
      <w:r>
        <w:rPr>
          <w:rFonts w:cs="Arial"/>
          <w:color w:val="000000"/>
          <w:szCs w:val="20"/>
        </w:rPr>
        <w:t xml:space="preserve"> for Health and Care Excellence. Cannabidiol with clobazam for treating seizures associated with Dravet syndrome. </w:t>
      </w:r>
      <w:r w:rsidR="00D54964">
        <w:rPr>
          <w:rFonts w:cs="Arial"/>
          <w:color w:val="000000"/>
          <w:szCs w:val="20"/>
        </w:rPr>
        <w:t>Technology</w:t>
      </w:r>
      <w:r>
        <w:rPr>
          <w:rFonts w:cs="Arial"/>
          <w:color w:val="000000"/>
          <w:szCs w:val="20"/>
        </w:rPr>
        <w:t xml:space="preserve"> appraisal guidance (TA614) (Dec 2019). London: National Institute for Health and Care Excellence [cited 2019 Dec 20]. Available from: </w:t>
      </w:r>
      <w:r w:rsidRPr="005D1D97">
        <w:rPr>
          <w:rFonts w:cs="Arial"/>
          <w:color w:val="000000"/>
          <w:szCs w:val="20"/>
        </w:rPr>
        <w:t>https://www.nice.org.uk/guidance/ta614</w:t>
      </w:r>
    </w:p>
    <w:p w14:paraId="5152DF79" w14:textId="67B57852" w:rsidR="00E63E4B" w:rsidRPr="00054DAF" w:rsidRDefault="00E63E4B" w:rsidP="00E63E4B">
      <w:pPr>
        <w:pStyle w:val="ListParagraph"/>
        <w:numPr>
          <w:ilvl w:val="0"/>
          <w:numId w:val="3"/>
        </w:numPr>
        <w:rPr>
          <w:rFonts w:cs="Arial"/>
          <w:color w:val="000000"/>
          <w:szCs w:val="20"/>
        </w:rPr>
      </w:pPr>
      <w:r>
        <w:rPr>
          <w:rFonts w:cs="Arial"/>
          <w:color w:val="000000"/>
          <w:szCs w:val="20"/>
        </w:rPr>
        <w:t xml:space="preserve">National Institute for Health and Care Excellence. Cannabidiol with clobazam for treating seizures associated with Lennox-Gastaut syndrome. Technology appraisal guidance (TA 615) (Dec 2019). London: National Institute for Health and Care Excellence [cited 2019 Dec 20]. Available from: </w:t>
      </w:r>
      <w:r w:rsidRPr="00D06593">
        <w:rPr>
          <w:rFonts w:cs="Arial"/>
          <w:color w:val="000000"/>
          <w:szCs w:val="20"/>
        </w:rPr>
        <w:t>https://www.nice.org.uk/guidance/ta615</w:t>
      </w:r>
    </w:p>
    <w:p w14:paraId="6A0EF819" w14:textId="60C4A943" w:rsidR="00A04608" w:rsidRPr="002D6EEA" w:rsidRDefault="00A04608" w:rsidP="00585ADC">
      <w:pPr>
        <w:pStyle w:val="ListParagraph"/>
        <w:numPr>
          <w:ilvl w:val="0"/>
          <w:numId w:val="3"/>
        </w:numPr>
        <w:rPr>
          <w:rFonts w:cs="Arial"/>
          <w:color w:val="000000"/>
          <w:szCs w:val="20"/>
        </w:rPr>
      </w:pPr>
      <w:r w:rsidRPr="00585ADC">
        <w:rPr>
          <w:rFonts w:cs="Arial"/>
          <w:szCs w:val="20"/>
          <w:lang w:val="en"/>
        </w:rPr>
        <w:t>National Institute for Health and Care Excellence. Cannabis-based medicinal products (Nov 2019) (NG144). London: National Institute for Health and</w:t>
      </w:r>
      <w:r w:rsidR="00F30B56">
        <w:rPr>
          <w:rFonts w:cs="Arial"/>
          <w:szCs w:val="20"/>
          <w:lang w:val="en"/>
        </w:rPr>
        <w:t xml:space="preserve"> Care Excellence [cited 2019 Dec 02</w:t>
      </w:r>
      <w:r w:rsidRPr="00585ADC">
        <w:rPr>
          <w:rFonts w:cs="Arial"/>
          <w:szCs w:val="20"/>
          <w:lang w:val="en"/>
        </w:rPr>
        <w:t xml:space="preserve">]. Available from: </w:t>
      </w:r>
      <w:hyperlink r:id="rId19" w:history="1">
        <w:r w:rsidRPr="00585ADC">
          <w:rPr>
            <w:rStyle w:val="Hyperlink"/>
            <w:rFonts w:cs="Arial"/>
            <w:szCs w:val="20"/>
            <w:lang w:val="en"/>
          </w:rPr>
          <w:t>https://www.nice.org.uk/guidance/ng144/chapter/Context</w:t>
        </w:r>
      </w:hyperlink>
    </w:p>
    <w:p w14:paraId="3EC3A653" w14:textId="1AABE2DC" w:rsidR="000B6D17" w:rsidRPr="000C6AAB" w:rsidRDefault="000B6D17" w:rsidP="00585ADC">
      <w:pPr>
        <w:pStyle w:val="ListParagraph"/>
        <w:numPr>
          <w:ilvl w:val="0"/>
          <w:numId w:val="3"/>
        </w:numPr>
        <w:rPr>
          <w:rFonts w:cs="Arial"/>
          <w:color w:val="000000"/>
          <w:szCs w:val="20"/>
        </w:rPr>
      </w:pPr>
      <w:r w:rsidRPr="00585ADC">
        <w:rPr>
          <w:rFonts w:eastAsia="Times New Roman" w:cs="Arial"/>
          <w:color w:val="000000"/>
          <w:szCs w:val="20"/>
          <w:lang w:eastAsia="en-GB"/>
        </w:rPr>
        <w:t>Holland and Barrett</w:t>
      </w:r>
      <w:r w:rsidR="0003163F" w:rsidRPr="00585ADC">
        <w:rPr>
          <w:rFonts w:eastAsia="Times New Roman" w:cs="Arial"/>
          <w:color w:val="000000"/>
          <w:szCs w:val="20"/>
          <w:lang w:eastAsia="en-GB"/>
        </w:rPr>
        <w:t xml:space="preserve">. CBD oil </w:t>
      </w:r>
      <w:r w:rsidR="0003163F" w:rsidRPr="00585ADC">
        <w:rPr>
          <w:rFonts w:eastAsia="Times New Roman" w:cs="Arial"/>
          <w:iCs/>
          <w:color w:val="000000"/>
          <w:szCs w:val="20"/>
          <w:lang w:eastAsia="en-GB"/>
        </w:rPr>
        <w:t>[cited 0</w:t>
      </w:r>
      <w:r w:rsidR="00F30B56">
        <w:rPr>
          <w:rFonts w:eastAsia="Times New Roman" w:cs="Arial"/>
          <w:iCs/>
          <w:color w:val="000000"/>
          <w:szCs w:val="20"/>
          <w:lang w:eastAsia="en-GB"/>
        </w:rPr>
        <w:t>2</w:t>
      </w:r>
      <w:r w:rsidR="0003163F" w:rsidRPr="00585ADC">
        <w:rPr>
          <w:rFonts w:eastAsia="Times New Roman" w:cs="Arial"/>
          <w:iCs/>
          <w:color w:val="000000"/>
          <w:szCs w:val="20"/>
          <w:lang w:eastAsia="en-GB"/>
        </w:rPr>
        <w:t xml:space="preserve"> </w:t>
      </w:r>
      <w:r w:rsidR="00F30B56">
        <w:rPr>
          <w:rFonts w:eastAsia="Times New Roman" w:cs="Arial"/>
          <w:iCs/>
          <w:color w:val="000000"/>
          <w:szCs w:val="20"/>
          <w:lang w:eastAsia="en-GB"/>
        </w:rPr>
        <w:t>Dec</w:t>
      </w:r>
      <w:r w:rsidR="0003163F" w:rsidRPr="00585ADC">
        <w:rPr>
          <w:rFonts w:eastAsia="Times New Roman" w:cs="Arial"/>
          <w:iCs/>
          <w:color w:val="000000"/>
          <w:szCs w:val="20"/>
          <w:lang w:eastAsia="en-GB"/>
        </w:rPr>
        <w:t xml:space="preserve"> 201</w:t>
      </w:r>
      <w:r w:rsidR="00657EED" w:rsidRPr="00585ADC">
        <w:rPr>
          <w:rFonts w:eastAsia="Times New Roman" w:cs="Arial"/>
          <w:iCs/>
          <w:color w:val="000000"/>
          <w:szCs w:val="20"/>
          <w:lang w:eastAsia="en-GB"/>
        </w:rPr>
        <w:t>9</w:t>
      </w:r>
      <w:r w:rsidR="0003163F" w:rsidRPr="00585ADC">
        <w:rPr>
          <w:rFonts w:eastAsia="Times New Roman" w:cs="Arial"/>
          <w:iCs/>
          <w:color w:val="000000"/>
          <w:szCs w:val="20"/>
          <w:lang w:eastAsia="en-GB"/>
        </w:rPr>
        <w:t>]</w:t>
      </w:r>
      <w:r w:rsidRPr="00585ADC">
        <w:rPr>
          <w:rFonts w:eastAsia="Times New Roman" w:cs="Arial"/>
          <w:iCs/>
          <w:color w:val="000000"/>
          <w:szCs w:val="20"/>
          <w:lang w:eastAsia="en-GB"/>
        </w:rPr>
        <w:t xml:space="preserve">. Available from: </w:t>
      </w:r>
      <w:hyperlink r:id="rId20" w:history="1">
        <w:r w:rsidR="00C6662D" w:rsidRPr="00585ADC">
          <w:rPr>
            <w:rStyle w:val="Hyperlink"/>
            <w:rFonts w:eastAsia="Times New Roman" w:cs="Arial"/>
            <w:iCs/>
            <w:szCs w:val="20"/>
            <w:lang w:eastAsia="en-GB"/>
          </w:rPr>
          <w:t>https://www.hollandandbarrett.com/shop/vitamins-supplements/homeopathic-flower-remedies/cbd/</w:t>
        </w:r>
      </w:hyperlink>
      <w:r w:rsidRPr="00585ADC">
        <w:rPr>
          <w:rFonts w:eastAsia="Times New Roman" w:cs="Arial"/>
          <w:iCs/>
          <w:color w:val="000000"/>
          <w:szCs w:val="20"/>
          <w:lang w:eastAsia="en-GB"/>
        </w:rPr>
        <w:t xml:space="preserve"> </w:t>
      </w:r>
    </w:p>
    <w:p w14:paraId="3641D383" w14:textId="088479F6" w:rsidR="00210E57" w:rsidRPr="0044109B" w:rsidRDefault="00AA6734" w:rsidP="000C6AAB">
      <w:pPr>
        <w:pStyle w:val="ListParagraph"/>
        <w:numPr>
          <w:ilvl w:val="0"/>
          <w:numId w:val="3"/>
        </w:numPr>
        <w:rPr>
          <w:rFonts w:cs="Arial"/>
          <w:color w:val="000000"/>
          <w:szCs w:val="20"/>
        </w:rPr>
      </w:pPr>
      <w:r>
        <w:rPr>
          <w:rFonts w:cs="Arial"/>
          <w:color w:val="000000"/>
          <w:szCs w:val="20"/>
        </w:rPr>
        <w:t>Food Standards Agency. News: Food Standards Agency sets deadline for the CBD industry and provides safety advice to consumers</w:t>
      </w:r>
      <w:r w:rsidR="000206EE">
        <w:rPr>
          <w:rFonts w:cs="Arial"/>
          <w:color w:val="000000"/>
          <w:szCs w:val="20"/>
        </w:rPr>
        <w:t xml:space="preserve"> [cited 17 Feb 2020]</w:t>
      </w:r>
      <w:r>
        <w:rPr>
          <w:rFonts w:cs="Arial"/>
          <w:color w:val="000000"/>
          <w:szCs w:val="20"/>
        </w:rPr>
        <w:t xml:space="preserve">. Available from: </w:t>
      </w:r>
      <w:hyperlink r:id="rId21" w:history="1">
        <w:r w:rsidRPr="00AA6734">
          <w:rPr>
            <w:rStyle w:val="Hyperlink"/>
            <w:rFonts w:cs="Arial"/>
            <w:szCs w:val="20"/>
          </w:rPr>
          <w:t>https://www.food.gov.uk/print/pdf/node/3721</w:t>
        </w:r>
      </w:hyperlink>
    </w:p>
    <w:p w14:paraId="21131E68" w14:textId="1E178810" w:rsidR="000C674C" w:rsidRPr="000C6AAB" w:rsidRDefault="000C674C" w:rsidP="000C6AAB">
      <w:pPr>
        <w:pStyle w:val="ListParagraph"/>
        <w:numPr>
          <w:ilvl w:val="0"/>
          <w:numId w:val="3"/>
        </w:numPr>
        <w:rPr>
          <w:rFonts w:cs="Arial"/>
          <w:color w:val="000000"/>
          <w:szCs w:val="20"/>
        </w:rPr>
      </w:pPr>
      <w:r w:rsidRPr="000C6AAB">
        <w:rPr>
          <w:rFonts w:eastAsia="Times New Roman" w:cs="Arial"/>
          <w:color w:val="000000"/>
          <w:szCs w:val="20"/>
          <w:lang w:eastAsia="en-GB"/>
        </w:rPr>
        <w:t xml:space="preserve">EPIDIOLEX® (cannabidiol) oral solution. Full Prescribing Information. </w:t>
      </w:r>
      <w:r w:rsidRPr="000C6AAB">
        <w:rPr>
          <w:rFonts w:ascii="Helvetica-Condensed" w:eastAsiaTheme="minorHAnsi" w:hAnsi="Helvetica-Condensed" w:cs="Helvetica-Condensed"/>
          <w:szCs w:val="20"/>
        </w:rPr>
        <w:t xml:space="preserve">Carlsbad, CA: Greenwich Biosciences, Inc., 2018 [cited 02/12/2019]. Available from: </w:t>
      </w:r>
      <w:hyperlink r:id="rId22" w:history="1">
        <w:r>
          <w:rPr>
            <w:rStyle w:val="Hyperlink"/>
          </w:rPr>
          <w:t>https://www.epidiolex.com/sites/default/files/EPIDIOLEX_Full_Prescribing_Information.pdf</w:t>
        </w:r>
      </w:hyperlink>
      <w:r w:rsidRPr="000C6AAB">
        <w:rPr>
          <w:rFonts w:eastAsia="Times New Roman" w:cs="Arial"/>
          <w:color w:val="000000"/>
          <w:szCs w:val="20"/>
          <w:lang w:eastAsia="en-GB"/>
        </w:rPr>
        <w:t xml:space="preserve"> </w:t>
      </w:r>
    </w:p>
    <w:p w14:paraId="356334BC" w14:textId="77777777" w:rsidR="006E16F0" w:rsidRDefault="006E16F0" w:rsidP="006E16F0">
      <w:pPr>
        <w:pStyle w:val="ListParagraph"/>
        <w:numPr>
          <w:ilvl w:val="0"/>
          <w:numId w:val="3"/>
        </w:numPr>
        <w:rPr>
          <w:rFonts w:cs="Arial"/>
          <w:color w:val="000000"/>
          <w:szCs w:val="20"/>
        </w:rPr>
      </w:pPr>
      <w:r>
        <w:rPr>
          <w:rFonts w:cs="Arial"/>
          <w:color w:val="000000"/>
          <w:szCs w:val="20"/>
        </w:rPr>
        <w:t xml:space="preserve">Lattanzi S, Brigo F, Trinka E et al. Efficacy and safety of cannabidiol in epilepsy: a systematic review and meta-analysis. Drugs 2018;78: 1791-1804. </w:t>
      </w:r>
    </w:p>
    <w:p w14:paraId="33CD5273" w14:textId="66E0D74C" w:rsidR="00C22719" w:rsidRDefault="00C22719" w:rsidP="00C0705C">
      <w:pPr>
        <w:pStyle w:val="ListParagraph"/>
        <w:numPr>
          <w:ilvl w:val="0"/>
          <w:numId w:val="3"/>
        </w:numPr>
        <w:spacing w:after="0"/>
        <w:rPr>
          <w:rFonts w:cs="Arial"/>
          <w:color w:val="000000"/>
          <w:szCs w:val="20"/>
        </w:rPr>
      </w:pPr>
      <w:r>
        <w:rPr>
          <w:rFonts w:cs="Arial"/>
          <w:color w:val="000000"/>
          <w:szCs w:val="20"/>
        </w:rPr>
        <w:t>Devinsky O, Patel AD, Thiele EA et al. GWPCARE1 Part A Study Group. Randomized, dose-ranging safety trial of cannabidiol in Dravet syndrome. Neurology 2018;90:e1204-11.</w:t>
      </w:r>
    </w:p>
    <w:p w14:paraId="0F0AA8F2" w14:textId="11805FE2" w:rsidR="001065A5" w:rsidRDefault="001065A5" w:rsidP="001065A5">
      <w:pPr>
        <w:numPr>
          <w:ilvl w:val="0"/>
          <w:numId w:val="3"/>
        </w:numPr>
        <w:shd w:val="clear" w:color="auto" w:fill="FFFFFF"/>
        <w:spacing w:after="0"/>
        <w:rPr>
          <w:rFonts w:eastAsia="Times New Roman" w:cs="Arial"/>
          <w:color w:val="000000"/>
          <w:szCs w:val="20"/>
          <w:lang w:eastAsia="en-GB"/>
        </w:rPr>
      </w:pPr>
      <w:r w:rsidRPr="002F1081">
        <w:rPr>
          <w:rFonts w:eastAsia="Times New Roman" w:cs="Arial"/>
          <w:color w:val="000000"/>
          <w:szCs w:val="20"/>
          <w:lang w:eastAsia="en-GB"/>
        </w:rPr>
        <w:t>Devinsky O, Patel A, Cross J et al. Effect of Cannabidiol on Drop Seizures in the Lennox-Gastaut Syndrome</w:t>
      </w:r>
      <w:r w:rsidR="002D259A">
        <w:rPr>
          <w:rFonts w:eastAsia="Times New Roman" w:cs="Arial"/>
          <w:color w:val="000000"/>
          <w:szCs w:val="20"/>
          <w:lang w:eastAsia="en-GB"/>
        </w:rPr>
        <w:t xml:space="preserve"> (GWPCARE3)</w:t>
      </w:r>
      <w:r w:rsidRPr="002F1081">
        <w:rPr>
          <w:rFonts w:eastAsia="Times New Roman" w:cs="Arial"/>
          <w:color w:val="000000"/>
          <w:szCs w:val="20"/>
          <w:lang w:eastAsia="en-GB"/>
        </w:rPr>
        <w:t xml:space="preserve">. </w:t>
      </w:r>
      <w:r>
        <w:rPr>
          <w:rFonts w:cs="Arial"/>
          <w:color w:val="000000"/>
          <w:szCs w:val="20"/>
        </w:rPr>
        <w:t xml:space="preserve">The </w:t>
      </w:r>
      <w:r w:rsidRPr="002F1081">
        <w:rPr>
          <w:rFonts w:eastAsia="Times New Roman" w:cs="Arial"/>
          <w:iCs/>
          <w:color w:val="000000"/>
          <w:szCs w:val="20"/>
          <w:lang w:eastAsia="en-GB"/>
        </w:rPr>
        <w:t>N</w:t>
      </w:r>
      <w:r>
        <w:rPr>
          <w:rFonts w:eastAsia="Times New Roman" w:cs="Arial"/>
          <w:iCs/>
          <w:color w:val="000000"/>
          <w:szCs w:val="20"/>
          <w:lang w:eastAsia="en-GB"/>
        </w:rPr>
        <w:t>ew</w:t>
      </w:r>
      <w:r w:rsidRPr="002F1081">
        <w:rPr>
          <w:rFonts w:eastAsia="Times New Roman" w:cs="Arial"/>
          <w:iCs/>
          <w:color w:val="000000"/>
          <w:szCs w:val="20"/>
          <w:lang w:eastAsia="en-GB"/>
        </w:rPr>
        <w:t xml:space="preserve"> Engl</w:t>
      </w:r>
      <w:r>
        <w:rPr>
          <w:rFonts w:eastAsia="Times New Roman" w:cs="Arial"/>
          <w:iCs/>
          <w:color w:val="000000"/>
          <w:szCs w:val="20"/>
          <w:lang w:eastAsia="en-GB"/>
        </w:rPr>
        <w:t>and</w:t>
      </w:r>
      <w:r w:rsidRPr="002F1081">
        <w:rPr>
          <w:rFonts w:eastAsia="Times New Roman" w:cs="Arial"/>
          <w:iCs/>
          <w:color w:val="000000"/>
          <w:szCs w:val="20"/>
          <w:lang w:eastAsia="en-GB"/>
        </w:rPr>
        <w:t xml:space="preserve"> J</w:t>
      </w:r>
      <w:r>
        <w:rPr>
          <w:rFonts w:eastAsia="Times New Roman" w:cs="Arial"/>
          <w:iCs/>
          <w:color w:val="000000"/>
          <w:szCs w:val="20"/>
          <w:lang w:eastAsia="en-GB"/>
        </w:rPr>
        <w:t>ournal of</w:t>
      </w:r>
      <w:r w:rsidRPr="002F1081">
        <w:rPr>
          <w:rFonts w:eastAsia="Times New Roman" w:cs="Arial"/>
          <w:iCs/>
          <w:color w:val="000000"/>
          <w:szCs w:val="20"/>
          <w:lang w:eastAsia="en-GB"/>
        </w:rPr>
        <w:t xml:space="preserve"> Med</w:t>
      </w:r>
      <w:r>
        <w:rPr>
          <w:rFonts w:eastAsia="Times New Roman" w:cs="Arial"/>
          <w:iCs/>
          <w:color w:val="000000"/>
          <w:szCs w:val="20"/>
          <w:lang w:eastAsia="en-GB"/>
        </w:rPr>
        <w:t>icine</w:t>
      </w:r>
      <w:r w:rsidRPr="002F1081">
        <w:rPr>
          <w:rFonts w:cs="Arial"/>
          <w:iCs/>
          <w:color w:val="000000"/>
          <w:szCs w:val="20"/>
        </w:rPr>
        <w:t xml:space="preserve"> </w:t>
      </w:r>
      <w:r>
        <w:rPr>
          <w:rFonts w:eastAsia="Times New Roman" w:cs="Arial"/>
          <w:color w:val="000000"/>
          <w:szCs w:val="20"/>
          <w:lang w:eastAsia="en-GB"/>
        </w:rPr>
        <w:t>2018;378(20):</w:t>
      </w:r>
      <w:r w:rsidRPr="002F1081">
        <w:rPr>
          <w:rFonts w:eastAsia="Times New Roman" w:cs="Arial"/>
          <w:color w:val="000000"/>
          <w:szCs w:val="20"/>
          <w:lang w:eastAsia="en-GB"/>
        </w:rPr>
        <w:t>1888-897</w:t>
      </w:r>
      <w:r w:rsidR="00BE3708">
        <w:rPr>
          <w:rFonts w:eastAsia="Times New Roman" w:cs="Arial"/>
          <w:color w:val="000000"/>
          <w:szCs w:val="20"/>
          <w:lang w:eastAsia="en-GB"/>
        </w:rPr>
        <w:t>.</w:t>
      </w:r>
    </w:p>
    <w:p w14:paraId="7B4E47D0" w14:textId="2D0735D9" w:rsidR="00F92577" w:rsidRPr="002F1081" w:rsidRDefault="00F92577" w:rsidP="00F92577">
      <w:pPr>
        <w:pStyle w:val="ListParagraph"/>
        <w:numPr>
          <w:ilvl w:val="0"/>
          <w:numId w:val="3"/>
        </w:numPr>
        <w:spacing w:after="0"/>
        <w:rPr>
          <w:rFonts w:cs="Arial"/>
          <w:color w:val="000000"/>
          <w:szCs w:val="20"/>
        </w:rPr>
      </w:pPr>
      <w:r w:rsidRPr="002F1081">
        <w:rPr>
          <w:rFonts w:cs="Arial"/>
          <w:color w:val="000000"/>
          <w:szCs w:val="20"/>
        </w:rPr>
        <w:t>Devinsky O, Cross H, Laux L et al</w:t>
      </w:r>
      <w:r w:rsidR="004F1B7A" w:rsidRPr="002F1081">
        <w:rPr>
          <w:rFonts w:cs="Arial"/>
          <w:color w:val="000000"/>
          <w:szCs w:val="20"/>
        </w:rPr>
        <w:t>.</w:t>
      </w:r>
      <w:r w:rsidRPr="002F1081">
        <w:rPr>
          <w:rFonts w:cs="Arial"/>
          <w:color w:val="000000"/>
          <w:szCs w:val="20"/>
        </w:rPr>
        <w:t xml:space="preserve"> Trial of Cannabidiol for Drug-Resistant Seizures in the Dravet Syndrome</w:t>
      </w:r>
      <w:r w:rsidR="002D259A">
        <w:rPr>
          <w:rFonts w:cs="Arial"/>
          <w:color w:val="000000"/>
          <w:szCs w:val="20"/>
        </w:rPr>
        <w:t xml:space="preserve"> (GWPCARE1 Part B Study Group</w:t>
      </w:r>
      <w:r w:rsidR="00AB3544">
        <w:rPr>
          <w:rFonts w:cs="Arial"/>
          <w:color w:val="000000"/>
          <w:szCs w:val="20"/>
        </w:rPr>
        <w:t>)</w:t>
      </w:r>
      <w:r w:rsidRPr="002F1081">
        <w:rPr>
          <w:rFonts w:cs="Arial"/>
          <w:color w:val="000000"/>
          <w:szCs w:val="20"/>
        </w:rPr>
        <w:t xml:space="preserve">. </w:t>
      </w:r>
      <w:r w:rsidR="00655817">
        <w:rPr>
          <w:rFonts w:cs="Arial"/>
          <w:color w:val="000000"/>
          <w:szCs w:val="20"/>
        </w:rPr>
        <w:t xml:space="preserve">The </w:t>
      </w:r>
      <w:r w:rsidRPr="002F1081">
        <w:rPr>
          <w:rFonts w:eastAsia="Times New Roman" w:cs="Arial"/>
          <w:iCs/>
          <w:color w:val="000000"/>
          <w:szCs w:val="20"/>
          <w:lang w:eastAsia="en-GB"/>
        </w:rPr>
        <w:t>N</w:t>
      </w:r>
      <w:r w:rsidR="00655817">
        <w:rPr>
          <w:rFonts w:eastAsia="Times New Roman" w:cs="Arial"/>
          <w:iCs/>
          <w:color w:val="000000"/>
          <w:szCs w:val="20"/>
          <w:lang w:eastAsia="en-GB"/>
        </w:rPr>
        <w:t>ew</w:t>
      </w:r>
      <w:r w:rsidRPr="002F1081">
        <w:rPr>
          <w:rFonts w:eastAsia="Times New Roman" w:cs="Arial"/>
          <w:iCs/>
          <w:color w:val="000000"/>
          <w:szCs w:val="20"/>
          <w:lang w:eastAsia="en-GB"/>
        </w:rPr>
        <w:t xml:space="preserve"> Engl</w:t>
      </w:r>
      <w:r w:rsidR="00655817">
        <w:rPr>
          <w:rFonts w:eastAsia="Times New Roman" w:cs="Arial"/>
          <w:iCs/>
          <w:color w:val="000000"/>
          <w:szCs w:val="20"/>
          <w:lang w:eastAsia="en-GB"/>
        </w:rPr>
        <w:t>and</w:t>
      </w:r>
      <w:r w:rsidRPr="002F1081">
        <w:rPr>
          <w:rFonts w:eastAsia="Times New Roman" w:cs="Arial"/>
          <w:iCs/>
          <w:color w:val="000000"/>
          <w:szCs w:val="20"/>
          <w:lang w:eastAsia="en-GB"/>
        </w:rPr>
        <w:t xml:space="preserve"> J</w:t>
      </w:r>
      <w:r w:rsidR="00655817">
        <w:rPr>
          <w:rFonts w:eastAsia="Times New Roman" w:cs="Arial"/>
          <w:iCs/>
          <w:color w:val="000000"/>
          <w:szCs w:val="20"/>
          <w:lang w:eastAsia="en-GB"/>
        </w:rPr>
        <w:t>ournal of</w:t>
      </w:r>
      <w:r w:rsidRPr="002F1081">
        <w:rPr>
          <w:rFonts w:eastAsia="Times New Roman" w:cs="Arial"/>
          <w:iCs/>
          <w:color w:val="000000"/>
          <w:szCs w:val="20"/>
          <w:lang w:eastAsia="en-GB"/>
        </w:rPr>
        <w:t xml:space="preserve"> Med</w:t>
      </w:r>
      <w:r w:rsidR="00655817">
        <w:rPr>
          <w:rFonts w:eastAsia="Times New Roman" w:cs="Arial"/>
          <w:iCs/>
          <w:color w:val="000000"/>
          <w:szCs w:val="20"/>
          <w:lang w:eastAsia="en-GB"/>
        </w:rPr>
        <w:t>icine</w:t>
      </w:r>
      <w:r w:rsidRPr="002F1081">
        <w:rPr>
          <w:rFonts w:cs="Arial"/>
          <w:iCs/>
          <w:color w:val="000000"/>
          <w:szCs w:val="20"/>
        </w:rPr>
        <w:t xml:space="preserve"> </w:t>
      </w:r>
      <w:r w:rsidR="00655817">
        <w:rPr>
          <w:rFonts w:cs="Arial"/>
          <w:color w:val="000000"/>
          <w:szCs w:val="20"/>
        </w:rPr>
        <w:t>2017;</w:t>
      </w:r>
      <w:r w:rsidRPr="002F1081">
        <w:rPr>
          <w:rFonts w:cs="Arial"/>
          <w:color w:val="000000"/>
          <w:szCs w:val="20"/>
        </w:rPr>
        <w:t xml:space="preserve">376(21):2011-2020. </w:t>
      </w:r>
    </w:p>
    <w:p w14:paraId="0525F4F8" w14:textId="04EB0BE4" w:rsidR="00F92577" w:rsidRPr="002F1081" w:rsidRDefault="00F92577" w:rsidP="00F92577">
      <w:pPr>
        <w:pStyle w:val="ListParagraph"/>
        <w:numPr>
          <w:ilvl w:val="0"/>
          <w:numId w:val="3"/>
        </w:numPr>
        <w:spacing w:after="0"/>
        <w:rPr>
          <w:rFonts w:cs="Arial"/>
          <w:color w:val="000000"/>
          <w:szCs w:val="20"/>
        </w:rPr>
      </w:pPr>
      <w:r w:rsidRPr="002F1081">
        <w:rPr>
          <w:rFonts w:eastAsia="Times New Roman" w:cs="Arial"/>
          <w:color w:val="000000"/>
          <w:szCs w:val="20"/>
          <w:lang w:eastAsia="en-GB"/>
        </w:rPr>
        <w:t xml:space="preserve">Thiele E, Marsh E, French J et al. Cannabidiol in patients with seizures associated with Lennox-Gastaut syndrome (GWPCARE4): a randomised, double-blind, placebo-controlled phase 3 trial. </w:t>
      </w:r>
      <w:r w:rsidR="00217B39">
        <w:rPr>
          <w:rFonts w:eastAsia="Times New Roman" w:cs="Arial"/>
          <w:iCs/>
          <w:color w:val="000000"/>
          <w:szCs w:val="20"/>
          <w:lang w:eastAsia="en-GB"/>
        </w:rPr>
        <w:t>The Lancet</w:t>
      </w:r>
      <w:r w:rsidRPr="002F1081">
        <w:rPr>
          <w:rFonts w:eastAsia="Times New Roman" w:cs="Arial"/>
          <w:i/>
          <w:iCs/>
          <w:color w:val="000000"/>
          <w:szCs w:val="20"/>
          <w:lang w:eastAsia="en-GB"/>
        </w:rPr>
        <w:t xml:space="preserve"> </w:t>
      </w:r>
      <w:r w:rsidR="00217B39">
        <w:rPr>
          <w:rFonts w:eastAsia="Times New Roman" w:cs="Arial"/>
          <w:color w:val="000000"/>
          <w:szCs w:val="20"/>
          <w:lang w:eastAsia="en-GB"/>
        </w:rPr>
        <w:t>2018;391(10125):</w:t>
      </w:r>
      <w:r w:rsidRPr="002F1081">
        <w:rPr>
          <w:rFonts w:eastAsia="Times New Roman" w:cs="Arial"/>
          <w:color w:val="000000"/>
          <w:szCs w:val="20"/>
          <w:lang w:eastAsia="en-GB"/>
        </w:rPr>
        <w:t>1085-1096</w:t>
      </w:r>
      <w:r w:rsidR="00BE3708">
        <w:rPr>
          <w:rFonts w:eastAsia="Times New Roman" w:cs="Arial"/>
          <w:color w:val="000000"/>
          <w:szCs w:val="20"/>
          <w:lang w:eastAsia="en-GB"/>
        </w:rPr>
        <w:t>.</w:t>
      </w:r>
      <w:r w:rsidRPr="002F1081">
        <w:rPr>
          <w:rFonts w:eastAsia="Times New Roman" w:cs="Arial"/>
          <w:color w:val="000000"/>
          <w:szCs w:val="20"/>
          <w:lang w:eastAsia="en-GB"/>
        </w:rPr>
        <w:t xml:space="preserve"> </w:t>
      </w:r>
    </w:p>
    <w:p w14:paraId="5164BFDF" w14:textId="3C37E040" w:rsidR="005C3986" w:rsidRDefault="005C3986" w:rsidP="005C3986">
      <w:pPr>
        <w:numPr>
          <w:ilvl w:val="0"/>
          <w:numId w:val="3"/>
        </w:numPr>
        <w:shd w:val="clear" w:color="auto" w:fill="FFFFFF"/>
        <w:spacing w:after="0"/>
        <w:rPr>
          <w:rFonts w:cs="Arial"/>
          <w:color w:val="000000"/>
          <w:szCs w:val="20"/>
          <w:lang w:eastAsia="en-GB"/>
        </w:rPr>
      </w:pPr>
      <w:r>
        <w:rPr>
          <w:rFonts w:eastAsia="Times New Roman" w:cs="Arial"/>
          <w:color w:val="000000"/>
          <w:szCs w:val="20"/>
          <w:lang w:eastAsia="en-GB"/>
        </w:rPr>
        <w:t>Sekar K and Pack A. Epidiolex as adjunct therapy for treatment of refractory epilepsy: a comprehensive review with a focus on adverse effects. F1000Research 2019;234 [cited 0</w:t>
      </w:r>
      <w:r w:rsidR="00F30B56">
        <w:rPr>
          <w:rFonts w:eastAsia="Times New Roman" w:cs="Arial"/>
          <w:color w:val="000000"/>
          <w:szCs w:val="20"/>
          <w:lang w:eastAsia="en-GB"/>
        </w:rPr>
        <w:t>2</w:t>
      </w:r>
      <w:r>
        <w:rPr>
          <w:rFonts w:eastAsia="Times New Roman" w:cs="Arial"/>
          <w:color w:val="000000"/>
          <w:szCs w:val="20"/>
          <w:lang w:eastAsia="en-GB"/>
        </w:rPr>
        <w:t xml:space="preserve"> </w:t>
      </w:r>
      <w:r w:rsidR="00F30B56">
        <w:rPr>
          <w:rFonts w:eastAsia="Times New Roman" w:cs="Arial"/>
          <w:color w:val="000000"/>
          <w:szCs w:val="20"/>
          <w:lang w:eastAsia="en-GB"/>
        </w:rPr>
        <w:t>Dec</w:t>
      </w:r>
      <w:r>
        <w:rPr>
          <w:rFonts w:eastAsia="Times New Roman" w:cs="Arial"/>
          <w:color w:val="000000"/>
          <w:szCs w:val="20"/>
          <w:lang w:eastAsia="en-GB"/>
        </w:rPr>
        <w:t xml:space="preserve"> 2019]. Available from: </w:t>
      </w:r>
      <w:hyperlink r:id="rId23" w:history="1">
        <w:r w:rsidRPr="00EF0EAC">
          <w:rPr>
            <w:rStyle w:val="Hyperlink"/>
            <w:rFonts w:eastAsia="Times New Roman" w:cs="Arial"/>
            <w:szCs w:val="20"/>
            <w:lang w:eastAsia="en-GB"/>
          </w:rPr>
          <w:t>https://doi.org/10.12688/f1000research.16515.1</w:t>
        </w:r>
      </w:hyperlink>
    </w:p>
    <w:p w14:paraId="02BF0C55" w14:textId="74DA5CC8" w:rsidR="00AD3F47" w:rsidRPr="00323CB5" w:rsidRDefault="00AD3F47" w:rsidP="006E16F0">
      <w:pPr>
        <w:numPr>
          <w:ilvl w:val="0"/>
          <w:numId w:val="3"/>
        </w:numPr>
        <w:shd w:val="clear" w:color="auto" w:fill="FFFFFF"/>
        <w:spacing w:after="0"/>
        <w:rPr>
          <w:rStyle w:val="Hyperlink"/>
          <w:rFonts w:eastAsia="Times New Roman" w:cs="Arial"/>
          <w:color w:val="000000"/>
          <w:szCs w:val="20"/>
          <w:u w:val="none"/>
          <w:lang w:eastAsia="en-GB"/>
        </w:rPr>
      </w:pPr>
      <w:r w:rsidRPr="00BB489F">
        <w:rPr>
          <w:rFonts w:cs="Arial"/>
          <w:color w:val="000000"/>
          <w:szCs w:val="20"/>
          <w:lang w:eastAsia="en-GB"/>
        </w:rPr>
        <w:t>GWPCARE2</w:t>
      </w:r>
      <w:r>
        <w:rPr>
          <w:rFonts w:cs="Arial"/>
          <w:color w:val="000000"/>
          <w:szCs w:val="20"/>
          <w:lang w:eastAsia="en-GB"/>
        </w:rPr>
        <w:t>.</w:t>
      </w:r>
      <w:r w:rsidRPr="00BB489F">
        <w:rPr>
          <w:rFonts w:cs="Arial"/>
          <w:color w:val="000000"/>
          <w:szCs w:val="20"/>
          <w:lang w:eastAsia="en-GB"/>
        </w:rPr>
        <w:t xml:space="preserve"> A Study to Investigate the Efficacy and Safety of Cannabidiol (GWP42003-P) in Children and Young Adults With Dravet Syndrome</w:t>
      </w:r>
      <w:r>
        <w:rPr>
          <w:rFonts w:cs="Arial"/>
          <w:color w:val="000000"/>
          <w:szCs w:val="20"/>
          <w:lang w:eastAsia="en-GB"/>
        </w:rPr>
        <w:t xml:space="preserve"> (</w:t>
      </w:r>
      <w:r w:rsidR="00E63250">
        <w:rPr>
          <w:rFonts w:cs="Arial"/>
          <w:color w:val="000000"/>
          <w:szCs w:val="20"/>
          <w:lang w:eastAsia="en-GB"/>
        </w:rPr>
        <w:t>R</w:t>
      </w:r>
      <w:r>
        <w:rPr>
          <w:rFonts w:cs="Arial"/>
          <w:color w:val="000000"/>
          <w:szCs w:val="20"/>
          <w:lang w:eastAsia="en-GB"/>
        </w:rPr>
        <w:t>esults posted</w:t>
      </w:r>
      <w:r w:rsidR="00E63250">
        <w:rPr>
          <w:rFonts w:cs="Arial"/>
          <w:color w:val="000000"/>
          <w:szCs w:val="20"/>
          <w:lang w:eastAsia="en-GB"/>
        </w:rPr>
        <w:t xml:space="preserve"> Aug 2019</w:t>
      </w:r>
      <w:r>
        <w:rPr>
          <w:rFonts w:cs="Arial"/>
          <w:color w:val="000000"/>
          <w:szCs w:val="20"/>
          <w:lang w:eastAsia="en-GB"/>
        </w:rPr>
        <w:t>) [cited 0</w:t>
      </w:r>
      <w:r w:rsidR="00F30B56">
        <w:rPr>
          <w:rFonts w:cs="Arial"/>
          <w:color w:val="000000"/>
          <w:szCs w:val="20"/>
          <w:lang w:eastAsia="en-GB"/>
        </w:rPr>
        <w:t>2</w:t>
      </w:r>
      <w:r>
        <w:rPr>
          <w:rFonts w:cs="Arial"/>
          <w:color w:val="000000"/>
          <w:szCs w:val="20"/>
          <w:lang w:eastAsia="en-GB"/>
        </w:rPr>
        <w:t>/</w:t>
      </w:r>
      <w:r w:rsidR="00F30B56">
        <w:rPr>
          <w:rFonts w:cs="Arial"/>
          <w:color w:val="000000"/>
          <w:szCs w:val="20"/>
          <w:lang w:eastAsia="en-GB"/>
        </w:rPr>
        <w:t>12</w:t>
      </w:r>
      <w:r>
        <w:rPr>
          <w:rFonts w:cs="Arial"/>
          <w:color w:val="000000"/>
          <w:szCs w:val="20"/>
          <w:lang w:eastAsia="en-GB"/>
        </w:rPr>
        <w:t xml:space="preserve">/2019]. Available from: </w:t>
      </w:r>
      <w:hyperlink r:id="rId24" w:history="1">
        <w:r w:rsidRPr="00BD361C">
          <w:rPr>
            <w:rStyle w:val="Hyperlink"/>
            <w:rFonts w:eastAsia="Times New Roman" w:cs="Arial"/>
            <w:szCs w:val="20"/>
            <w:lang w:eastAsia="en-GB"/>
          </w:rPr>
          <w:t>https://clinicaltrials.gov/ct2/show/NCT02224703</w:t>
        </w:r>
      </w:hyperlink>
    </w:p>
    <w:p w14:paraId="5C8FE278" w14:textId="5B685323" w:rsidR="000C55A5" w:rsidRPr="00AD3F47" w:rsidRDefault="000C55A5" w:rsidP="00AD3F47">
      <w:pPr>
        <w:numPr>
          <w:ilvl w:val="0"/>
          <w:numId w:val="3"/>
        </w:numPr>
        <w:shd w:val="clear" w:color="auto" w:fill="FFFFFF"/>
        <w:spacing w:after="0"/>
        <w:rPr>
          <w:rFonts w:eastAsia="Times New Roman" w:cs="Arial"/>
          <w:color w:val="000000"/>
          <w:szCs w:val="20"/>
          <w:lang w:eastAsia="en-GB"/>
        </w:rPr>
      </w:pPr>
      <w:r w:rsidRPr="00AD3F47">
        <w:rPr>
          <w:rFonts w:eastAsia="Times New Roman" w:cs="Arial"/>
          <w:color w:val="000000"/>
          <w:szCs w:val="20"/>
          <w:lang w:eastAsia="en-GB"/>
        </w:rPr>
        <w:t>Devinsky O, Nabbout R, Miller I et al. Long-term cannabidiol treatment in patients with Dravet syndrome: An open-label extension trial. Epilepsia 2019;60:294-302.</w:t>
      </w:r>
    </w:p>
    <w:p w14:paraId="67E871F3" w14:textId="4C4A5A14" w:rsidR="000C55A5" w:rsidRDefault="000C55A5" w:rsidP="00F92577">
      <w:pPr>
        <w:numPr>
          <w:ilvl w:val="0"/>
          <w:numId w:val="3"/>
        </w:numPr>
        <w:shd w:val="clear" w:color="auto" w:fill="FFFFFF"/>
        <w:spacing w:after="0"/>
        <w:rPr>
          <w:rFonts w:eastAsia="Times New Roman" w:cs="Arial"/>
          <w:color w:val="000000"/>
          <w:szCs w:val="20"/>
          <w:lang w:eastAsia="en-GB"/>
        </w:rPr>
      </w:pPr>
      <w:r>
        <w:rPr>
          <w:rFonts w:eastAsia="Times New Roman" w:cs="Arial"/>
          <w:color w:val="000000"/>
          <w:szCs w:val="20"/>
          <w:lang w:eastAsia="en-GB"/>
        </w:rPr>
        <w:t>Thiele E, Marsh E, Mazurkiewicz-Beldzinska M et al. Cannabidiol in patients with Lennox-Gastaut syndrome: Interim analysis of an open-label extension study. Epilepsia 2019;60:419-28.</w:t>
      </w:r>
    </w:p>
    <w:p w14:paraId="58128332" w14:textId="77777777" w:rsidR="000C674C" w:rsidRPr="000E3E83" w:rsidRDefault="000C674C" w:rsidP="005278F6">
      <w:pPr>
        <w:pStyle w:val="ListParagraph"/>
        <w:numPr>
          <w:ilvl w:val="0"/>
          <w:numId w:val="3"/>
        </w:numPr>
        <w:spacing w:after="0"/>
        <w:ind w:left="357" w:hanging="357"/>
        <w:rPr>
          <w:rFonts w:cs="Arial"/>
          <w:color w:val="000000"/>
          <w:szCs w:val="20"/>
        </w:rPr>
      </w:pPr>
      <w:r w:rsidRPr="000E3E83">
        <w:rPr>
          <w:rFonts w:cs="Arial"/>
          <w:color w:val="000000"/>
          <w:szCs w:val="20"/>
        </w:rPr>
        <w:t xml:space="preserve">Summary of Product Characteristics – </w:t>
      </w:r>
      <w:r>
        <w:rPr>
          <w:rFonts w:cs="Arial"/>
          <w:color w:val="000000"/>
          <w:szCs w:val="20"/>
        </w:rPr>
        <w:t>Epidyolex 100mg/ml oral solution</w:t>
      </w:r>
      <w:r w:rsidRPr="000E3E83">
        <w:rPr>
          <w:rFonts w:cs="Arial"/>
          <w:color w:val="000000"/>
          <w:szCs w:val="20"/>
        </w:rPr>
        <w:t xml:space="preserve"> (</w:t>
      </w:r>
      <w:r>
        <w:rPr>
          <w:rFonts w:cs="Arial"/>
          <w:color w:val="000000"/>
          <w:szCs w:val="20"/>
        </w:rPr>
        <w:t>cannabidiol</w:t>
      </w:r>
      <w:r w:rsidRPr="00154464">
        <w:rPr>
          <w:rFonts w:cs="Arial"/>
          <w:color w:val="000000"/>
          <w:szCs w:val="20"/>
        </w:rPr>
        <w:t xml:space="preserve">). GW Pharma </w:t>
      </w:r>
      <w:r w:rsidRPr="000E3E83">
        <w:rPr>
          <w:rFonts w:cs="Arial"/>
          <w:color w:val="000000"/>
          <w:szCs w:val="20"/>
        </w:rPr>
        <w:t>Ltd. Accessed via</w:t>
      </w:r>
      <w:r>
        <w:rPr>
          <w:rFonts w:cs="Arial"/>
          <w:color w:val="000000"/>
          <w:szCs w:val="20"/>
        </w:rPr>
        <w:t xml:space="preserve">: </w:t>
      </w:r>
      <w:hyperlink r:id="rId25" w:history="1">
        <w:r w:rsidRPr="00673E30">
          <w:rPr>
            <w:rStyle w:val="Hyperlink"/>
            <w:rFonts w:cs="Arial"/>
            <w:szCs w:val="20"/>
          </w:rPr>
          <w:t>https://www.medicines.org.uk/emc/product/10781</w:t>
        </w:r>
      </w:hyperlink>
      <w:r>
        <w:rPr>
          <w:rFonts w:cs="Arial"/>
          <w:color w:val="000000"/>
          <w:szCs w:val="20"/>
        </w:rPr>
        <w:t xml:space="preserve"> on 02/12</w:t>
      </w:r>
      <w:r w:rsidRPr="00154464">
        <w:rPr>
          <w:rFonts w:cs="Arial"/>
          <w:color w:val="000000"/>
          <w:szCs w:val="20"/>
        </w:rPr>
        <w:t>/19.</w:t>
      </w:r>
    </w:p>
    <w:p w14:paraId="4E8EC1C3" w14:textId="44691E9B" w:rsidR="00D97812" w:rsidRDefault="00D97812" w:rsidP="005278F6">
      <w:pPr>
        <w:numPr>
          <w:ilvl w:val="0"/>
          <w:numId w:val="3"/>
        </w:numPr>
        <w:shd w:val="clear" w:color="auto" w:fill="FFFFFF"/>
        <w:spacing w:after="0"/>
        <w:ind w:left="357" w:hanging="357"/>
        <w:rPr>
          <w:rFonts w:eastAsia="Times New Roman" w:cs="Arial"/>
          <w:color w:val="000000"/>
          <w:szCs w:val="20"/>
          <w:lang w:eastAsia="en-GB"/>
        </w:rPr>
      </w:pPr>
      <w:r>
        <w:rPr>
          <w:rFonts w:eastAsia="Times New Roman" w:cs="Arial"/>
          <w:color w:val="000000"/>
          <w:szCs w:val="20"/>
          <w:lang w:eastAsia="en-GB"/>
        </w:rPr>
        <w:t>Epidyolex (cannabidiol). Assessment Report. Procedure No. EMEA/H</w:t>
      </w:r>
      <w:r w:rsidR="00F30B56">
        <w:rPr>
          <w:rFonts w:eastAsia="Times New Roman" w:cs="Arial"/>
          <w:color w:val="000000"/>
          <w:szCs w:val="20"/>
          <w:lang w:eastAsia="en-GB"/>
        </w:rPr>
        <w:t>/C/004675/0000 [cited 2/12</w:t>
      </w:r>
      <w:r>
        <w:rPr>
          <w:rFonts w:eastAsia="Times New Roman" w:cs="Arial"/>
          <w:color w:val="000000"/>
          <w:szCs w:val="20"/>
          <w:lang w:eastAsia="en-GB"/>
        </w:rPr>
        <w:t xml:space="preserve">/2019]. Available at: </w:t>
      </w:r>
      <w:hyperlink r:id="rId26" w:history="1">
        <w:r w:rsidRPr="00D97812">
          <w:rPr>
            <w:rStyle w:val="Hyperlink"/>
            <w:rFonts w:eastAsia="Times New Roman" w:cs="Arial"/>
            <w:szCs w:val="20"/>
            <w:lang w:eastAsia="en-GB"/>
          </w:rPr>
          <w:t>https://www.ema.europa.eu/en/documents/assessment-report/epidyolex-epar-public-assessment-report_en.pdf</w:t>
        </w:r>
      </w:hyperlink>
      <w:r>
        <w:rPr>
          <w:rFonts w:eastAsia="Times New Roman" w:cs="Arial"/>
          <w:color w:val="000000"/>
          <w:szCs w:val="20"/>
          <w:lang w:eastAsia="en-GB"/>
        </w:rPr>
        <w:t xml:space="preserve"> </w:t>
      </w:r>
    </w:p>
    <w:p w14:paraId="1C33920E" w14:textId="26997D4C" w:rsidR="00F92577" w:rsidRPr="002F1081" w:rsidRDefault="00F92577" w:rsidP="000206EE">
      <w:pPr>
        <w:numPr>
          <w:ilvl w:val="0"/>
          <w:numId w:val="3"/>
        </w:numPr>
        <w:shd w:val="clear" w:color="auto" w:fill="FFFFFF"/>
        <w:spacing w:after="0"/>
        <w:rPr>
          <w:rFonts w:eastAsia="Times New Roman" w:cs="Arial"/>
          <w:color w:val="000000"/>
          <w:szCs w:val="20"/>
          <w:lang w:eastAsia="en-GB"/>
        </w:rPr>
      </w:pPr>
      <w:r w:rsidRPr="002F1081">
        <w:rPr>
          <w:rFonts w:eastAsia="Times New Roman" w:cs="Arial"/>
          <w:color w:val="000000"/>
          <w:szCs w:val="20"/>
          <w:lang w:eastAsia="en-GB"/>
        </w:rPr>
        <w:t xml:space="preserve">Irving P, Iqbal T, Nwokolo C et al. A Randomized, Double-blind, Placebo-controlled, Parallel-group, Pilot Study of Cannabidiol-rich Botanical Extract in the Symptomatic Treatment of Ulcerative Colitis. </w:t>
      </w:r>
      <w:r w:rsidRPr="002F1081">
        <w:rPr>
          <w:rFonts w:eastAsia="Times New Roman" w:cs="Arial"/>
          <w:iCs/>
          <w:color w:val="000000"/>
          <w:szCs w:val="20"/>
          <w:lang w:eastAsia="en-GB"/>
        </w:rPr>
        <w:t>Inflamm</w:t>
      </w:r>
      <w:r w:rsidR="00217B39">
        <w:rPr>
          <w:rFonts w:eastAsia="Times New Roman" w:cs="Arial"/>
          <w:iCs/>
          <w:color w:val="000000"/>
          <w:szCs w:val="20"/>
          <w:lang w:eastAsia="en-GB"/>
        </w:rPr>
        <w:t>atory</w:t>
      </w:r>
      <w:r w:rsidRPr="002F1081">
        <w:rPr>
          <w:rFonts w:eastAsia="Times New Roman" w:cs="Arial"/>
          <w:iCs/>
          <w:color w:val="000000"/>
          <w:szCs w:val="20"/>
          <w:lang w:eastAsia="en-GB"/>
        </w:rPr>
        <w:t xml:space="preserve"> Bowel Dis</w:t>
      </w:r>
      <w:r w:rsidR="00217B39">
        <w:rPr>
          <w:rFonts w:eastAsia="Times New Roman" w:cs="Arial"/>
          <w:iCs/>
          <w:color w:val="000000"/>
          <w:szCs w:val="20"/>
          <w:lang w:eastAsia="en-GB"/>
        </w:rPr>
        <w:t>eases</w:t>
      </w:r>
      <w:r w:rsidRPr="002F1081">
        <w:rPr>
          <w:rFonts w:eastAsia="Times New Roman" w:cs="Arial"/>
          <w:i/>
          <w:iCs/>
          <w:color w:val="000000"/>
          <w:szCs w:val="20"/>
          <w:lang w:eastAsia="en-GB"/>
        </w:rPr>
        <w:t xml:space="preserve"> </w:t>
      </w:r>
      <w:r w:rsidR="00217B39">
        <w:rPr>
          <w:rFonts w:eastAsia="Times New Roman" w:cs="Arial"/>
          <w:color w:val="000000"/>
          <w:szCs w:val="20"/>
          <w:lang w:eastAsia="en-GB"/>
        </w:rPr>
        <w:t>2018;24(4):</w:t>
      </w:r>
      <w:r w:rsidRPr="002F1081">
        <w:rPr>
          <w:rFonts w:eastAsia="Times New Roman" w:cs="Arial"/>
          <w:color w:val="000000"/>
          <w:szCs w:val="20"/>
          <w:lang w:eastAsia="en-GB"/>
        </w:rPr>
        <w:t>714-724</w:t>
      </w:r>
      <w:r w:rsidR="006E16F0">
        <w:rPr>
          <w:rFonts w:eastAsia="Times New Roman" w:cs="Arial"/>
          <w:color w:val="000000"/>
          <w:szCs w:val="20"/>
          <w:lang w:eastAsia="en-GB"/>
        </w:rPr>
        <w:t>.</w:t>
      </w:r>
      <w:r w:rsidRPr="002F1081">
        <w:rPr>
          <w:rFonts w:eastAsia="Times New Roman" w:cs="Arial"/>
          <w:color w:val="000000"/>
          <w:szCs w:val="20"/>
          <w:lang w:eastAsia="en-GB"/>
        </w:rPr>
        <w:t xml:space="preserve">  </w:t>
      </w:r>
    </w:p>
    <w:p w14:paraId="6EFF5D63" w14:textId="77777777" w:rsidR="00A23A54" w:rsidRPr="002F1081" w:rsidRDefault="00A23A54" w:rsidP="00A23A54">
      <w:pPr>
        <w:numPr>
          <w:ilvl w:val="0"/>
          <w:numId w:val="3"/>
        </w:numPr>
        <w:shd w:val="clear" w:color="auto" w:fill="FFFFFF"/>
        <w:spacing w:after="0"/>
        <w:rPr>
          <w:rFonts w:eastAsia="Times New Roman" w:cs="Arial"/>
          <w:color w:val="000000"/>
          <w:szCs w:val="20"/>
          <w:lang w:eastAsia="en-GB"/>
        </w:rPr>
      </w:pPr>
      <w:r>
        <w:rPr>
          <w:rFonts w:eastAsia="Times New Roman" w:cs="Arial"/>
          <w:color w:val="000000"/>
          <w:szCs w:val="20"/>
          <w:lang w:eastAsia="en-GB"/>
        </w:rPr>
        <w:lastRenderedPageBreak/>
        <w:t>Devinsky O, Verducci C, Thiele E et al. Open-label use of highly purified CBD (Epidiolex®) in patients with CDKL</w:t>
      </w:r>
      <w:r w:rsidRPr="00870795">
        <w:rPr>
          <w:rFonts w:eastAsia="Times New Roman" w:cs="Arial"/>
          <w:color w:val="000000"/>
          <w:szCs w:val="20"/>
          <w:vertAlign w:val="subscript"/>
          <w:lang w:eastAsia="en-GB"/>
        </w:rPr>
        <w:t>5</w:t>
      </w:r>
      <w:r>
        <w:rPr>
          <w:rFonts w:eastAsia="Times New Roman" w:cs="Arial"/>
          <w:color w:val="000000"/>
          <w:szCs w:val="20"/>
          <w:vertAlign w:val="subscript"/>
          <w:lang w:eastAsia="en-GB"/>
        </w:rPr>
        <w:t xml:space="preserve"> </w:t>
      </w:r>
      <w:r>
        <w:rPr>
          <w:rFonts w:eastAsia="Times New Roman" w:cs="Arial"/>
          <w:color w:val="000000"/>
          <w:szCs w:val="20"/>
          <w:lang w:eastAsia="en-GB"/>
        </w:rPr>
        <w:t>deficiency disorder and Aicardi, Dup15q, and Doose syndromes. Epilepsy and Behaviour 2018;86:131-7.</w:t>
      </w:r>
    </w:p>
    <w:p w14:paraId="353E30DD" w14:textId="3BC73138" w:rsidR="00A23A54" w:rsidRDefault="00A23A54" w:rsidP="00A23A54">
      <w:pPr>
        <w:numPr>
          <w:ilvl w:val="0"/>
          <w:numId w:val="3"/>
        </w:numPr>
        <w:shd w:val="clear" w:color="auto" w:fill="FFFFFF"/>
        <w:spacing w:after="0"/>
        <w:rPr>
          <w:rFonts w:eastAsia="Times New Roman" w:cs="Arial"/>
          <w:color w:val="000000"/>
          <w:szCs w:val="20"/>
          <w:lang w:eastAsia="en-GB"/>
        </w:rPr>
      </w:pPr>
      <w:r>
        <w:rPr>
          <w:rFonts w:eastAsia="Times New Roman" w:cs="Arial"/>
          <w:color w:val="000000"/>
          <w:szCs w:val="20"/>
          <w:lang w:eastAsia="en-GB"/>
        </w:rPr>
        <w:t>Devinsky O, Marsh E, Freidman D et al. Cannabidiol in patients with treatment-</w:t>
      </w:r>
      <w:r w:rsidR="00D54964">
        <w:rPr>
          <w:rFonts w:eastAsia="Times New Roman" w:cs="Arial"/>
          <w:color w:val="000000"/>
          <w:szCs w:val="20"/>
          <w:lang w:eastAsia="en-GB"/>
        </w:rPr>
        <w:t>resistant</w:t>
      </w:r>
      <w:r>
        <w:rPr>
          <w:rFonts w:eastAsia="Times New Roman" w:cs="Arial"/>
          <w:color w:val="000000"/>
          <w:szCs w:val="20"/>
          <w:lang w:eastAsia="en-GB"/>
        </w:rPr>
        <w:t xml:space="preserve"> epilepsy: an open-label interventional trial. The Lancet Neurology 2016;15(3):270-8.</w:t>
      </w:r>
    </w:p>
    <w:p w14:paraId="30B244E6" w14:textId="042F15BC" w:rsidR="00667CC6" w:rsidRPr="00667CC6" w:rsidRDefault="00667CC6" w:rsidP="00667CC6">
      <w:pPr>
        <w:numPr>
          <w:ilvl w:val="0"/>
          <w:numId w:val="3"/>
        </w:numPr>
        <w:shd w:val="clear" w:color="auto" w:fill="FFFFFF"/>
        <w:spacing w:after="0"/>
        <w:rPr>
          <w:rStyle w:val="Hyperlink"/>
          <w:rFonts w:cs="Arial"/>
          <w:color w:val="auto"/>
          <w:szCs w:val="20"/>
          <w:u w:val="none"/>
        </w:rPr>
      </w:pPr>
      <w:r w:rsidRPr="00667CC6">
        <w:rPr>
          <w:rStyle w:val="Hyperlink"/>
          <w:rFonts w:eastAsia="Times New Roman" w:cs="Arial"/>
          <w:color w:val="auto"/>
          <w:szCs w:val="20"/>
          <w:u w:val="none"/>
          <w:lang w:eastAsia="en-GB"/>
        </w:rPr>
        <w:t xml:space="preserve">Lawson JA and Scheffer IE. </w:t>
      </w:r>
      <w:r w:rsidRPr="00BB489F">
        <w:rPr>
          <w:rFonts w:cs="Arial"/>
          <w:szCs w:val="20"/>
        </w:rPr>
        <w:t>Therapeutic use of medicinal cannabis in</w:t>
      </w:r>
      <w:r>
        <w:rPr>
          <w:rFonts w:cs="Arial"/>
          <w:szCs w:val="20"/>
        </w:rPr>
        <w:t xml:space="preserve"> </w:t>
      </w:r>
      <w:r w:rsidRPr="00BB489F">
        <w:rPr>
          <w:rFonts w:cs="Arial"/>
          <w:szCs w:val="20"/>
        </w:rPr>
        <w:t>difficult to manage epilepsy</w:t>
      </w:r>
      <w:r w:rsidRPr="00667CC6">
        <w:rPr>
          <w:rFonts w:cs="Arial"/>
          <w:szCs w:val="20"/>
        </w:rPr>
        <w:t xml:space="preserve">. </w:t>
      </w:r>
      <w:r w:rsidRPr="00BB489F">
        <w:t>Br</w:t>
      </w:r>
      <w:r w:rsidRPr="00BB489F">
        <w:rPr>
          <w:rStyle w:val="Hyperlink"/>
          <w:rFonts w:eastAsia="Times New Roman" w:cs="Arial"/>
          <w:color w:val="auto"/>
          <w:szCs w:val="20"/>
          <w:u w:val="none"/>
          <w:lang w:eastAsia="en-GB"/>
        </w:rPr>
        <w:t xml:space="preserve"> J Clin Pharmacol (2018) 84 2488–2490</w:t>
      </w:r>
      <w:r>
        <w:rPr>
          <w:rStyle w:val="Hyperlink"/>
          <w:rFonts w:eastAsia="Times New Roman" w:cs="Arial"/>
          <w:color w:val="auto"/>
          <w:szCs w:val="20"/>
          <w:u w:val="none"/>
          <w:lang w:eastAsia="en-GB"/>
        </w:rPr>
        <w:t>.</w:t>
      </w:r>
    </w:p>
    <w:p w14:paraId="3CFBF589" w14:textId="67A719C5" w:rsidR="00F92577" w:rsidRPr="002F1081" w:rsidRDefault="00E73FE6" w:rsidP="00651542">
      <w:pPr>
        <w:numPr>
          <w:ilvl w:val="0"/>
          <w:numId w:val="3"/>
        </w:numPr>
        <w:shd w:val="clear" w:color="auto" w:fill="FFFFFF"/>
        <w:spacing w:after="0"/>
        <w:rPr>
          <w:rFonts w:eastAsia="Times New Roman" w:cs="Arial"/>
          <w:szCs w:val="20"/>
          <w:lang w:eastAsia="en-GB"/>
        </w:rPr>
      </w:pPr>
      <w:hyperlink r:id="rId27" w:history="1">
        <w:r w:rsidR="00F92577" w:rsidRPr="002F1081">
          <w:rPr>
            <w:rStyle w:val="Hyperlink"/>
            <w:rFonts w:cs="Arial"/>
            <w:color w:val="auto"/>
            <w:szCs w:val="20"/>
            <w:u w:val="none"/>
          </w:rPr>
          <w:t>Consroe P</w:t>
        </w:r>
      </w:hyperlink>
      <w:r w:rsidR="00F92577" w:rsidRPr="002F1081">
        <w:rPr>
          <w:rFonts w:cs="Arial"/>
          <w:szCs w:val="20"/>
        </w:rPr>
        <w:t xml:space="preserve">, </w:t>
      </w:r>
      <w:hyperlink r:id="rId28" w:history="1">
        <w:r w:rsidR="00F92577" w:rsidRPr="002F1081">
          <w:rPr>
            <w:rStyle w:val="Hyperlink"/>
            <w:rFonts w:cs="Arial"/>
            <w:color w:val="auto"/>
            <w:szCs w:val="20"/>
            <w:u w:val="none"/>
          </w:rPr>
          <w:t>Sandyk R</w:t>
        </w:r>
      </w:hyperlink>
      <w:r w:rsidR="00F92577" w:rsidRPr="002F1081">
        <w:rPr>
          <w:rFonts w:cs="Arial"/>
          <w:szCs w:val="20"/>
        </w:rPr>
        <w:t xml:space="preserve">, Snider R. Open label evaluation of cannabidiol in dystonic movement disorders. </w:t>
      </w:r>
      <w:hyperlink r:id="rId29" w:tooltip="The International journal of neuroscience." w:history="1">
        <w:r w:rsidR="00F92577" w:rsidRPr="002F1081">
          <w:rPr>
            <w:rFonts w:cs="Arial"/>
            <w:szCs w:val="20"/>
            <w:lang w:val="en"/>
          </w:rPr>
          <w:t>Int</w:t>
        </w:r>
        <w:r w:rsidR="00217B39">
          <w:rPr>
            <w:rFonts w:cs="Arial"/>
            <w:szCs w:val="20"/>
            <w:lang w:val="en"/>
          </w:rPr>
          <w:t>ernational</w:t>
        </w:r>
        <w:r w:rsidR="00F92577" w:rsidRPr="002F1081">
          <w:rPr>
            <w:rFonts w:cs="Arial"/>
            <w:szCs w:val="20"/>
            <w:lang w:val="en"/>
          </w:rPr>
          <w:t xml:space="preserve"> J</w:t>
        </w:r>
        <w:r w:rsidR="00217B39">
          <w:rPr>
            <w:rFonts w:cs="Arial"/>
            <w:szCs w:val="20"/>
            <w:lang w:val="en"/>
          </w:rPr>
          <w:t>ournal of</w:t>
        </w:r>
        <w:r w:rsidR="00F92577" w:rsidRPr="002F1081">
          <w:rPr>
            <w:rFonts w:cs="Arial"/>
            <w:szCs w:val="20"/>
            <w:lang w:val="en"/>
          </w:rPr>
          <w:t xml:space="preserve"> Neurosci</w:t>
        </w:r>
      </w:hyperlink>
      <w:r w:rsidR="00217B39">
        <w:rPr>
          <w:rFonts w:cs="Arial"/>
          <w:szCs w:val="20"/>
          <w:lang w:val="en"/>
        </w:rPr>
        <w:t>ence 1986;30(4):</w:t>
      </w:r>
      <w:r w:rsidR="00F92577" w:rsidRPr="002F1081">
        <w:rPr>
          <w:rFonts w:cs="Arial"/>
          <w:szCs w:val="20"/>
          <w:lang w:val="en"/>
        </w:rPr>
        <w:t>277-82</w:t>
      </w:r>
      <w:r w:rsidR="006E16F0">
        <w:rPr>
          <w:rFonts w:cs="Arial"/>
          <w:szCs w:val="20"/>
          <w:lang w:val="en"/>
        </w:rPr>
        <w:t>.</w:t>
      </w:r>
      <w:r w:rsidR="00F92577" w:rsidRPr="002F1081">
        <w:rPr>
          <w:rFonts w:cs="Arial"/>
          <w:szCs w:val="20"/>
          <w:lang w:val="en"/>
        </w:rPr>
        <w:t xml:space="preserve"> </w:t>
      </w:r>
    </w:p>
    <w:p w14:paraId="62FDB034" w14:textId="77777777" w:rsidR="00651542" w:rsidRPr="00BB489F" w:rsidRDefault="00F92577" w:rsidP="00F92577">
      <w:pPr>
        <w:numPr>
          <w:ilvl w:val="0"/>
          <w:numId w:val="3"/>
        </w:numPr>
        <w:shd w:val="clear" w:color="auto" w:fill="FFFFFF"/>
        <w:spacing w:after="0"/>
        <w:rPr>
          <w:rFonts w:cs="Arial"/>
          <w:color w:val="000000"/>
          <w:szCs w:val="20"/>
        </w:rPr>
      </w:pPr>
      <w:r w:rsidRPr="002F1081">
        <w:rPr>
          <w:rFonts w:cs="Arial"/>
          <w:szCs w:val="20"/>
          <w:lang w:val="en"/>
        </w:rPr>
        <w:t xml:space="preserve">Kaplan </w:t>
      </w:r>
      <w:r w:rsidR="00217B39">
        <w:rPr>
          <w:rFonts w:cs="Arial"/>
          <w:szCs w:val="20"/>
          <w:lang w:val="en"/>
        </w:rPr>
        <w:t>H, Offerman E, Seivers J</w:t>
      </w:r>
      <w:r w:rsidRPr="002F1081">
        <w:rPr>
          <w:rFonts w:cs="Arial"/>
          <w:szCs w:val="20"/>
          <w:lang w:val="en"/>
        </w:rPr>
        <w:t xml:space="preserve"> et al. </w:t>
      </w:r>
      <w:r w:rsidRPr="002F1081">
        <w:rPr>
          <w:rStyle w:val="title-text"/>
          <w:rFonts w:cs="Arial"/>
          <w:szCs w:val="20"/>
          <w:lang w:val="en"/>
        </w:rPr>
        <w:t>Cannabidiol Treatment for Refractory Seizures in Sturge-Weber Syndrome.</w:t>
      </w:r>
      <w:r w:rsidR="00217B39">
        <w:rPr>
          <w:rFonts w:cs="Arial"/>
          <w:szCs w:val="20"/>
          <w:lang w:val="en"/>
        </w:rPr>
        <w:t xml:space="preserve"> Pediatric Neurology 2017;71:</w:t>
      </w:r>
      <w:r w:rsidRPr="002F1081">
        <w:rPr>
          <w:rFonts w:cs="Arial"/>
          <w:szCs w:val="20"/>
          <w:lang w:val="en"/>
        </w:rPr>
        <w:t>18-23</w:t>
      </w:r>
      <w:r w:rsidR="00651542">
        <w:rPr>
          <w:rFonts w:cs="Arial"/>
          <w:szCs w:val="20"/>
          <w:lang w:val="en"/>
        </w:rPr>
        <w:t>.</w:t>
      </w:r>
    </w:p>
    <w:p w14:paraId="0011123D" w14:textId="77777777" w:rsidR="00651542" w:rsidRPr="00BB489F" w:rsidRDefault="00651542" w:rsidP="00F92577">
      <w:pPr>
        <w:numPr>
          <w:ilvl w:val="0"/>
          <w:numId w:val="3"/>
        </w:numPr>
        <w:shd w:val="clear" w:color="auto" w:fill="FFFFFF"/>
        <w:spacing w:after="0"/>
        <w:rPr>
          <w:rFonts w:cs="Arial"/>
          <w:color w:val="000000"/>
          <w:szCs w:val="20"/>
        </w:rPr>
      </w:pPr>
      <w:r>
        <w:rPr>
          <w:rFonts w:cs="Arial"/>
          <w:szCs w:val="20"/>
          <w:lang w:val="en"/>
        </w:rPr>
        <w:t>Pettit C, Massick S and Bechtel M. Cannabidiol-induced acute generalized exanthematous pustulosis. Dermatitis 2018;29(6):345-6.</w:t>
      </w:r>
    </w:p>
    <w:p w14:paraId="3B761EB1" w14:textId="77777777" w:rsidR="00D14D08" w:rsidRPr="000C6AAB" w:rsidRDefault="00D14D08" w:rsidP="0044109B">
      <w:pPr>
        <w:pStyle w:val="ListParagraph"/>
        <w:numPr>
          <w:ilvl w:val="0"/>
          <w:numId w:val="3"/>
        </w:numPr>
        <w:spacing w:after="0"/>
        <w:ind w:left="357" w:hanging="357"/>
        <w:rPr>
          <w:rFonts w:cs="Arial"/>
          <w:color w:val="000000"/>
          <w:szCs w:val="20"/>
        </w:rPr>
      </w:pPr>
      <w:r w:rsidRPr="000C6AAB">
        <w:rPr>
          <w:rFonts w:cs="Arial"/>
          <w:color w:val="000000"/>
          <w:szCs w:val="20"/>
        </w:rPr>
        <w:t>The National Pharmacy Association. Cannabis</w:t>
      </w:r>
      <w:r>
        <w:rPr>
          <w:rFonts w:cs="Arial"/>
          <w:color w:val="000000"/>
          <w:szCs w:val="20"/>
        </w:rPr>
        <w:t xml:space="preserve">-based products for medicinal use (CBPM) and cannabidiol (CBD) products (December 2019) </w:t>
      </w:r>
      <w:r w:rsidRPr="000C6AAB">
        <w:rPr>
          <w:rFonts w:cs="Arial"/>
          <w:color w:val="000000"/>
          <w:szCs w:val="20"/>
        </w:rPr>
        <w:t xml:space="preserve">[cited </w:t>
      </w:r>
      <w:r>
        <w:rPr>
          <w:rFonts w:cs="Arial"/>
          <w:color w:val="000000"/>
          <w:szCs w:val="20"/>
        </w:rPr>
        <w:t>20</w:t>
      </w:r>
      <w:r w:rsidRPr="000C6AAB">
        <w:rPr>
          <w:rFonts w:cs="Arial"/>
          <w:color w:val="000000"/>
          <w:szCs w:val="20"/>
        </w:rPr>
        <w:t xml:space="preserve"> Dec 2019]. Available from:</w:t>
      </w:r>
      <w:r w:rsidRPr="000C6AAB">
        <w:t xml:space="preserve"> </w:t>
      </w:r>
      <w:hyperlink r:id="rId30" w:history="1">
        <w:r>
          <w:rPr>
            <w:rStyle w:val="Hyperlink"/>
          </w:rPr>
          <w:t>https://www.npa.co.uk/information-and-guidance/cannabis-based-products-for-medicinal-use-cbpm-and-cannabidiol-cbd-products/</w:t>
        </w:r>
      </w:hyperlink>
      <w:r>
        <w:t xml:space="preserve"> (password protected, accessible for NPA members)</w:t>
      </w:r>
    </w:p>
    <w:p w14:paraId="21D75F05" w14:textId="37448D4B" w:rsidR="000765A5" w:rsidRDefault="00651542" w:rsidP="00BB489F">
      <w:pPr>
        <w:numPr>
          <w:ilvl w:val="0"/>
          <w:numId w:val="3"/>
        </w:numPr>
        <w:shd w:val="clear" w:color="auto" w:fill="FFFFFF"/>
        <w:spacing w:after="0"/>
        <w:rPr>
          <w:rFonts w:cs="Arial"/>
          <w:color w:val="000000"/>
          <w:szCs w:val="20"/>
        </w:rPr>
      </w:pPr>
      <w:r>
        <w:rPr>
          <w:rFonts w:cs="Arial"/>
          <w:szCs w:val="20"/>
          <w:lang w:val="en"/>
        </w:rPr>
        <w:t xml:space="preserve">World Health Organization (WHO) Briefing Note. Safety of medicines – adverse drug reactions </w:t>
      </w:r>
      <w:r w:rsidR="000765A5">
        <w:rPr>
          <w:rFonts w:cs="Arial"/>
          <w:szCs w:val="20"/>
          <w:lang w:val="en"/>
        </w:rPr>
        <w:t xml:space="preserve">June </w:t>
      </w:r>
      <w:r>
        <w:rPr>
          <w:rFonts w:cs="Arial"/>
          <w:szCs w:val="20"/>
          <w:lang w:val="en"/>
        </w:rPr>
        <w:t>2018</w:t>
      </w:r>
      <w:r w:rsidR="00D8193B">
        <w:rPr>
          <w:rFonts w:cs="Arial"/>
          <w:szCs w:val="20"/>
          <w:lang w:val="en"/>
        </w:rPr>
        <w:t xml:space="preserve"> [cited 0</w:t>
      </w:r>
      <w:r w:rsidR="00391A00">
        <w:rPr>
          <w:rFonts w:cs="Arial"/>
          <w:szCs w:val="20"/>
          <w:lang w:val="en"/>
        </w:rPr>
        <w:t>2</w:t>
      </w:r>
      <w:r w:rsidR="00D8193B">
        <w:rPr>
          <w:rFonts w:cs="Arial"/>
          <w:szCs w:val="20"/>
          <w:lang w:val="en"/>
        </w:rPr>
        <w:t xml:space="preserve"> </w:t>
      </w:r>
      <w:r w:rsidR="00391A00">
        <w:rPr>
          <w:rFonts w:cs="Arial"/>
          <w:szCs w:val="20"/>
          <w:lang w:val="en"/>
        </w:rPr>
        <w:t>Dec</w:t>
      </w:r>
      <w:r w:rsidR="00D8193B">
        <w:rPr>
          <w:rFonts w:cs="Arial"/>
          <w:szCs w:val="20"/>
          <w:lang w:val="en"/>
        </w:rPr>
        <w:t xml:space="preserve"> 2019].</w:t>
      </w:r>
      <w:r>
        <w:rPr>
          <w:rFonts w:cs="Arial"/>
          <w:szCs w:val="20"/>
          <w:lang w:val="en"/>
        </w:rPr>
        <w:t xml:space="preserve"> </w:t>
      </w:r>
      <w:r w:rsidR="000765A5">
        <w:rPr>
          <w:rFonts w:cs="Arial"/>
          <w:szCs w:val="20"/>
          <w:lang w:val="en"/>
        </w:rPr>
        <w:t xml:space="preserve">Available from: </w:t>
      </w:r>
      <w:hyperlink r:id="rId31" w:history="1">
        <w:r w:rsidR="000765A5" w:rsidRPr="000765A5">
          <w:rPr>
            <w:rStyle w:val="Hyperlink"/>
            <w:rFonts w:cs="Arial"/>
            <w:szCs w:val="20"/>
            <w:lang w:val="en"/>
          </w:rPr>
          <w:t>https://www.who.int/medicines/regulation/medicines-safety/M_SBN_Jun18.pdf?ua=1</w:t>
        </w:r>
      </w:hyperlink>
      <w:r w:rsidR="00D8193B">
        <w:rPr>
          <w:rFonts w:cs="Arial"/>
          <w:szCs w:val="20"/>
          <w:lang w:val="en"/>
        </w:rPr>
        <w:t xml:space="preserve"> </w:t>
      </w:r>
    </w:p>
    <w:p w14:paraId="39A5ABB5" w14:textId="1D4CEC2F" w:rsidR="00C22719" w:rsidRDefault="00C22719" w:rsidP="00BB489F">
      <w:pPr>
        <w:numPr>
          <w:ilvl w:val="0"/>
          <w:numId w:val="3"/>
        </w:numPr>
        <w:shd w:val="clear" w:color="auto" w:fill="FFFFFF"/>
        <w:spacing w:after="0"/>
        <w:rPr>
          <w:rFonts w:cs="Arial"/>
          <w:color w:val="000000"/>
          <w:szCs w:val="20"/>
        </w:rPr>
      </w:pPr>
      <w:r w:rsidRPr="000765A5">
        <w:rPr>
          <w:rFonts w:cs="Arial"/>
          <w:color w:val="000000"/>
          <w:szCs w:val="20"/>
        </w:rPr>
        <w:t xml:space="preserve">Geffrey A, Pollack S, Bruno P et al. Drug–drug interaction between clobazam and cannabidiol in children with refractory epilepsy. </w:t>
      </w:r>
      <w:r w:rsidRPr="000765A5">
        <w:rPr>
          <w:rFonts w:cs="Arial"/>
          <w:iCs/>
          <w:color w:val="000000"/>
          <w:szCs w:val="20"/>
        </w:rPr>
        <w:t>Epilepsia</w:t>
      </w:r>
      <w:r w:rsidRPr="000765A5">
        <w:rPr>
          <w:rFonts w:cs="Arial"/>
          <w:i/>
          <w:iCs/>
          <w:color w:val="000000"/>
          <w:szCs w:val="20"/>
        </w:rPr>
        <w:t xml:space="preserve"> </w:t>
      </w:r>
      <w:r w:rsidRPr="000765A5">
        <w:rPr>
          <w:rFonts w:cs="Arial"/>
          <w:color w:val="000000"/>
          <w:szCs w:val="20"/>
        </w:rPr>
        <w:t xml:space="preserve">2015;56(8):1246-1251. </w:t>
      </w:r>
    </w:p>
    <w:p w14:paraId="7DCAAC09" w14:textId="77777777" w:rsidR="00FF1580" w:rsidRDefault="00FF1580" w:rsidP="00427F92">
      <w:pPr>
        <w:pStyle w:val="Heading2"/>
        <w:rPr>
          <w:rFonts w:cs="Arial"/>
          <w:szCs w:val="24"/>
        </w:rPr>
      </w:pPr>
    </w:p>
    <w:p w14:paraId="1ADBF364" w14:textId="77777777" w:rsidR="00147BB1" w:rsidRPr="00147BB1" w:rsidRDefault="00147BB1" w:rsidP="00147BB1">
      <w:pPr>
        <w:rPr>
          <w:lang w:val="en-US"/>
        </w:rPr>
      </w:pPr>
    </w:p>
    <w:p w14:paraId="343A667D" w14:textId="77777777" w:rsidR="00427F92" w:rsidRPr="00365889" w:rsidRDefault="00427F92" w:rsidP="00427F92">
      <w:pPr>
        <w:pStyle w:val="Heading2"/>
        <w:rPr>
          <w:rFonts w:cs="Arial"/>
          <w:szCs w:val="24"/>
        </w:rPr>
      </w:pPr>
      <w:r w:rsidRPr="00365889">
        <w:rPr>
          <w:rFonts w:cs="Arial"/>
          <w:szCs w:val="24"/>
        </w:rPr>
        <w:t xml:space="preserve">Quality Assurance </w:t>
      </w:r>
    </w:p>
    <w:p w14:paraId="3F7AA439" w14:textId="77777777" w:rsidR="00427F92" w:rsidRPr="000162EC" w:rsidRDefault="00427F92" w:rsidP="00427F92">
      <w:pPr>
        <w:pStyle w:val="Heading3"/>
        <w:rPr>
          <w:rFonts w:cs="Arial"/>
          <w:lang w:val="en-US"/>
        </w:rPr>
      </w:pPr>
      <w:r w:rsidRPr="000162EC">
        <w:rPr>
          <w:rFonts w:cs="Arial"/>
          <w:lang w:val="en-US"/>
        </w:rPr>
        <w:t>Prepared by</w:t>
      </w:r>
    </w:p>
    <w:p w14:paraId="5EFAFE3D" w14:textId="7C938BB2" w:rsidR="00427F92" w:rsidRPr="000162EC" w:rsidRDefault="00441EA4" w:rsidP="00427F92">
      <w:pPr>
        <w:rPr>
          <w:rFonts w:cs="Arial"/>
          <w:szCs w:val="20"/>
          <w:lang w:val="en-US"/>
        </w:rPr>
      </w:pPr>
      <w:r>
        <w:rPr>
          <w:rFonts w:cs="Arial"/>
          <w:szCs w:val="20"/>
          <w:lang w:val="en-US"/>
        </w:rPr>
        <w:t xml:space="preserve">Alex Bailey, based on previous work by </w:t>
      </w:r>
      <w:r w:rsidR="00CB776C" w:rsidRPr="000162EC">
        <w:rPr>
          <w:rFonts w:cs="Arial"/>
          <w:szCs w:val="20"/>
          <w:lang w:val="en-US"/>
        </w:rPr>
        <w:t xml:space="preserve">Sana Junaid, Information Pharmacist, </w:t>
      </w:r>
      <w:r w:rsidR="00925A36">
        <w:rPr>
          <w:rFonts w:eastAsia="Times New Roman" w:cs="Arial"/>
          <w:szCs w:val="20"/>
          <w:lang w:val="en-US"/>
        </w:rPr>
        <w:t>Welsh Medicines Information Centre</w:t>
      </w:r>
      <w:r w:rsidR="00925A36">
        <w:rPr>
          <w:rFonts w:cs="Arial"/>
          <w:szCs w:val="20"/>
          <w:lang w:val="en-US"/>
        </w:rPr>
        <w:t xml:space="preserve">, </w:t>
      </w:r>
      <w:r w:rsidR="00CB776C" w:rsidRPr="000162EC">
        <w:rPr>
          <w:rFonts w:cs="Arial"/>
          <w:szCs w:val="20"/>
          <w:lang w:val="en-US"/>
        </w:rPr>
        <w:t>University Hospital of Wales, Cardiff</w:t>
      </w:r>
    </w:p>
    <w:p w14:paraId="5DF85AB3" w14:textId="77777777" w:rsidR="00427F92" w:rsidRPr="000162EC" w:rsidRDefault="00427F92" w:rsidP="00427F92">
      <w:pPr>
        <w:pStyle w:val="Heading3"/>
        <w:rPr>
          <w:rFonts w:cs="Arial"/>
          <w:lang w:val="en-US"/>
        </w:rPr>
      </w:pPr>
      <w:r w:rsidRPr="000162EC">
        <w:rPr>
          <w:rFonts w:cs="Arial"/>
          <w:lang w:val="en-US"/>
        </w:rPr>
        <w:t>Date Prepared</w:t>
      </w:r>
    </w:p>
    <w:p w14:paraId="5D1FFA81" w14:textId="755024B1" w:rsidR="00BB489F" w:rsidRDefault="00F7624C" w:rsidP="00427F92">
      <w:pPr>
        <w:spacing w:after="0" w:line="240" w:lineRule="auto"/>
        <w:rPr>
          <w:rFonts w:cs="Arial"/>
          <w:szCs w:val="20"/>
          <w:lang w:val="en-US"/>
        </w:rPr>
      </w:pPr>
      <w:r>
        <w:rPr>
          <w:rFonts w:cs="Arial"/>
          <w:szCs w:val="20"/>
          <w:lang w:val="en-US"/>
        </w:rPr>
        <w:t>24</w:t>
      </w:r>
      <w:r w:rsidR="00A469BC" w:rsidRPr="0044109B">
        <w:rPr>
          <w:rFonts w:cs="Arial"/>
          <w:szCs w:val="20"/>
          <w:vertAlign w:val="superscript"/>
          <w:lang w:val="en-US"/>
        </w:rPr>
        <w:t>th</w:t>
      </w:r>
      <w:r w:rsidR="00A469BC">
        <w:rPr>
          <w:rFonts w:cs="Arial"/>
          <w:szCs w:val="20"/>
          <w:lang w:val="en-US"/>
        </w:rPr>
        <w:t xml:space="preserve"> February 2020</w:t>
      </w:r>
    </w:p>
    <w:p w14:paraId="4833D270" w14:textId="77777777" w:rsidR="00BE3708" w:rsidRDefault="00BE3708" w:rsidP="00427F92">
      <w:pPr>
        <w:spacing w:after="0" w:line="240" w:lineRule="auto"/>
        <w:rPr>
          <w:rStyle w:val="Heading3Char"/>
          <w:rFonts w:eastAsia="Calibri" w:cs="Arial"/>
        </w:rPr>
      </w:pPr>
    </w:p>
    <w:p w14:paraId="294D45BF" w14:textId="4AF61211" w:rsidR="00427F92" w:rsidRPr="000162EC" w:rsidRDefault="00427F92" w:rsidP="00427F92">
      <w:pPr>
        <w:spacing w:after="0" w:line="240" w:lineRule="auto"/>
        <w:rPr>
          <w:rFonts w:eastAsia="Times New Roman" w:cs="Arial"/>
          <w:szCs w:val="20"/>
          <w:lang w:val="en-US"/>
        </w:rPr>
      </w:pPr>
      <w:r w:rsidRPr="000162EC">
        <w:rPr>
          <w:rStyle w:val="Heading3Char"/>
          <w:rFonts w:eastAsia="Calibri" w:cs="Arial"/>
        </w:rPr>
        <w:t>Checked by</w:t>
      </w:r>
      <w:r w:rsidRPr="000162EC">
        <w:rPr>
          <w:rFonts w:eastAsia="Times New Roman" w:cs="Arial"/>
          <w:b/>
          <w:color w:val="0000FF"/>
          <w:szCs w:val="20"/>
          <w:lang w:val="en-US"/>
        </w:rPr>
        <w:br/>
      </w:r>
      <w:r w:rsidR="00925A36">
        <w:rPr>
          <w:rFonts w:eastAsia="Times New Roman" w:cs="Arial"/>
          <w:szCs w:val="20"/>
          <w:lang w:val="en-US"/>
        </w:rPr>
        <w:t xml:space="preserve">Gail Woodland, Senior Information Pharmacist, Welsh Medicines Information Centre, </w:t>
      </w:r>
      <w:r w:rsidR="00925A36" w:rsidRPr="000162EC">
        <w:rPr>
          <w:rFonts w:cs="Arial"/>
          <w:szCs w:val="20"/>
          <w:lang w:val="en-US"/>
        </w:rPr>
        <w:t>University Hospital of Wales, Cardiff</w:t>
      </w:r>
    </w:p>
    <w:p w14:paraId="14797D0B" w14:textId="77777777" w:rsidR="00427F92" w:rsidRPr="000162EC" w:rsidRDefault="00427F92" w:rsidP="00427F92">
      <w:pPr>
        <w:pStyle w:val="Heading3"/>
        <w:rPr>
          <w:rFonts w:cs="Arial"/>
          <w:lang w:val="en-US"/>
        </w:rPr>
      </w:pPr>
      <w:r w:rsidRPr="000162EC">
        <w:rPr>
          <w:rFonts w:cs="Arial"/>
          <w:lang w:val="en-US"/>
        </w:rPr>
        <w:t>Date of check</w:t>
      </w:r>
    </w:p>
    <w:p w14:paraId="6C57E810" w14:textId="6619B345" w:rsidR="00BB489F" w:rsidRDefault="0044109B" w:rsidP="00BB489F">
      <w:pPr>
        <w:spacing w:after="0" w:line="240" w:lineRule="auto"/>
        <w:rPr>
          <w:rFonts w:cs="Arial"/>
          <w:szCs w:val="20"/>
          <w:lang w:val="en-US"/>
        </w:rPr>
      </w:pPr>
      <w:r w:rsidRPr="00FF1580">
        <w:rPr>
          <w:rFonts w:cs="Arial"/>
          <w:szCs w:val="20"/>
          <w:lang w:val="en-US"/>
        </w:rPr>
        <w:t>2</w:t>
      </w:r>
      <w:r w:rsidR="003B5F3D" w:rsidRPr="003B5F3D">
        <w:rPr>
          <w:rFonts w:cs="Arial"/>
          <w:szCs w:val="20"/>
          <w:lang w:val="en-US"/>
        </w:rPr>
        <w:t>7</w:t>
      </w:r>
      <w:r w:rsidR="003B5F3D" w:rsidRPr="00FF1580">
        <w:rPr>
          <w:rFonts w:cs="Arial"/>
          <w:szCs w:val="20"/>
          <w:vertAlign w:val="superscript"/>
          <w:lang w:val="en-US"/>
        </w:rPr>
        <w:t>th</w:t>
      </w:r>
      <w:r w:rsidR="00D54964">
        <w:rPr>
          <w:rFonts w:cs="Arial"/>
          <w:szCs w:val="20"/>
          <w:lang w:val="en-US"/>
        </w:rPr>
        <w:t xml:space="preserve"> </w:t>
      </w:r>
      <w:r>
        <w:rPr>
          <w:rFonts w:cs="Arial"/>
          <w:szCs w:val="20"/>
          <w:lang w:val="en-US"/>
        </w:rPr>
        <w:t>February</w:t>
      </w:r>
      <w:r w:rsidR="00D54964">
        <w:rPr>
          <w:rFonts w:cs="Arial"/>
          <w:szCs w:val="20"/>
          <w:lang w:val="en-US"/>
        </w:rPr>
        <w:t xml:space="preserve"> 2020</w:t>
      </w:r>
    </w:p>
    <w:p w14:paraId="172C19A9" w14:textId="410891DF" w:rsidR="00427F92" w:rsidRPr="000162EC" w:rsidRDefault="00427F92" w:rsidP="00427F92">
      <w:pPr>
        <w:pStyle w:val="Heading3"/>
        <w:rPr>
          <w:rFonts w:cs="Arial"/>
          <w:lang w:val="en-US"/>
        </w:rPr>
      </w:pPr>
      <w:r w:rsidRPr="000162EC">
        <w:rPr>
          <w:rFonts w:cs="Arial"/>
          <w:lang w:val="en-US"/>
        </w:rPr>
        <w:t>Search strategy</w:t>
      </w:r>
    </w:p>
    <w:p w14:paraId="11E11B0D" w14:textId="77777777" w:rsidR="00427F92" w:rsidRPr="000162EC" w:rsidRDefault="00427F92" w:rsidP="00427F92">
      <w:pPr>
        <w:rPr>
          <w:rFonts w:cs="Arial"/>
          <w:szCs w:val="20"/>
          <w:lang w:val="en-US"/>
        </w:rPr>
      </w:pPr>
      <w:r w:rsidRPr="000162EC">
        <w:rPr>
          <w:rFonts w:cs="Arial"/>
          <w:szCs w:val="20"/>
          <w:lang w:val="en-US"/>
        </w:rPr>
        <w:t>Please specify which of these are used if appropriate, (whether or not all of them yielded useful information) and add others if necessary:</w:t>
      </w:r>
    </w:p>
    <w:p w14:paraId="03D76D1C" w14:textId="77777777" w:rsidR="00162BA5" w:rsidRPr="000162EC" w:rsidRDefault="00427F92" w:rsidP="00227942">
      <w:pPr>
        <w:pStyle w:val="ListParagraph"/>
        <w:numPr>
          <w:ilvl w:val="0"/>
          <w:numId w:val="20"/>
        </w:numPr>
        <w:spacing w:after="0" w:line="240" w:lineRule="auto"/>
        <w:rPr>
          <w:rFonts w:eastAsia="Arial Unicode MS" w:cs="Arial"/>
        </w:rPr>
      </w:pPr>
      <w:r w:rsidRPr="000162EC">
        <w:rPr>
          <w:rFonts w:cs="Arial"/>
          <w:szCs w:val="20"/>
          <w:lang w:val="en-US"/>
        </w:rPr>
        <w:t>Embase</w:t>
      </w:r>
      <w:r w:rsidR="001E27C7" w:rsidRPr="000162EC">
        <w:rPr>
          <w:rFonts w:cs="Arial"/>
          <w:szCs w:val="20"/>
          <w:lang w:val="en-US"/>
        </w:rPr>
        <w:t xml:space="preserve"> (</w:t>
      </w:r>
      <w:r w:rsidR="0012180A" w:rsidRPr="000162EC">
        <w:rPr>
          <w:rFonts w:eastAsia="Arial Unicode MS" w:cs="Arial"/>
        </w:rPr>
        <w:t>cannabidiol/ae, it [limit human and English language</w:t>
      </w:r>
      <w:r w:rsidR="00162BA5" w:rsidRPr="000162EC">
        <w:rPr>
          <w:rFonts w:eastAsia="Arial Unicode MS" w:cs="Arial"/>
        </w:rPr>
        <w:t>]</w:t>
      </w:r>
      <w:r w:rsidR="001E27C7" w:rsidRPr="000162EC">
        <w:rPr>
          <w:rFonts w:eastAsia="Arial Unicode MS" w:cs="Arial"/>
        </w:rPr>
        <w:t>)</w:t>
      </w:r>
    </w:p>
    <w:p w14:paraId="7A81852A" w14:textId="77777777" w:rsidR="00427F92" w:rsidRPr="000162EC" w:rsidRDefault="00427F92" w:rsidP="00227942">
      <w:pPr>
        <w:pStyle w:val="ListParagraph"/>
        <w:numPr>
          <w:ilvl w:val="0"/>
          <w:numId w:val="20"/>
        </w:numPr>
        <w:spacing w:after="0" w:line="240" w:lineRule="auto"/>
        <w:rPr>
          <w:rFonts w:cs="Arial"/>
          <w:szCs w:val="20"/>
          <w:lang w:val="en-US"/>
        </w:rPr>
      </w:pPr>
      <w:r w:rsidRPr="000162EC">
        <w:rPr>
          <w:rFonts w:cs="Arial"/>
          <w:szCs w:val="20"/>
          <w:lang w:val="en-US"/>
        </w:rPr>
        <w:t>Medline (</w:t>
      </w:r>
      <w:r w:rsidR="00162BA5" w:rsidRPr="000162EC">
        <w:rPr>
          <w:rFonts w:cs="Arial"/>
          <w:szCs w:val="20"/>
          <w:lang w:val="en-US"/>
        </w:rPr>
        <w:t xml:space="preserve">cannabidiol and drug interactions </w:t>
      </w:r>
      <w:r w:rsidR="00162BA5" w:rsidRPr="000162EC">
        <w:rPr>
          <w:rFonts w:eastAsia="Arial Unicode MS" w:cs="Arial"/>
        </w:rPr>
        <w:t>[limit human and English language])</w:t>
      </w:r>
    </w:p>
    <w:p w14:paraId="55DE8CB9" w14:textId="77777777" w:rsidR="00836E8A" w:rsidRPr="000162EC" w:rsidRDefault="00162BA5" w:rsidP="00227942">
      <w:pPr>
        <w:pStyle w:val="ListParagraph"/>
        <w:numPr>
          <w:ilvl w:val="0"/>
          <w:numId w:val="20"/>
        </w:numPr>
        <w:spacing w:after="0" w:line="240" w:lineRule="auto"/>
        <w:rPr>
          <w:rFonts w:cs="Arial"/>
          <w:szCs w:val="20"/>
          <w:lang w:val="en-US"/>
        </w:rPr>
      </w:pPr>
      <w:r w:rsidRPr="000162EC">
        <w:rPr>
          <w:rFonts w:cs="Arial"/>
          <w:szCs w:val="20"/>
          <w:lang w:val="en-US"/>
        </w:rPr>
        <w:t xml:space="preserve">Medline (cannabidiol/ae </w:t>
      </w:r>
      <w:r w:rsidRPr="000162EC">
        <w:rPr>
          <w:rFonts w:eastAsia="Arial Unicode MS" w:cs="Arial"/>
        </w:rPr>
        <w:t>[limit human and English language])</w:t>
      </w:r>
    </w:p>
    <w:p w14:paraId="55C987C5" w14:textId="77777777" w:rsidR="00162BA5" w:rsidRPr="000162EC" w:rsidRDefault="00162BA5" w:rsidP="00227942">
      <w:pPr>
        <w:pStyle w:val="ListParagraph"/>
        <w:numPr>
          <w:ilvl w:val="0"/>
          <w:numId w:val="20"/>
        </w:numPr>
        <w:spacing w:after="0" w:line="240" w:lineRule="auto"/>
        <w:rPr>
          <w:rFonts w:cs="Arial"/>
          <w:szCs w:val="20"/>
          <w:lang w:val="en-US"/>
        </w:rPr>
      </w:pPr>
      <w:r w:rsidRPr="000162EC">
        <w:rPr>
          <w:rFonts w:cs="Arial"/>
          <w:color w:val="000000"/>
        </w:rPr>
        <w:t>MiDatabank (cannabidiol)</w:t>
      </w:r>
    </w:p>
    <w:p w14:paraId="2F6A865B" w14:textId="77777777" w:rsidR="00162BA5" w:rsidRPr="000162EC" w:rsidRDefault="00162BA5" w:rsidP="00227942">
      <w:pPr>
        <w:pStyle w:val="ListParagraph"/>
        <w:numPr>
          <w:ilvl w:val="0"/>
          <w:numId w:val="20"/>
        </w:numPr>
        <w:spacing w:after="0" w:line="240" w:lineRule="auto"/>
        <w:rPr>
          <w:rFonts w:cs="Arial"/>
          <w:szCs w:val="20"/>
          <w:lang w:val="en-US"/>
        </w:rPr>
      </w:pPr>
      <w:r w:rsidRPr="000162EC">
        <w:rPr>
          <w:rFonts w:cs="Arial"/>
        </w:rPr>
        <w:t xml:space="preserve">Micromedex (cannabidiol) </w:t>
      </w:r>
    </w:p>
    <w:p w14:paraId="24B11937" w14:textId="77777777" w:rsidR="00E75760" w:rsidRPr="000162EC" w:rsidRDefault="00162BA5" w:rsidP="00227942">
      <w:pPr>
        <w:pStyle w:val="ListParagraph"/>
        <w:numPr>
          <w:ilvl w:val="0"/>
          <w:numId w:val="20"/>
        </w:numPr>
        <w:spacing w:after="0" w:line="240" w:lineRule="auto"/>
        <w:rPr>
          <w:rFonts w:cs="Arial"/>
          <w:szCs w:val="20"/>
          <w:lang w:val="en-US"/>
        </w:rPr>
      </w:pPr>
      <w:r w:rsidRPr="000162EC">
        <w:rPr>
          <w:rFonts w:cs="Arial"/>
          <w:szCs w:val="20"/>
          <w:lang w:val="en-US"/>
        </w:rPr>
        <w:t xml:space="preserve">Home Office </w:t>
      </w:r>
    </w:p>
    <w:p w14:paraId="392129C0" w14:textId="77777777" w:rsidR="00E75760" w:rsidRPr="000162EC" w:rsidRDefault="00E75760" w:rsidP="00227942">
      <w:pPr>
        <w:pStyle w:val="ListParagraph"/>
        <w:numPr>
          <w:ilvl w:val="0"/>
          <w:numId w:val="20"/>
        </w:numPr>
        <w:spacing w:after="0" w:line="240" w:lineRule="auto"/>
        <w:rPr>
          <w:rFonts w:cs="Arial"/>
          <w:szCs w:val="20"/>
          <w:lang w:val="en-US"/>
        </w:rPr>
      </w:pPr>
      <w:r w:rsidRPr="000162EC">
        <w:rPr>
          <w:rFonts w:cs="Arial"/>
          <w:szCs w:val="20"/>
          <w:lang w:val="en-US"/>
        </w:rPr>
        <w:t xml:space="preserve">Medicines and Healthcare products Regulatory Agency </w:t>
      </w:r>
    </w:p>
    <w:p w14:paraId="484B6B43" w14:textId="77777777" w:rsidR="00E75760" w:rsidRPr="000162EC" w:rsidRDefault="00E75760" w:rsidP="00227942">
      <w:pPr>
        <w:pStyle w:val="ListParagraph"/>
        <w:numPr>
          <w:ilvl w:val="0"/>
          <w:numId w:val="20"/>
        </w:numPr>
        <w:spacing w:after="0" w:line="240" w:lineRule="auto"/>
        <w:rPr>
          <w:rFonts w:cs="Arial"/>
          <w:szCs w:val="20"/>
          <w:lang w:val="en-US"/>
        </w:rPr>
      </w:pPr>
      <w:r w:rsidRPr="000162EC">
        <w:rPr>
          <w:rFonts w:cs="Arial"/>
          <w:szCs w:val="20"/>
          <w:lang w:val="en-US"/>
        </w:rPr>
        <w:t xml:space="preserve">European Medicines Agency </w:t>
      </w:r>
    </w:p>
    <w:p w14:paraId="105ED23E" w14:textId="77777777" w:rsidR="00162BA5" w:rsidRPr="000162EC" w:rsidRDefault="00162BA5" w:rsidP="00227942">
      <w:pPr>
        <w:pStyle w:val="ListParagraph"/>
        <w:numPr>
          <w:ilvl w:val="0"/>
          <w:numId w:val="20"/>
        </w:numPr>
        <w:spacing w:after="0" w:line="240" w:lineRule="auto"/>
        <w:rPr>
          <w:rFonts w:cs="Arial"/>
          <w:szCs w:val="20"/>
          <w:lang w:val="en-US"/>
        </w:rPr>
      </w:pPr>
      <w:r w:rsidRPr="000162EC">
        <w:rPr>
          <w:rFonts w:cs="Arial"/>
          <w:szCs w:val="20"/>
          <w:lang w:val="en-US"/>
        </w:rPr>
        <w:t>Food Standard Agency</w:t>
      </w:r>
    </w:p>
    <w:p w14:paraId="20B45364" w14:textId="77777777" w:rsidR="00162BA5" w:rsidRPr="000162EC" w:rsidRDefault="00162BA5" w:rsidP="00227942">
      <w:pPr>
        <w:pStyle w:val="ListParagraph"/>
        <w:numPr>
          <w:ilvl w:val="0"/>
          <w:numId w:val="20"/>
        </w:numPr>
        <w:spacing w:after="0" w:line="240" w:lineRule="auto"/>
        <w:rPr>
          <w:rFonts w:cs="Arial"/>
          <w:szCs w:val="20"/>
          <w:lang w:val="en-US"/>
        </w:rPr>
      </w:pPr>
      <w:r w:rsidRPr="000162EC">
        <w:rPr>
          <w:rFonts w:cs="Arial"/>
          <w:szCs w:val="20"/>
          <w:lang w:val="en-US"/>
        </w:rPr>
        <w:t xml:space="preserve">Royal Pharmaceutical Society </w:t>
      </w:r>
    </w:p>
    <w:p w14:paraId="40EFE604" w14:textId="77777777" w:rsidR="00E75760" w:rsidRPr="000162EC" w:rsidRDefault="00E75760" w:rsidP="00227942">
      <w:pPr>
        <w:pStyle w:val="ListParagraph"/>
        <w:numPr>
          <w:ilvl w:val="0"/>
          <w:numId w:val="20"/>
        </w:numPr>
        <w:spacing w:after="0" w:line="240" w:lineRule="auto"/>
        <w:rPr>
          <w:rFonts w:cs="Arial"/>
          <w:szCs w:val="20"/>
          <w:lang w:val="en-US"/>
        </w:rPr>
      </w:pPr>
      <w:r w:rsidRPr="000162EC">
        <w:rPr>
          <w:rFonts w:cs="Arial"/>
          <w:szCs w:val="20"/>
          <w:lang w:val="en-US"/>
        </w:rPr>
        <w:lastRenderedPageBreak/>
        <w:t xml:space="preserve">National Institute for Health and Care Excellence </w:t>
      </w:r>
    </w:p>
    <w:p w14:paraId="4E57F441" w14:textId="77777777" w:rsidR="00E75760" w:rsidRPr="000162EC" w:rsidRDefault="00162BA5" w:rsidP="00227942">
      <w:pPr>
        <w:pStyle w:val="ListParagraph"/>
        <w:numPr>
          <w:ilvl w:val="0"/>
          <w:numId w:val="20"/>
        </w:numPr>
        <w:spacing w:after="0" w:line="240" w:lineRule="auto"/>
        <w:rPr>
          <w:rFonts w:cs="Arial"/>
          <w:szCs w:val="20"/>
          <w:lang w:val="en-US"/>
        </w:rPr>
      </w:pPr>
      <w:r w:rsidRPr="000162EC">
        <w:rPr>
          <w:rFonts w:cs="Arial"/>
          <w:szCs w:val="20"/>
          <w:lang w:val="en-US"/>
        </w:rPr>
        <w:t xml:space="preserve">Specialist Pharmacy Service </w:t>
      </w:r>
      <w:r w:rsidR="00E75760" w:rsidRPr="000162EC">
        <w:rPr>
          <w:rFonts w:cs="Arial"/>
          <w:szCs w:val="20"/>
          <w:lang w:val="en-US"/>
        </w:rPr>
        <w:t xml:space="preserve">(cannabidiol) </w:t>
      </w:r>
    </w:p>
    <w:p w14:paraId="1F42426C" w14:textId="77777777" w:rsidR="00E75760" w:rsidRPr="000162EC" w:rsidRDefault="00E75760" w:rsidP="00227942">
      <w:pPr>
        <w:pStyle w:val="ListParagraph"/>
        <w:numPr>
          <w:ilvl w:val="0"/>
          <w:numId w:val="20"/>
        </w:numPr>
        <w:spacing w:after="0" w:line="240" w:lineRule="auto"/>
        <w:rPr>
          <w:rFonts w:cs="Arial"/>
          <w:szCs w:val="20"/>
          <w:lang w:val="en-US"/>
        </w:rPr>
      </w:pPr>
      <w:r w:rsidRPr="000162EC">
        <w:rPr>
          <w:rFonts w:cs="Arial"/>
          <w:szCs w:val="20"/>
          <w:lang w:val="en-US"/>
        </w:rPr>
        <w:t xml:space="preserve">Martindale (cannabidiol) </w:t>
      </w:r>
    </w:p>
    <w:p w14:paraId="4BFAF6C9" w14:textId="77777777" w:rsidR="00E75760" w:rsidRPr="000162EC" w:rsidRDefault="00E75760" w:rsidP="00227942">
      <w:pPr>
        <w:pStyle w:val="ListParagraph"/>
        <w:numPr>
          <w:ilvl w:val="0"/>
          <w:numId w:val="20"/>
        </w:numPr>
        <w:spacing w:after="0" w:line="240" w:lineRule="auto"/>
        <w:rPr>
          <w:rFonts w:cs="Arial"/>
          <w:szCs w:val="20"/>
          <w:lang w:val="en-US"/>
        </w:rPr>
      </w:pPr>
      <w:r w:rsidRPr="000162EC">
        <w:rPr>
          <w:rFonts w:cs="Arial"/>
          <w:szCs w:val="20"/>
          <w:lang w:val="en-US"/>
        </w:rPr>
        <w:t xml:space="preserve">UKMI Ecompass Discussion Group </w:t>
      </w:r>
    </w:p>
    <w:p w14:paraId="75DA56C8" w14:textId="77777777" w:rsidR="00E75760" w:rsidRPr="000162EC" w:rsidRDefault="00E75760" w:rsidP="00227942">
      <w:pPr>
        <w:pStyle w:val="ListParagraph"/>
        <w:numPr>
          <w:ilvl w:val="0"/>
          <w:numId w:val="20"/>
        </w:numPr>
        <w:spacing w:after="0" w:line="240" w:lineRule="auto"/>
        <w:rPr>
          <w:rFonts w:cs="Arial"/>
          <w:szCs w:val="20"/>
          <w:lang w:val="en-US"/>
        </w:rPr>
      </w:pPr>
      <w:r w:rsidRPr="000162EC">
        <w:rPr>
          <w:rFonts w:cs="Arial"/>
          <w:szCs w:val="20"/>
          <w:lang w:val="en-US"/>
        </w:rPr>
        <w:t xml:space="preserve">Natural Medicines Comprehensive Database (cannabidiol) </w:t>
      </w:r>
    </w:p>
    <w:p w14:paraId="544027B9" w14:textId="77777777" w:rsidR="000162EC" w:rsidRPr="000162EC" w:rsidRDefault="000162EC" w:rsidP="000162EC">
      <w:pPr>
        <w:pStyle w:val="ListParagraph"/>
        <w:spacing w:after="0" w:line="240" w:lineRule="auto"/>
        <w:rPr>
          <w:rFonts w:cs="Arial"/>
          <w:szCs w:val="20"/>
          <w:lang w:val="en-US"/>
        </w:rPr>
      </w:pPr>
    </w:p>
    <w:p w14:paraId="3C40C1CB" w14:textId="77777777" w:rsidR="00162BA5" w:rsidRPr="000162EC" w:rsidRDefault="00E75760" w:rsidP="00E75760">
      <w:pPr>
        <w:pStyle w:val="ListParagraph"/>
        <w:rPr>
          <w:rFonts w:cs="Arial"/>
          <w:szCs w:val="20"/>
          <w:lang w:val="en-US"/>
        </w:rPr>
      </w:pPr>
      <w:r w:rsidRPr="000162EC">
        <w:rPr>
          <w:rFonts w:cs="Arial"/>
          <w:szCs w:val="20"/>
          <w:lang w:val="en-US"/>
        </w:rPr>
        <w:t xml:space="preserve"> </w:t>
      </w:r>
      <w:r w:rsidR="00162BA5" w:rsidRPr="000162EC">
        <w:rPr>
          <w:rFonts w:cs="Arial"/>
          <w:szCs w:val="20"/>
          <w:lang w:val="en-US"/>
        </w:rPr>
        <w:t xml:space="preserve"> </w:t>
      </w:r>
    </w:p>
    <w:p w14:paraId="1B575D91" w14:textId="77777777" w:rsidR="00E75760" w:rsidRDefault="00E75760">
      <w:pPr>
        <w:pStyle w:val="ListParagraph"/>
        <w:rPr>
          <w:rFonts w:cs="Arial"/>
          <w:szCs w:val="20"/>
          <w:lang w:val="en-US"/>
        </w:rPr>
      </w:pPr>
    </w:p>
    <w:p w14:paraId="5C8D9C7D" w14:textId="77777777" w:rsidR="00DB541E" w:rsidRDefault="00DB541E">
      <w:pPr>
        <w:pStyle w:val="ListParagraph"/>
        <w:rPr>
          <w:rFonts w:cs="Arial"/>
          <w:szCs w:val="20"/>
          <w:lang w:val="en-US"/>
        </w:rPr>
      </w:pPr>
    </w:p>
    <w:p w14:paraId="3FB961C5" w14:textId="77777777" w:rsidR="00DB541E" w:rsidRDefault="00DB541E">
      <w:pPr>
        <w:pStyle w:val="ListParagraph"/>
        <w:rPr>
          <w:rFonts w:cs="Arial"/>
          <w:szCs w:val="20"/>
          <w:lang w:val="en-US"/>
        </w:rPr>
      </w:pPr>
    </w:p>
    <w:p w14:paraId="4A64B670" w14:textId="33AB93EB" w:rsidR="00DB541E" w:rsidRPr="000162EC" w:rsidRDefault="00DB541E">
      <w:pPr>
        <w:pStyle w:val="ListParagraph"/>
        <w:rPr>
          <w:rFonts w:cs="Arial"/>
          <w:szCs w:val="20"/>
          <w:lang w:val="en-US"/>
        </w:rPr>
      </w:pPr>
    </w:p>
    <w:sectPr w:rsidR="00DB541E" w:rsidRPr="000162EC" w:rsidSect="004F475C">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B8A3" w14:textId="77777777" w:rsidR="00556C40" w:rsidRDefault="00556C40" w:rsidP="00B2372E">
      <w:pPr>
        <w:spacing w:after="0" w:line="240" w:lineRule="auto"/>
      </w:pPr>
      <w:r>
        <w:separator/>
      </w:r>
    </w:p>
  </w:endnote>
  <w:endnote w:type="continuationSeparator" w:id="0">
    <w:p w14:paraId="73E35A6A" w14:textId="77777777" w:rsidR="00556C40" w:rsidRDefault="00556C40" w:rsidP="00B2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Condense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84A9" w14:textId="77777777" w:rsidR="00AB1871" w:rsidRDefault="00AB1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783A" w14:textId="77777777" w:rsidR="00242E8F" w:rsidRPr="006945F6" w:rsidRDefault="00242E8F" w:rsidP="00B2372E">
    <w:pPr>
      <w:pStyle w:val="Footer"/>
      <w:ind w:right="360"/>
      <w:rPr>
        <w:color w:val="A6A6A6"/>
      </w:rPr>
    </w:pPr>
    <w:r w:rsidRPr="006945F6">
      <w:rPr>
        <w:color w:val="A6A6A6"/>
      </w:rPr>
      <w:t xml:space="preserve">Available through </w:t>
    </w:r>
    <w:r>
      <w:rPr>
        <w:color w:val="A6A6A6"/>
      </w:rPr>
      <w:t>Specialist Pharmacy Service</w:t>
    </w:r>
    <w:r w:rsidRPr="006945F6">
      <w:rPr>
        <w:color w:val="A6A6A6"/>
      </w:rPr>
      <w:t xml:space="preserve"> at </w:t>
    </w:r>
  </w:p>
  <w:p w14:paraId="098F34F8" w14:textId="77777777" w:rsidR="00242E8F" w:rsidRPr="006945F6" w:rsidRDefault="00E73FE6" w:rsidP="00B2372E">
    <w:pPr>
      <w:pStyle w:val="Footer"/>
      <w:ind w:right="360"/>
      <w:rPr>
        <w:color w:val="A6A6A6"/>
      </w:rPr>
    </w:pPr>
    <w:hyperlink r:id="rId1" w:history="1">
      <w:r w:rsidR="00242E8F" w:rsidRPr="00AB2D91">
        <w:rPr>
          <w:rStyle w:val="Hyperlink"/>
        </w:rPr>
        <w:t>www.sps.nhs.uk</w:t>
      </w:r>
    </w:hyperlink>
    <w:r w:rsidR="00242E8F">
      <w:rPr>
        <w:color w:val="A6A6A6"/>
      </w:rPr>
      <w:t xml:space="preserve"> </w:t>
    </w:r>
  </w:p>
  <w:p w14:paraId="55EFD726" w14:textId="77777777" w:rsidR="00242E8F" w:rsidRDefault="00242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AAEB" w14:textId="77777777" w:rsidR="00AB1871" w:rsidRDefault="00AB1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5771" w14:textId="77777777" w:rsidR="00556C40" w:rsidRDefault="00556C40" w:rsidP="00B2372E">
      <w:pPr>
        <w:spacing w:after="0" w:line="240" w:lineRule="auto"/>
      </w:pPr>
      <w:r>
        <w:separator/>
      </w:r>
    </w:p>
  </w:footnote>
  <w:footnote w:type="continuationSeparator" w:id="0">
    <w:p w14:paraId="2FF17A1E" w14:textId="77777777" w:rsidR="00556C40" w:rsidRDefault="00556C40" w:rsidP="00B2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F0F8" w14:textId="77777777" w:rsidR="00AB1871" w:rsidRDefault="00AB1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2786" w14:textId="3BBEF6B8" w:rsidR="00242E8F" w:rsidRPr="00B1695F" w:rsidRDefault="00242E8F" w:rsidP="003A21B9">
    <w:pPr>
      <w:pStyle w:val="Header"/>
      <w:tabs>
        <w:tab w:val="clear" w:pos="4513"/>
        <w:tab w:val="clear" w:pos="9026"/>
        <w:tab w:val="left" w:pos="7650"/>
      </w:tabs>
      <w:rPr>
        <w:b/>
        <w:color w:val="0070C0"/>
      </w:rPr>
    </w:pPr>
    <w:r>
      <w:rPr>
        <w:b/>
        <w:noProof/>
        <w:color w:val="0070C0"/>
        <w:sz w:val="24"/>
        <w:lang w:eastAsia="en-GB"/>
      </w:rPr>
      <w:drawing>
        <wp:anchor distT="0" distB="0" distL="114300" distR="114300" simplePos="0" relativeHeight="251657216" behindDoc="0" locked="0" layoutInCell="1" allowOverlap="1" wp14:anchorId="6C464DEC" wp14:editId="60283F08">
          <wp:simplePos x="0" y="0"/>
          <wp:positionH relativeFrom="column">
            <wp:posOffset>2867025</wp:posOffset>
          </wp:positionH>
          <wp:positionV relativeFrom="paragraph">
            <wp:posOffset>-182880</wp:posOffset>
          </wp:positionV>
          <wp:extent cx="2876550" cy="514350"/>
          <wp:effectExtent l="1905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876550" cy="514350"/>
                  </a:xfrm>
                  <a:prstGeom prst="rect">
                    <a:avLst/>
                  </a:prstGeom>
                  <a:noFill/>
                  <a:ln w="9525">
                    <a:noFill/>
                    <a:miter lim="800000"/>
                    <a:headEnd/>
                    <a:tailEnd/>
                  </a:ln>
                </pic:spPr>
              </pic:pic>
            </a:graphicData>
          </a:graphic>
        </wp:anchor>
      </w:drawing>
    </w:r>
    <w:r>
      <w:rPr>
        <w:b/>
        <w:noProof/>
        <w:color w:val="0070C0"/>
        <w:sz w:val="24"/>
        <w:lang w:eastAsia="en-GB"/>
      </w:rPr>
      <mc:AlternateContent>
        <mc:Choice Requires="wps">
          <w:drawing>
            <wp:anchor distT="0" distB="0" distL="114300" distR="114300" simplePos="0" relativeHeight="251658240" behindDoc="0" locked="0" layoutInCell="1" allowOverlap="1" wp14:anchorId="0307101E" wp14:editId="41020C31">
              <wp:simplePos x="0" y="0"/>
              <wp:positionH relativeFrom="column">
                <wp:posOffset>187960</wp:posOffset>
              </wp:positionH>
              <wp:positionV relativeFrom="paragraph">
                <wp:posOffset>-87630</wp:posOffset>
              </wp:positionV>
              <wp:extent cx="1393190" cy="2825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1CA55" w14:textId="77777777" w:rsidR="00242E8F" w:rsidRPr="00B1695F" w:rsidRDefault="00242E8F" w:rsidP="003A21B9">
                          <w:pPr>
                            <w:pStyle w:val="Header"/>
                            <w:tabs>
                              <w:tab w:val="clear" w:pos="4513"/>
                              <w:tab w:val="clear" w:pos="9026"/>
                              <w:tab w:val="left" w:pos="7650"/>
                            </w:tabs>
                            <w:rPr>
                              <w:b/>
                              <w:color w:val="0070C0"/>
                            </w:rPr>
                          </w:pPr>
                          <w:r w:rsidRPr="00B1695F">
                            <w:rPr>
                              <w:b/>
                              <w:color w:val="0070C0"/>
                              <w:sz w:val="24"/>
                            </w:rPr>
                            <w:t>Medicines Q&amp;As</w:t>
                          </w:r>
                        </w:p>
                        <w:p w14:paraId="20AC10FF" w14:textId="77777777" w:rsidR="00242E8F" w:rsidRDefault="00242E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07101E" id="_x0000_t202" coordsize="21600,21600" o:spt="202" path="m,l,21600r21600,l21600,xe">
              <v:stroke joinstyle="miter"/>
              <v:path gradientshapeok="t" o:connecttype="rect"/>
            </v:shapetype>
            <v:shape id="Text Box 5" o:spid="_x0000_s1026" type="#_x0000_t202" style="position:absolute;margin-left:14.8pt;margin-top:-6.9pt;width:109.7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" filled="f" stroked="f">
              <v:textbox>
                <w:txbxContent>
                  <w:p w14:paraId="55B1CA55" w14:textId="77777777" w:rsidR="00242E8F" w:rsidRPr="00B1695F" w:rsidRDefault="00242E8F" w:rsidP="003A21B9">
                    <w:pPr>
                      <w:pStyle w:val="Header"/>
                      <w:tabs>
                        <w:tab w:val="clear" w:pos="4513"/>
                        <w:tab w:val="clear" w:pos="9026"/>
                        <w:tab w:val="left" w:pos="7650"/>
                      </w:tabs>
                      <w:rPr>
                        <w:b/>
                        <w:color w:val="0070C0"/>
                      </w:rPr>
                    </w:pPr>
                    <w:r w:rsidRPr="00B1695F">
                      <w:rPr>
                        <w:b/>
                        <w:color w:val="0070C0"/>
                        <w:sz w:val="24"/>
                      </w:rPr>
                      <w:t>Medicines Q&amp;As</w:t>
                    </w:r>
                  </w:p>
                  <w:p w14:paraId="20AC10FF" w14:textId="77777777" w:rsidR="00242E8F" w:rsidRDefault="00242E8F"/>
                </w:txbxContent>
              </v:textbox>
            </v:shape>
          </w:pict>
        </mc:Fallback>
      </mc:AlternateContent>
    </w:r>
  </w:p>
  <w:p w14:paraId="0BC20870" w14:textId="77777777" w:rsidR="00242E8F" w:rsidRDefault="00242E8F">
    <w:pPr>
      <w:pStyle w:val="Header"/>
    </w:pPr>
    <w:r>
      <w:rPr>
        <w:b/>
        <w:noProof/>
        <w:color w:val="0070C0"/>
        <w:sz w:val="24"/>
        <w:lang w:eastAsia="en-GB"/>
      </w:rPr>
      <mc:AlternateContent>
        <mc:Choice Requires="wps">
          <w:drawing>
            <wp:anchor distT="0" distB="0" distL="114300" distR="114300" simplePos="0" relativeHeight="251656192" behindDoc="0" locked="0" layoutInCell="1" allowOverlap="1" wp14:anchorId="069A7D9C" wp14:editId="6FD190ED">
              <wp:simplePos x="0" y="0"/>
              <wp:positionH relativeFrom="column">
                <wp:posOffset>6985</wp:posOffset>
              </wp:positionH>
              <wp:positionV relativeFrom="paragraph">
                <wp:posOffset>15875</wp:posOffset>
              </wp:positionV>
              <wp:extent cx="1762125" cy="0"/>
              <wp:effectExtent l="16510" t="15875" r="1206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222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96D0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5pt" to="139.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" strokecolor="#0070c0" strokeweight="1.7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2CB0" w14:textId="77777777" w:rsidR="00AB1871" w:rsidRDefault="00AB1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47465"/>
    <w:multiLevelType w:val="hybridMultilevel"/>
    <w:tmpl w:val="547E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1F42B4"/>
    <w:multiLevelType w:val="hybridMultilevel"/>
    <w:tmpl w:val="78DC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003DC"/>
    <w:multiLevelType w:val="hybridMultilevel"/>
    <w:tmpl w:val="0D8C2666"/>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307BB"/>
    <w:multiLevelType w:val="hybridMultilevel"/>
    <w:tmpl w:val="6D82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77185"/>
    <w:multiLevelType w:val="hybridMultilevel"/>
    <w:tmpl w:val="81FACF7E"/>
    <w:lvl w:ilvl="0" w:tplc="E3E43F9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574EB0"/>
    <w:multiLevelType w:val="hybridMultilevel"/>
    <w:tmpl w:val="99EA1B94"/>
    <w:lvl w:ilvl="0" w:tplc="92D0C2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203502"/>
    <w:multiLevelType w:val="hybridMultilevel"/>
    <w:tmpl w:val="AFBE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24C44"/>
    <w:multiLevelType w:val="multilevel"/>
    <w:tmpl w:val="0E32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96607"/>
    <w:multiLevelType w:val="multilevel"/>
    <w:tmpl w:val="DEFA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00616"/>
    <w:multiLevelType w:val="hybridMultilevel"/>
    <w:tmpl w:val="2DE616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43569C"/>
    <w:multiLevelType w:val="hybridMultilevel"/>
    <w:tmpl w:val="DE0AD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437541"/>
    <w:multiLevelType w:val="hybridMultilevel"/>
    <w:tmpl w:val="2BFC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17858"/>
    <w:multiLevelType w:val="hybridMultilevel"/>
    <w:tmpl w:val="A4A00BF4"/>
    <w:lvl w:ilvl="0" w:tplc="0809000F">
      <w:start w:val="1"/>
      <w:numFmt w:val="decimal"/>
      <w:lvlText w:val="%1."/>
      <w:lvlJc w:val="left"/>
      <w:pPr>
        <w:ind w:left="360" w:hanging="360"/>
      </w:pPr>
      <w:rPr>
        <w:rFonts w:cs="Times New Roman"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B610C0"/>
    <w:multiLevelType w:val="hybridMultilevel"/>
    <w:tmpl w:val="7E666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9E4766"/>
    <w:multiLevelType w:val="hybridMultilevel"/>
    <w:tmpl w:val="9CC81D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955D0D"/>
    <w:multiLevelType w:val="hybridMultilevel"/>
    <w:tmpl w:val="2818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3E29E4"/>
    <w:multiLevelType w:val="hybridMultilevel"/>
    <w:tmpl w:val="73BA1E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F7E3CFF"/>
    <w:multiLevelType w:val="hybridMultilevel"/>
    <w:tmpl w:val="90C69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0D5BE0"/>
    <w:multiLevelType w:val="hybridMultilevel"/>
    <w:tmpl w:val="D322373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D8B3751"/>
    <w:multiLevelType w:val="hybridMultilevel"/>
    <w:tmpl w:val="AF886F40"/>
    <w:lvl w:ilvl="0" w:tplc="C3DC84B6">
      <w:start w:val="1"/>
      <w:numFmt w:val="decimal"/>
      <w:lvlText w:val="%1)"/>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9510752">
    <w:abstractNumId w:val="16"/>
  </w:num>
  <w:num w:numId="2" w16cid:durableId="558830187">
    <w:abstractNumId w:val="7"/>
  </w:num>
  <w:num w:numId="3" w16cid:durableId="277760885">
    <w:abstractNumId w:val="17"/>
  </w:num>
  <w:num w:numId="4" w16cid:durableId="1326859950">
    <w:abstractNumId w:val="5"/>
  </w:num>
  <w:num w:numId="5" w16cid:durableId="1321546171">
    <w:abstractNumId w:val="3"/>
  </w:num>
  <w:num w:numId="6" w16cid:durableId="984168506">
    <w:abstractNumId w:val="14"/>
  </w:num>
  <w:num w:numId="7" w16cid:durableId="834148081">
    <w:abstractNumId w:val="12"/>
  </w:num>
  <w:num w:numId="8" w16cid:durableId="1328286990">
    <w:abstractNumId w:val="2"/>
  </w:num>
  <w:num w:numId="9" w16cid:durableId="1852141495">
    <w:abstractNumId w:val="15"/>
  </w:num>
  <w:num w:numId="10" w16cid:durableId="2031104078">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16cid:durableId="1040401484">
    <w:abstractNumId w:val="19"/>
  </w:num>
  <w:num w:numId="12" w16cid:durableId="1991012881">
    <w:abstractNumId w:val="11"/>
  </w:num>
  <w:num w:numId="13" w16cid:durableId="1181817892">
    <w:abstractNumId w:val="18"/>
  </w:num>
  <w:num w:numId="14" w16cid:durableId="1894997228">
    <w:abstractNumId w:val="6"/>
  </w:num>
  <w:num w:numId="15" w16cid:durableId="936593264">
    <w:abstractNumId w:val="10"/>
  </w:num>
  <w:num w:numId="16" w16cid:durableId="57750998">
    <w:abstractNumId w:val="8"/>
  </w:num>
  <w:num w:numId="17" w16cid:durableId="992686153">
    <w:abstractNumId w:val="1"/>
  </w:num>
  <w:num w:numId="18" w16cid:durableId="938635125">
    <w:abstractNumId w:val="13"/>
  </w:num>
  <w:num w:numId="19" w16cid:durableId="1356034248">
    <w:abstractNumId w:val="9"/>
  </w:num>
  <w:num w:numId="20" w16cid:durableId="1213888391">
    <w:abstractNumId w:val="4"/>
  </w:num>
  <w:num w:numId="21" w16cid:durableId="15620164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72E"/>
    <w:rsid w:val="00004E8B"/>
    <w:rsid w:val="0000550D"/>
    <w:rsid w:val="00011639"/>
    <w:rsid w:val="000116B4"/>
    <w:rsid w:val="00013CAA"/>
    <w:rsid w:val="00014CA3"/>
    <w:rsid w:val="000158F9"/>
    <w:rsid w:val="000162EC"/>
    <w:rsid w:val="00017368"/>
    <w:rsid w:val="000206EE"/>
    <w:rsid w:val="00024793"/>
    <w:rsid w:val="0003065D"/>
    <w:rsid w:val="0003163F"/>
    <w:rsid w:val="00033C97"/>
    <w:rsid w:val="0003494B"/>
    <w:rsid w:val="00044E66"/>
    <w:rsid w:val="000470E1"/>
    <w:rsid w:val="000530A3"/>
    <w:rsid w:val="0005694C"/>
    <w:rsid w:val="00057B7F"/>
    <w:rsid w:val="00060DF5"/>
    <w:rsid w:val="00062D44"/>
    <w:rsid w:val="000765A5"/>
    <w:rsid w:val="00077083"/>
    <w:rsid w:val="00081448"/>
    <w:rsid w:val="00084821"/>
    <w:rsid w:val="00084A2C"/>
    <w:rsid w:val="000876EF"/>
    <w:rsid w:val="000939E3"/>
    <w:rsid w:val="00095F29"/>
    <w:rsid w:val="00097DFF"/>
    <w:rsid w:val="000A197A"/>
    <w:rsid w:val="000A5A17"/>
    <w:rsid w:val="000A5B7D"/>
    <w:rsid w:val="000A6CAD"/>
    <w:rsid w:val="000B0FF6"/>
    <w:rsid w:val="000B202A"/>
    <w:rsid w:val="000B5DB8"/>
    <w:rsid w:val="000B6D17"/>
    <w:rsid w:val="000C3060"/>
    <w:rsid w:val="000C47A7"/>
    <w:rsid w:val="000C55A5"/>
    <w:rsid w:val="000C674C"/>
    <w:rsid w:val="000C6AAB"/>
    <w:rsid w:val="000C7231"/>
    <w:rsid w:val="000D194A"/>
    <w:rsid w:val="000D373F"/>
    <w:rsid w:val="000D52AC"/>
    <w:rsid w:val="000E0346"/>
    <w:rsid w:val="000E553A"/>
    <w:rsid w:val="000F0E29"/>
    <w:rsid w:val="000F1233"/>
    <w:rsid w:val="000F2FF0"/>
    <w:rsid w:val="000F4EBC"/>
    <w:rsid w:val="00100802"/>
    <w:rsid w:val="00103D78"/>
    <w:rsid w:val="001048D5"/>
    <w:rsid w:val="001065A5"/>
    <w:rsid w:val="00110D6E"/>
    <w:rsid w:val="001131AF"/>
    <w:rsid w:val="00115B9F"/>
    <w:rsid w:val="0012180A"/>
    <w:rsid w:val="00122E19"/>
    <w:rsid w:val="00122F7E"/>
    <w:rsid w:val="001306E7"/>
    <w:rsid w:val="00132855"/>
    <w:rsid w:val="0013377C"/>
    <w:rsid w:val="00140A84"/>
    <w:rsid w:val="00141BB7"/>
    <w:rsid w:val="001422B9"/>
    <w:rsid w:val="001454D9"/>
    <w:rsid w:val="00146BEB"/>
    <w:rsid w:val="00147BB1"/>
    <w:rsid w:val="00150977"/>
    <w:rsid w:val="00152A58"/>
    <w:rsid w:val="00154464"/>
    <w:rsid w:val="00157A5A"/>
    <w:rsid w:val="00160E32"/>
    <w:rsid w:val="00161719"/>
    <w:rsid w:val="00162BA5"/>
    <w:rsid w:val="00164812"/>
    <w:rsid w:val="0016597E"/>
    <w:rsid w:val="00173E83"/>
    <w:rsid w:val="0017724F"/>
    <w:rsid w:val="00177485"/>
    <w:rsid w:val="00182AB8"/>
    <w:rsid w:val="00182B6F"/>
    <w:rsid w:val="00184225"/>
    <w:rsid w:val="00184F4F"/>
    <w:rsid w:val="00195F8B"/>
    <w:rsid w:val="001A11D0"/>
    <w:rsid w:val="001A1A20"/>
    <w:rsid w:val="001A28F8"/>
    <w:rsid w:val="001A39EF"/>
    <w:rsid w:val="001A4017"/>
    <w:rsid w:val="001A72DD"/>
    <w:rsid w:val="001B7FA1"/>
    <w:rsid w:val="001C074C"/>
    <w:rsid w:val="001D11BE"/>
    <w:rsid w:val="001D50A5"/>
    <w:rsid w:val="001D6798"/>
    <w:rsid w:val="001D7933"/>
    <w:rsid w:val="001E27C7"/>
    <w:rsid w:val="001E54C9"/>
    <w:rsid w:val="001F7499"/>
    <w:rsid w:val="00202566"/>
    <w:rsid w:val="0020376A"/>
    <w:rsid w:val="00204E9D"/>
    <w:rsid w:val="00205337"/>
    <w:rsid w:val="00210E57"/>
    <w:rsid w:val="002126BE"/>
    <w:rsid w:val="00213134"/>
    <w:rsid w:val="002141FF"/>
    <w:rsid w:val="00217AB4"/>
    <w:rsid w:val="00217B39"/>
    <w:rsid w:val="002262BF"/>
    <w:rsid w:val="0022635F"/>
    <w:rsid w:val="00227942"/>
    <w:rsid w:val="002311E8"/>
    <w:rsid w:val="0023242D"/>
    <w:rsid w:val="00233A80"/>
    <w:rsid w:val="00234D3C"/>
    <w:rsid w:val="00236EF3"/>
    <w:rsid w:val="00242E8F"/>
    <w:rsid w:val="00246A63"/>
    <w:rsid w:val="002536E3"/>
    <w:rsid w:val="00257C87"/>
    <w:rsid w:val="0026288B"/>
    <w:rsid w:val="0027084F"/>
    <w:rsid w:val="002723A4"/>
    <w:rsid w:val="00275A93"/>
    <w:rsid w:val="00277FA3"/>
    <w:rsid w:val="00282590"/>
    <w:rsid w:val="002856F3"/>
    <w:rsid w:val="0028588C"/>
    <w:rsid w:val="00287AB1"/>
    <w:rsid w:val="00291017"/>
    <w:rsid w:val="00295B80"/>
    <w:rsid w:val="00297EB7"/>
    <w:rsid w:val="002A1F16"/>
    <w:rsid w:val="002B2C1B"/>
    <w:rsid w:val="002B513E"/>
    <w:rsid w:val="002B56B1"/>
    <w:rsid w:val="002C2055"/>
    <w:rsid w:val="002C265D"/>
    <w:rsid w:val="002C33A8"/>
    <w:rsid w:val="002D1775"/>
    <w:rsid w:val="002D259A"/>
    <w:rsid w:val="002D26EA"/>
    <w:rsid w:val="002D5FF9"/>
    <w:rsid w:val="002D6EEA"/>
    <w:rsid w:val="002E7F55"/>
    <w:rsid w:val="002F1081"/>
    <w:rsid w:val="0030436E"/>
    <w:rsid w:val="0031051A"/>
    <w:rsid w:val="00311269"/>
    <w:rsid w:val="00313128"/>
    <w:rsid w:val="00317B7D"/>
    <w:rsid w:val="0032205D"/>
    <w:rsid w:val="00323CB5"/>
    <w:rsid w:val="00326371"/>
    <w:rsid w:val="00334206"/>
    <w:rsid w:val="00334F76"/>
    <w:rsid w:val="0033552B"/>
    <w:rsid w:val="0034554A"/>
    <w:rsid w:val="00353B50"/>
    <w:rsid w:val="0035446C"/>
    <w:rsid w:val="00365889"/>
    <w:rsid w:val="00372D06"/>
    <w:rsid w:val="003735EF"/>
    <w:rsid w:val="00373D8D"/>
    <w:rsid w:val="003746C1"/>
    <w:rsid w:val="003773DE"/>
    <w:rsid w:val="00382F1F"/>
    <w:rsid w:val="003863A1"/>
    <w:rsid w:val="003863AC"/>
    <w:rsid w:val="00391A00"/>
    <w:rsid w:val="003943EE"/>
    <w:rsid w:val="00395DE0"/>
    <w:rsid w:val="00395E4F"/>
    <w:rsid w:val="003971E2"/>
    <w:rsid w:val="003A21B9"/>
    <w:rsid w:val="003A46E3"/>
    <w:rsid w:val="003A58C8"/>
    <w:rsid w:val="003A66BC"/>
    <w:rsid w:val="003B199A"/>
    <w:rsid w:val="003B5F3D"/>
    <w:rsid w:val="003C19B2"/>
    <w:rsid w:val="003C1EB6"/>
    <w:rsid w:val="003D1351"/>
    <w:rsid w:val="003D1D35"/>
    <w:rsid w:val="003E2C92"/>
    <w:rsid w:val="003E4097"/>
    <w:rsid w:val="003F078F"/>
    <w:rsid w:val="003F3FA0"/>
    <w:rsid w:val="004018B6"/>
    <w:rsid w:val="00401D21"/>
    <w:rsid w:val="00402E05"/>
    <w:rsid w:val="004070BC"/>
    <w:rsid w:val="00411F7A"/>
    <w:rsid w:val="00425E91"/>
    <w:rsid w:val="0042672D"/>
    <w:rsid w:val="00427F92"/>
    <w:rsid w:val="00430B4B"/>
    <w:rsid w:val="00431804"/>
    <w:rsid w:val="00433B14"/>
    <w:rsid w:val="00433E7A"/>
    <w:rsid w:val="00434A7C"/>
    <w:rsid w:val="00435EEB"/>
    <w:rsid w:val="0044109B"/>
    <w:rsid w:val="0044133E"/>
    <w:rsid w:val="00441EA4"/>
    <w:rsid w:val="0044654B"/>
    <w:rsid w:val="00446621"/>
    <w:rsid w:val="00446EC4"/>
    <w:rsid w:val="00456CAA"/>
    <w:rsid w:val="00461037"/>
    <w:rsid w:val="0046201C"/>
    <w:rsid w:val="004633F6"/>
    <w:rsid w:val="00467010"/>
    <w:rsid w:val="00473BCB"/>
    <w:rsid w:val="004750DC"/>
    <w:rsid w:val="0047567B"/>
    <w:rsid w:val="00477215"/>
    <w:rsid w:val="00480715"/>
    <w:rsid w:val="00480B7C"/>
    <w:rsid w:val="0048414F"/>
    <w:rsid w:val="0049156E"/>
    <w:rsid w:val="004A147B"/>
    <w:rsid w:val="004A3C1C"/>
    <w:rsid w:val="004A5F69"/>
    <w:rsid w:val="004A6381"/>
    <w:rsid w:val="004B15F9"/>
    <w:rsid w:val="004B2A38"/>
    <w:rsid w:val="004B2F19"/>
    <w:rsid w:val="004C42D9"/>
    <w:rsid w:val="004E2D26"/>
    <w:rsid w:val="004E5487"/>
    <w:rsid w:val="004E574A"/>
    <w:rsid w:val="004E5FC2"/>
    <w:rsid w:val="004E6933"/>
    <w:rsid w:val="004E71AC"/>
    <w:rsid w:val="004F1B7A"/>
    <w:rsid w:val="004F475C"/>
    <w:rsid w:val="004F6362"/>
    <w:rsid w:val="00502664"/>
    <w:rsid w:val="00506E6D"/>
    <w:rsid w:val="00510925"/>
    <w:rsid w:val="0051229D"/>
    <w:rsid w:val="005161DC"/>
    <w:rsid w:val="005237E6"/>
    <w:rsid w:val="00524C84"/>
    <w:rsid w:val="005278F6"/>
    <w:rsid w:val="0053219A"/>
    <w:rsid w:val="00534737"/>
    <w:rsid w:val="00537A01"/>
    <w:rsid w:val="005442C0"/>
    <w:rsid w:val="005470C4"/>
    <w:rsid w:val="005538A7"/>
    <w:rsid w:val="00554235"/>
    <w:rsid w:val="0055612C"/>
    <w:rsid w:val="00556C40"/>
    <w:rsid w:val="00566B83"/>
    <w:rsid w:val="00567A80"/>
    <w:rsid w:val="005708A1"/>
    <w:rsid w:val="00570BBD"/>
    <w:rsid w:val="00574985"/>
    <w:rsid w:val="00575016"/>
    <w:rsid w:val="005765FC"/>
    <w:rsid w:val="00580446"/>
    <w:rsid w:val="00580DDA"/>
    <w:rsid w:val="00585ADC"/>
    <w:rsid w:val="00592D78"/>
    <w:rsid w:val="0059328D"/>
    <w:rsid w:val="005949A2"/>
    <w:rsid w:val="0059524A"/>
    <w:rsid w:val="005963EF"/>
    <w:rsid w:val="00596E73"/>
    <w:rsid w:val="005A016B"/>
    <w:rsid w:val="005A4AD4"/>
    <w:rsid w:val="005A52CE"/>
    <w:rsid w:val="005A5504"/>
    <w:rsid w:val="005A58BE"/>
    <w:rsid w:val="005A6B10"/>
    <w:rsid w:val="005A6F98"/>
    <w:rsid w:val="005A7611"/>
    <w:rsid w:val="005B034E"/>
    <w:rsid w:val="005B1ACC"/>
    <w:rsid w:val="005B1E85"/>
    <w:rsid w:val="005B56F6"/>
    <w:rsid w:val="005B5BFB"/>
    <w:rsid w:val="005B7F88"/>
    <w:rsid w:val="005C29E0"/>
    <w:rsid w:val="005C3986"/>
    <w:rsid w:val="005D0FF5"/>
    <w:rsid w:val="005D2F06"/>
    <w:rsid w:val="005D4098"/>
    <w:rsid w:val="005D41FA"/>
    <w:rsid w:val="005D4C24"/>
    <w:rsid w:val="005D7286"/>
    <w:rsid w:val="005E2D7F"/>
    <w:rsid w:val="005E6CF1"/>
    <w:rsid w:val="005F105A"/>
    <w:rsid w:val="005F20BA"/>
    <w:rsid w:val="005F5527"/>
    <w:rsid w:val="00600FC4"/>
    <w:rsid w:val="00605D8C"/>
    <w:rsid w:val="00610445"/>
    <w:rsid w:val="00611854"/>
    <w:rsid w:val="0061472F"/>
    <w:rsid w:val="00615860"/>
    <w:rsid w:val="00620820"/>
    <w:rsid w:val="00621BA9"/>
    <w:rsid w:val="00626F18"/>
    <w:rsid w:val="00642BB8"/>
    <w:rsid w:val="00643D0B"/>
    <w:rsid w:val="00643DC7"/>
    <w:rsid w:val="006448BC"/>
    <w:rsid w:val="00645EF7"/>
    <w:rsid w:val="00651542"/>
    <w:rsid w:val="0065165D"/>
    <w:rsid w:val="00654135"/>
    <w:rsid w:val="00655817"/>
    <w:rsid w:val="0065655F"/>
    <w:rsid w:val="00657EED"/>
    <w:rsid w:val="00661D40"/>
    <w:rsid w:val="00662302"/>
    <w:rsid w:val="00665FF0"/>
    <w:rsid w:val="00666BDD"/>
    <w:rsid w:val="00667CC6"/>
    <w:rsid w:val="00671E18"/>
    <w:rsid w:val="006723D0"/>
    <w:rsid w:val="0067318C"/>
    <w:rsid w:val="00673E30"/>
    <w:rsid w:val="00675FCF"/>
    <w:rsid w:val="00680428"/>
    <w:rsid w:val="00691BE6"/>
    <w:rsid w:val="0069338E"/>
    <w:rsid w:val="006953A2"/>
    <w:rsid w:val="00695F1E"/>
    <w:rsid w:val="006A541B"/>
    <w:rsid w:val="006A7E7A"/>
    <w:rsid w:val="006B261D"/>
    <w:rsid w:val="006B3000"/>
    <w:rsid w:val="006B466F"/>
    <w:rsid w:val="006B54D1"/>
    <w:rsid w:val="006C3B44"/>
    <w:rsid w:val="006C4A25"/>
    <w:rsid w:val="006C620B"/>
    <w:rsid w:val="006C6F25"/>
    <w:rsid w:val="006C71D9"/>
    <w:rsid w:val="006D0F21"/>
    <w:rsid w:val="006D2FB5"/>
    <w:rsid w:val="006D42BA"/>
    <w:rsid w:val="006D4491"/>
    <w:rsid w:val="006D554E"/>
    <w:rsid w:val="006E16F0"/>
    <w:rsid w:val="006F1441"/>
    <w:rsid w:val="006F242A"/>
    <w:rsid w:val="006F3442"/>
    <w:rsid w:val="00702618"/>
    <w:rsid w:val="007054D5"/>
    <w:rsid w:val="007077BE"/>
    <w:rsid w:val="00722739"/>
    <w:rsid w:val="00730E4C"/>
    <w:rsid w:val="00735444"/>
    <w:rsid w:val="00736E6E"/>
    <w:rsid w:val="007377C4"/>
    <w:rsid w:val="00741D2C"/>
    <w:rsid w:val="00743C22"/>
    <w:rsid w:val="007464CB"/>
    <w:rsid w:val="00751A4A"/>
    <w:rsid w:val="00752497"/>
    <w:rsid w:val="00753D1C"/>
    <w:rsid w:val="0076630C"/>
    <w:rsid w:val="00767B5F"/>
    <w:rsid w:val="0077381E"/>
    <w:rsid w:val="00780981"/>
    <w:rsid w:val="0078122C"/>
    <w:rsid w:val="00784B48"/>
    <w:rsid w:val="00787C4A"/>
    <w:rsid w:val="007904A2"/>
    <w:rsid w:val="00791158"/>
    <w:rsid w:val="007A3A48"/>
    <w:rsid w:val="007A71E2"/>
    <w:rsid w:val="007A764A"/>
    <w:rsid w:val="007B1415"/>
    <w:rsid w:val="007B5683"/>
    <w:rsid w:val="007B6075"/>
    <w:rsid w:val="007C1A76"/>
    <w:rsid w:val="007C66E6"/>
    <w:rsid w:val="007D1792"/>
    <w:rsid w:val="007D1914"/>
    <w:rsid w:val="007D607E"/>
    <w:rsid w:val="007E210E"/>
    <w:rsid w:val="007E27B1"/>
    <w:rsid w:val="007E5F1D"/>
    <w:rsid w:val="007F04F3"/>
    <w:rsid w:val="00803EEA"/>
    <w:rsid w:val="00807FE2"/>
    <w:rsid w:val="008231F9"/>
    <w:rsid w:val="00836E8A"/>
    <w:rsid w:val="00837904"/>
    <w:rsid w:val="008400EF"/>
    <w:rsid w:val="00852F58"/>
    <w:rsid w:val="0085415A"/>
    <w:rsid w:val="008549AE"/>
    <w:rsid w:val="008561A4"/>
    <w:rsid w:val="0085665A"/>
    <w:rsid w:val="00860146"/>
    <w:rsid w:val="008628BB"/>
    <w:rsid w:val="00862C26"/>
    <w:rsid w:val="008658F8"/>
    <w:rsid w:val="00871583"/>
    <w:rsid w:val="00871D75"/>
    <w:rsid w:val="00873FD5"/>
    <w:rsid w:val="00874BFD"/>
    <w:rsid w:val="008769D1"/>
    <w:rsid w:val="008937D1"/>
    <w:rsid w:val="008959F2"/>
    <w:rsid w:val="008A372E"/>
    <w:rsid w:val="008A6EFE"/>
    <w:rsid w:val="008B245E"/>
    <w:rsid w:val="008B7503"/>
    <w:rsid w:val="008C0168"/>
    <w:rsid w:val="008C28DF"/>
    <w:rsid w:val="008C378E"/>
    <w:rsid w:val="008C3B17"/>
    <w:rsid w:val="008C4E14"/>
    <w:rsid w:val="008D32A4"/>
    <w:rsid w:val="008D3724"/>
    <w:rsid w:val="008D5E55"/>
    <w:rsid w:val="008E5C6F"/>
    <w:rsid w:val="008E66A1"/>
    <w:rsid w:val="008F384D"/>
    <w:rsid w:val="00901F12"/>
    <w:rsid w:val="009055B6"/>
    <w:rsid w:val="009065B2"/>
    <w:rsid w:val="00910776"/>
    <w:rsid w:val="00911ACF"/>
    <w:rsid w:val="00917AB4"/>
    <w:rsid w:val="00920A96"/>
    <w:rsid w:val="00922302"/>
    <w:rsid w:val="009233CB"/>
    <w:rsid w:val="00925A36"/>
    <w:rsid w:val="00925B4C"/>
    <w:rsid w:val="0093074F"/>
    <w:rsid w:val="009400B9"/>
    <w:rsid w:val="00941541"/>
    <w:rsid w:val="00944CD6"/>
    <w:rsid w:val="00946DDB"/>
    <w:rsid w:val="00947E2E"/>
    <w:rsid w:val="00953AA5"/>
    <w:rsid w:val="00953E1B"/>
    <w:rsid w:val="00955543"/>
    <w:rsid w:val="0096014B"/>
    <w:rsid w:val="00961067"/>
    <w:rsid w:val="00961F5A"/>
    <w:rsid w:val="0096201A"/>
    <w:rsid w:val="00964D1C"/>
    <w:rsid w:val="009654DE"/>
    <w:rsid w:val="00967D98"/>
    <w:rsid w:val="00971AA7"/>
    <w:rsid w:val="00972555"/>
    <w:rsid w:val="009730FB"/>
    <w:rsid w:val="00975CF2"/>
    <w:rsid w:val="00991D85"/>
    <w:rsid w:val="00993633"/>
    <w:rsid w:val="00995323"/>
    <w:rsid w:val="00996008"/>
    <w:rsid w:val="009A2033"/>
    <w:rsid w:val="009A593D"/>
    <w:rsid w:val="009A5D67"/>
    <w:rsid w:val="009A6FF8"/>
    <w:rsid w:val="009A747F"/>
    <w:rsid w:val="009C157A"/>
    <w:rsid w:val="009C1CD4"/>
    <w:rsid w:val="009C5659"/>
    <w:rsid w:val="009C7EC1"/>
    <w:rsid w:val="009D2EAC"/>
    <w:rsid w:val="009D34C1"/>
    <w:rsid w:val="009E1C25"/>
    <w:rsid w:val="009E2922"/>
    <w:rsid w:val="009E2DAF"/>
    <w:rsid w:val="009F1208"/>
    <w:rsid w:val="009F21E8"/>
    <w:rsid w:val="009F2360"/>
    <w:rsid w:val="009F4949"/>
    <w:rsid w:val="009F66DE"/>
    <w:rsid w:val="009F6A70"/>
    <w:rsid w:val="009F7A61"/>
    <w:rsid w:val="00A040F1"/>
    <w:rsid w:val="00A04608"/>
    <w:rsid w:val="00A0759D"/>
    <w:rsid w:val="00A13329"/>
    <w:rsid w:val="00A1414F"/>
    <w:rsid w:val="00A15096"/>
    <w:rsid w:val="00A237BB"/>
    <w:rsid w:val="00A23A54"/>
    <w:rsid w:val="00A251AC"/>
    <w:rsid w:val="00A25B76"/>
    <w:rsid w:val="00A27E9C"/>
    <w:rsid w:val="00A32BA2"/>
    <w:rsid w:val="00A37D77"/>
    <w:rsid w:val="00A4386C"/>
    <w:rsid w:val="00A43950"/>
    <w:rsid w:val="00A45706"/>
    <w:rsid w:val="00A469BC"/>
    <w:rsid w:val="00A5099A"/>
    <w:rsid w:val="00A514DC"/>
    <w:rsid w:val="00A535EE"/>
    <w:rsid w:val="00A55D3C"/>
    <w:rsid w:val="00A562CF"/>
    <w:rsid w:val="00A5635A"/>
    <w:rsid w:val="00A6090B"/>
    <w:rsid w:val="00A6140B"/>
    <w:rsid w:val="00A62E2F"/>
    <w:rsid w:val="00A63D86"/>
    <w:rsid w:val="00A66799"/>
    <w:rsid w:val="00A70921"/>
    <w:rsid w:val="00A724F9"/>
    <w:rsid w:val="00A81721"/>
    <w:rsid w:val="00A827E1"/>
    <w:rsid w:val="00A86213"/>
    <w:rsid w:val="00A879FC"/>
    <w:rsid w:val="00A93890"/>
    <w:rsid w:val="00A941A3"/>
    <w:rsid w:val="00AA0778"/>
    <w:rsid w:val="00AA4620"/>
    <w:rsid w:val="00AA6171"/>
    <w:rsid w:val="00AA6734"/>
    <w:rsid w:val="00AA7E11"/>
    <w:rsid w:val="00AB160F"/>
    <w:rsid w:val="00AB1871"/>
    <w:rsid w:val="00AB212F"/>
    <w:rsid w:val="00AB3544"/>
    <w:rsid w:val="00AC0280"/>
    <w:rsid w:val="00AC66BE"/>
    <w:rsid w:val="00AC7475"/>
    <w:rsid w:val="00AD3F47"/>
    <w:rsid w:val="00AE002C"/>
    <w:rsid w:val="00AE31A3"/>
    <w:rsid w:val="00AF3E65"/>
    <w:rsid w:val="00AF64C8"/>
    <w:rsid w:val="00B13025"/>
    <w:rsid w:val="00B16C2E"/>
    <w:rsid w:val="00B20883"/>
    <w:rsid w:val="00B2372E"/>
    <w:rsid w:val="00B25888"/>
    <w:rsid w:val="00B2642E"/>
    <w:rsid w:val="00B3035C"/>
    <w:rsid w:val="00B30D86"/>
    <w:rsid w:val="00B359B7"/>
    <w:rsid w:val="00B36562"/>
    <w:rsid w:val="00B42B22"/>
    <w:rsid w:val="00B43CD9"/>
    <w:rsid w:val="00B441BB"/>
    <w:rsid w:val="00B44BB3"/>
    <w:rsid w:val="00B647D9"/>
    <w:rsid w:val="00B66C35"/>
    <w:rsid w:val="00B706B7"/>
    <w:rsid w:val="00B75306"/>
    <w:rsid w:val="00B80D3E"/>
    <w:rsid w:val="00B81444"/>
    <w:rsid w:val="00B81450"/>
    <w:rsid w:val="00B826C9"/>
    <w:rsid w:val="00B84111"/>
    <w:rsid w:val="00B84C6C"/>
    <w:rsid w:val="00B86E3D"/>
    <w:rsid w:val="00B90D30"/>
    <w:rsid w:val="00B91265"/>
    <w:rsid w:val="00BB489F"/>
    <w:rsid w:val="00BC07EF"/>
    <w:rsid w:val="00BC19EC"/>
    <w:rsid w:val="00BC64F5"/>
    <w:rsid w:val="00BD361C"/>
    <w:rsid w:val="00BD4CF3"/>
    <w:rsid w:val="00BD66E7"/>
    <w:rsid w:val="00BE3708"/>
    <w:rsid w:val="00BE6619"/>
    <w:rsid w:val="00BF0453"/>
    <w:rsid w:val="00BF6A60"/>
    <w:rsid w:val="00C008F2"/>
    <w:rsid w:val="00C02D6F"/>
    <w:rsid w:val="00C03B73"/>
    <w:rsid w:val="00C0705C"/>
    <w:rsid w:val="00C07272"/>
    <w:rsid w:val="00C07330"/>
    <w:rsid w:val="00C11E00"/>
    <w:rsid w:val="00C13B25"/>
    <w:rsid w:val="00C20C9C"/>
    <w:rsid w:val="00C22719"/>
    <w:rsid w:val="00C2786A"/>
    <w:rsid w:val="00C426F6"/>
    <w:rsid w:val="00C52E9C"/>
    <w:rsid w:val="00C5320A"/>
    <w:rsid w:val="00C549AF"/>
    <w:rsid w:val="00C602DE"/>
    <w:rsid w:val="00C627C5"/>
    <w:rsid w:val="00C63A5A"/>
    <w:rsid w:val="00C647FE"/>
    <w:rsid w:val="00C6662D"/>
    <w:rsid w:val="00C75815"/>
    <w:rsid w:val="00CA0BCC"/>
    <w:rsid w:val="00CA17A5"/>
    <w:rsid w:val="00CA3DEF"/>
    <w:rsid w:val="00CA434C"/>
    <w:rsid w:val="00CB4CB7"/>
    <w:rsid w:val="00CB776C"/>
    <w:rsid w:val="00CC1958"/>
    <w:rsid w:val="00CC2C3E"/>
    <w:rsid w:val="00CC4020"/>
    <w:rsid w:val="00CC6C99"/>
    <w:rsid w:val="00CC75B0"/>
    <w:rsid w:val="00CD1A0A"/>
    <w:rsid w:val="00CD4B0A"/>
    <w:rsid w:val="00CE2276"/>
    <w:rsid w:val="00CE516F"/>
    <w:rsid w:val="00CE58AA"/>
    <w:rsid w:val="00CF00A2"/>
    <w:rsid w:val="00CF09F8"/>
    <w:rsid w:val="00CF10B6"/>
    <w:rsid w:val="00CF1CC8"/>
    <w:rsid w:val="00CF29F9"/>
    <w:rsid w:val="00CF326E"/>
    <w:rsid w:val="00CF35B1"/>
    <w:rsid w:val="00CF5506"/>
    <w:rsid w:val="00D00F19"/>
    <w:rsid w:val="00D0183F"/>
    <w:rsid w:val="00D0260A"/>
    <w:rsid w:val="00D04ABB"/>
    <w:rsid w:val="00D14D08"/>
    <w:rsid w:val="00D15E25"/>
    <w:rsid w:val="00D33712"/>
    <w:rsid w:val="00D3770D"/>
    <w:rsid w:val="00D43BDE"/>
    <w:rsid w:val="00D45AFA"/>
    <w:rsid w:val="00D47B51"/>
    <w:rsid w:val="00D503E5"/>
    <w:rsid w:val="00D51D6D"/>
    <w:rsid w:val="00D54964"/>
    <w:rsid w:val="00D62A3C"/>
    <w:rsid w:val="00D63E84"/>
    <w:rsid w:val="00D71E92"/>
    <w:rsid w:val="00D72520"/>
    <w:rsid w:val="00D7283F"/>
    <w:rsid w:val="00D72CEB"/>
    <w:rsid w:val="00D74554"/>
    <w:rsid w:val="00D75B01"/>
    <w:rsid w:val="00D8193B"/>
    <w:rsid w:val="00D83D6E"/>
    <w:rsid w:val="00D84C0A"/>
    <w:rsid w:val="00D851E7"/>
    <w:rsid w:val="00D96643"/>
    <w:rsid w:val="00D97812"/>
    <w:rsid w:val="00DA10AC"/>
    <w:rsid w:val="00DA2858"/>
    <w:rsid w:val="00DB05AA"/>
    <w:rsid w:val="00DB124B"/>
    <w:rsid w:val="00DB5348"/>
    <w:rsid w:val="00DB541E"/>
    <w:rsid w:val="00DC0F79"/>
    <w:rsid w:val="00DC248A"/>
    <w:rsid w:val="00DC3684"/>
    <w:rsid w:val="00DC3EA5"/>
    <w:rsid w:val="00DC5B58"/>
    <w:rsid w:val="00DD4E94"/>
    <w:rsid w:val="00DD5315"/>
    <w:rsid w:val="00DF109E"/>
    <w:rsid w:val="00DF37F2"/>
    <w:rsid w:val="00DF7970"/>
    <w:rsid w:val="00E01A0B"/>
    <w:rsid w:val="00E0572A"/>
    <w:rsid w:val="00E142EA"/>
    <w:rsid w:val="00E15366"/>
    <w:rsid w:val="00E15BAE"/>
    <w:rsid w:val="00E16F14"/>
    <w:rsid w:val="00E23B96"/>
    <w:rsid w:val="00E27B80"/>
    <w:rsid w:val="00E322C5"/>
    <w:rsid w:val="00E36DD4"/>
    <w:rsid w:val="00E50A45"/>
    <w:rsid w:val="00E57F45"/>
    <w:rsid w:val="00E63250"/>
    <w:rsid w:val="00E63E4B"/>
    <w:rsid w:val="00E709FC"/>
    <w:rsid w:val="00E73FE6"/>
    <w:rsid w:val="00E75760"/>
    <w:rsid w:val="00E81D2C"/>
    <w:rsid w:val="00E91AEB"/>
    <w:rsid w:val="00E93A69"/>
    <w:rsid w:val="00E9700D"/>
    <w:rsid w:val="00EA18C5"/>
    <w:rsid w:val="00EA3781"/>
    <w:rsid w:val="00EA596B"/>
    <w:rsid w:val="00EA6950"/>
    <w:rsid w:val="00EA6AEF"/>
    <w:rsid w:val="00EA7E28"/>
    <w:rsid w:val="00EB044C"/>
    <w:rsid w:val="00EB158A"/>
    <w:rsid w:val="00EB230C"/>
    <w:rsid w:val="00EC1093"/>
    <w:rsid w:val="00EC1216"/>
    <w:rsid w:val="00EC21E8"/>
    <w:rsid w:val="00EC55ED"/>
    <w:rsid w:val="00EC7559"/>
    <w:rsid w:val="00ED02B7"/>
    <w:rsid w:val="00ED246F"/>
    <w:rsid w:val="00EE0495"/>
    <w:rsid w:val="00EE3174"/>
    <w:rsid w:val="00EF4BDA"/>
    <w:rsid w:val="00F07315"/>
    <w:rsid w:val="00F07E1C"/>
    <w:rsid w:val="00F1229D"/>
    <w:rsid w:val="00F123D5"/>
    <w:rsid w:val="00F14DA3"/>
    <w:rsid w:val="00F216EB"/>
    <w:rsid w:val="00F22E5E"/>
    <w:rsid w:val="00F233CD"/>
    <w:rsid w:val="00F251E6"/>
    <w:rsid w:val="00F26598"/>
    <w:rsid w:val="00F30B56"/>
    <w:rsid w:val="00F34E2E"/>
    <w:rsid w:val="00F4616F"/>
    <w:rsid w:val="00F51A96"/>
    <w:rsid w:val="00F653F3"/>
    <w:rsid w:val="00F7624C"/>
    <w:rsid w:val="00F765F2"/>
    <w:rsid w:val="00F77191"/>
    <w:rsid w:val="00F879A7"/>
    <w:rsid w:val="00F90761"/>
    <w:rsid w:val="00F91A6B"/>
    <w:rsid w:val="00F92577"/>
    <w:rsid w:val="00F9786F"/>
    <w:rsid w:val="00F97F32"/>
    <w:rsid w:val="00FB05AA"/>
    <w:rsid w:val="00FB2FCD"/>
    <w:rsid w:val="00FB3983"/>
    <w:rsid w:val="00FB3CA3"/>
    <w:rsid w:val="00FB7AAD"/>
    <w:rsid w:val="00FC6670"/>
    <w:rsid w:val="00FD1F6B"/>
    <w:rsid w:val="00FD3119"/>
    <w:rsid w:val="00FD464F"/>
    <w:rsid w:val="00FD5564"/>
    <w:rsid w:val="00FE56D7"/>
    <w:rsid w:val="00FF1580"/>
    <w:rsid w:val="00FF182D"/>
    <w:rsid w:val="00FF73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45CF879"/>
  <w15:docId w15:val="{443810CF-ABB7-4965-BF21-DBFE2A2E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72E"/>
    <w:rPr>
      <w:rFonts w:ascii="Arial" w:eastAsia="Calibri" w:hAnsi="Arial" w:cs="Times New Roman"/>
      <w:sz w:val="20"/>
    </w:rPr>
  </w:style>
  <w:style w:type="paragraph" w:styleId="Heading1">
    <w:name w:val="heading 1"/>
    <w:basedOn w:val="Normal"/>
    <w:next w:val="Normal"/>
    <w:link w:val="Heading1Char"/>
    <w:uiPriority w:val="9"/>
    <w:qFormat/>
    <w:rsid w:val="00B2372E"/>
    <w:pPr>
      <w:keepNext/>
      <w:keepLines/>
      <w:spacing w:after="0"/>
      <w:jc w:val="center"/>
      <w:outlineLvl w:val="0"/>
    </w:pPr>
    <w:rPr>
      <w:rFonts w:eastAsia="Times New Roman"/>
      <w:b/>
      <w:bCs/>
      <w:color w:val="0070C0"/>
      <w:sz w:val="28"/>
      <w:szCs w:val="28"/>
    </w:rPr>
  </w:style>
  <w:style w:type="paragraph" w:styleId="Heading2">
    <w:name w:val="heading 2"/>
    <w:basedOn w:val="Normal"/>
    <w:next w:val="Normal"/>
    <w:link w:val="Heading2Char"/>
    <w:qFormat/>
    <w:rsid w:val="00B2372E"/>
    <w:pPr>
      <w:keepNext/>
      <w:spacing w:after="0" w:line="240" w:lineRule="auto"/>
      <w:outlineLvl w:val="1"/>
    </w:pPr>
    <w:rPr>
      <w:rFonts w:eastAsia="Times New Roman"/>
      <w:b/>
      <w:bCs/>
      <w:color w:val="0070C0"/>
      <w:sz w:val="24"/>
      <w:szCs w:val="20"/>
      <w:lang w:val="en-US"/>
    </w:rPr>
  </w:style>
  <w:style w:type="paragraph" w:styleId="Heading3">
    <w:name w:val="heading 3"/>
    <w:basedOn w:val="Normal"/>
    <w:next w:val="Normal"/>
    <w:link w:val="Heading3Char"/>
    <w:uiPriority w:val="9"/>
    <w:unhideWhenUsed/>
    <w:qFormat/>
    <w:rsid w:val="00B2372E"/>
    <w:pPr>
      <w:keepNext/>
      <w:keepLines/>
      <w:spacing w:before="200" w:after="0"/>
      <w:outlineLvl w:val="2"/>
    </w:pPr>
    <w:rPr>
      <w:rFonts w:eastAsia="Times New Roman"/>
      <w:b/>
      <w:bCs/>
      <w:color w:val="0070C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72E"/>
    <w:rPr>
      <w:rFonts w:ascii="Arial" w:eastAsia="Times New Roman" w:hAnsi="Arial" w:cs="Times New Roman"/>
      <w:b/>
      <w:bCs/>
      <w:color w:val="0070C0"/>
      <w:sz w:val="28"/>
      <w:szCs w:val="28"/>
    </w:rPr>
  </w:style>
  <w:style w:type="character" w:customStyle="1" w:styleId="Heading2Char">
    <w:name w:val="Heading 2 Char"/>
    <w:basedOn w:val="DefaultParagraphFont"/>
    <w:link w:val="Heading2"/>
    <w:rsid w:val="00B2372E"/>
    <w:rPr>
      <w:rFonts w:ascii="Arial" w:eastAsia="Times New Roman" w:hAnsi="Arial" w:cs="Times New Roman"/>
      <w:b/>
      <w:bCs/>
      <w:color w:val="0070C0"/>
      <w:sz w:val="24"/>
      <w:szCs w:val="20"/>
      <w:lang w:val="en-US"/>
    </w:rPr>
  </w:style>
  <w:style w:type="character" w:customStyle="1" w:styleId="Heading3Char">
    <w:name w:val="Heading 3 Char"/>
    <w:basedOn w:val="DefaultParagraphFont"/>
    <w:link w:val="Heading3"/>
    <w:uiPriority w:val="9"/>
    <w:rsid w:val="00B2372E"/>
    <w:rPr>
      <w:rFonts w:ascii="Arial" w:eastAsia="Times New Roman" w:hAnsi="Arial" w:cs="Times New Roman"/>
      <w:b/>
      <w:bCs/>
      <w:color w:val="0070C0"/>
      <w:sz w:val="20"/>
      <w:szCs w:val="20"/>
    </w:rPr>
  </w:style>
  <w:style w:type="character" w:styleId="Hyperlink">
    <w:name w:val="Hyperlink"/>
    <w:uiPriority w:val="99"/>
    <w:rsid w:val="00B2372E"/>
    <w:rPr>
      <w:color w:val="0000FF"/>
      <w:u w:val="single"/>
    </w:rPr>
  </w:style>
  <w:style w:type="paragraph" w:styleId="ListParagraph">
    <w:name w:val="List Paragraph"/>
    <w:basedOn w:val="Normal"/>
    <w:uiPriority w:val="34"/>
    <w:qFormat/>
    <w:rsid w:val="00B2372E"/>
    <w:pPr>
      <w:ind w:left="720"/>
      <w:contextualSpacing/>
    </w:pPr>
  </w:style>
  <w:style w:type="paragraph" w:styleId="Header">
    <w:name w:val="header"/>
    <w:basedOn w:val="Normal"/>
    <w:link w:val="HeaderChar"/>
    <w:unhideWhenUsed/>
    <w:rsid w:val="00B237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372E"/>
    <w:rPr>
      <w:rFonts w:ascii="Arial" w:eastAsia="Calibri" w:hAnsi="Arial" w:cs="Times New Roman"/>
      <w:sz w:val="20"/>
    </w:rPr>
  </w:style>
  <w:style w:type="paragraph" w:styleId="Footer">
    <w:name w:val="footer"/>
    <w:basedOn w:val="Normal"/>
    <w:link w:val="FooterChar"/>
    <w:unhideWhenUsed/>
    <w:rsid w:val="00B2372E"/>
    <w:pPr>
      <w:tabs>
        <w:tab w:val="center" w:pos="4513"/>
        <w:tab w:val="right" w:pos="9026"/>
      </w:tabs>
      <w:spacing w:after="0" w:line="240" w:lineRule="auto"/>
    </w:pPr>
  </w:style>
  <w:style w:type="character" w:customStyle="1" w:styleId="FooterChar">
    <w:name w:val="Footer Char"/>
    <w:basedOn w:val="DefaultParagraphFont"/>
    <w:link w:val="Footer"/>
    <w:rsid w:val="00B2372E"/>
    <w:rPr>
      <w:rFonts w:ascii="Arial" w:eastAsia="Calibri" w:hAnsi="Arial" w:cs="Times New Roman"/>
      <w:sz w:val="20"/>
    </w:rPr>
  </w:style>
  <w:style w:type="paragraph" w:styleId="NoSpacing">
    <w:name w:val="No Spacing"/>
    <w:uiPriority w:val="1"/>
    <w:qFormat/>
    <w:rsid w:val="00B2372E"/>
    <w:pPr>
      <w:spacing w:after="0" w:line="240" w:lineRule="auto"/>
    </w:pPr>
    <w:rPr>
      <w:rFonts w:ascii="Arial" w:eastAsia="Calibri" w:hAnsi="Arial" w:cs="Times New Roman"/>
      <w:sz w:val="20"/>
    </w:rPr>
  </w:style>
  <w:style w:type="paragraph" w:styleId="BodyText">
    <w:name w:val="Body Text"/>
    <w:basedOn w:val="Normal"/>
    <w:link w:val="BodyTextChar"/>
    <w:rsid w:val="00B2372E"/>
    <w:pPr>
      <w:spacing w:after="0" w:line="240" w:lineRule="auto"/>
    </w:pPr>
    <w:rPr>
      <w:rFonts w:eastAsia="Times New Roman"/>
      <w:color w:val="000000"/>
      <w:szCs w:val="20"/>
      <w:lang w:val="en-AU"/>
    </w:rPr>
  </w:style>
  <w:style w:type="character" w:customStyle="1" w:styleId="BodyTextChar">
    <w:name w:val="Body Text Char"/>
    <w:basedOn w:val="DefaultParagraphFont"/>
    <w:link w:val="BodyText"/>
    <w:rsid w:val="00B2372E"/>
    <w:rPr>
      <w:rFonts w:ascii="Arial" w:eastAsia="Times New Roman" w:hAnsi="Arial" w:cs="Times New Roman"/>
      <w:color w:val="000000"/>
      <w:sz w:val="20"/>
      <w:szCs w:val="20"/>
      <w:lang w:val="en-AU"/>
    </w:rPr>
  </w:style>
  <w:style w:type="paragraph" w:styleId="BalloonText">
    <w:name w:val="Balloon Text"/>
    <w:basedOn w:val="Normal"/>
    <w:link w:val="BalloonTextChar"/>
    <w:uiPriority w:val="99"/>
    <w:semiHidden/>
    <w:unhideWhenUsed/>
    <w:rsid w:val="003A2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1B9"/>
    <w:rPr>
      <w:rFonts w:ascii="Tahoma" w:eastAsia="Calibri" w:hAnsi="Tahoma" w:cs="Tahoma"/>
      <w:sz w:val="16"/>
      <w:szCs w:val="16"/>
    </w:rPr>
  </w:style>
  <w:style w:type="paragraph" w:customStyle="1" w:styleId="Default">
    <w:name w:val="Default"/>
    <w:rsid w:val="00FB3CA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52F5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0">
    <w:name w:val="[Normal]"/>
    <w:rsid w:val="00CB776C"/>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72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FD464F"/>
  </w:style>
  <w:style w:type="character" w:styleId="FollowedHyperlink">
    <w:name w:val="FollowedHyperlink"/>
    <w:basedOn w:val="DefaultParagraphFont"/>
    <w:uiPriority w:val="99"/>
    <w:semiHidden/>
    <w:unhideWhenUsed/>
    <w:rsid w:val="005B56F6"/>
    <w:rPr>
      <w:color w:val="800080" w:themeColor="followedHyperlink"/>
      <w:u w:val="single"/>
    </w:rPr>
  </w:style>
  <w:style w:type="character" w:styleId="CommentReference">
    <w:name w:val="annotation reference"/>
    <w:basedOn w:val="DefaultParagraphFont"/>
    <w:uiPriority w:val="99"/>
    <w:semiHidden/>
    <w:unhideWhenUsed/>
    <w:rsid w:val="0065655F"/>
    <w:rPr>
      <w:sz w:val="16"/>
      <w:szCs w:val="16"/>
    </w:rPr>
  </w:style>
  <w:style w:type="paragraph" w:styleId="CommentText">
    <w:name w:val="annotation text"/>
    <w:basedOn w:val="Normal"/>
    <w:link w:val="CommentTextChar"/>
    <w:uiPriority w:val="99"/>
    <w:semiHidden/>
    <w:unhideWhenUsed/>
    <w:rsid w:val="0065655F"/>
    <w:pPr>
      <w:spacing w:line="240" w:lineRule="auto"/>
    </w:pPr>
    <w:rPr>
      <w:szCs w:val="20"/>
    </w:rPr>
  </w:style>
  <w:style w:type="character" w:customStyle="1" w:styleId="CommentTextChar">
    <w:name w:val="Comment Text Char"/>
    <w:basedOn w:val="DefaultParagraphFont"/>
    <w:link w:val="CommentText"/>
    <w:uiPriority w:val="99"/>
    <w:semiHidden/>
    <w:rsid w:val="0065655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5655F"/>
    <w:rPr>
      <w:b/>
      <w:bCs/>
    </w:rPr>
  </w:style>
  <w:style w:type="character" w:customStyle="1" w:styleId="CommentSubjectChar">
    <w:name w:val="Comment Subject Char"/>
    <w:basedOn w:val="CommentTextChar"/>
    <w:link w:val="CommentSubject"/>
    <w:uiPriority w:val="99"/>
    <w:semiHidden/>
    <w:rsid w:val="0065655F"/>
    <w:rPr>
      <w:rFonts w:ascii="Arial" w:eastAsia="Calibri" w:hAnsi="Arial" w:cs="Times New Roman"/>
      <w:b/>
      <w:bCs/>
      <w:sz w:val="20"/>
      <w:szCs w:val="20"/>
    </w:rPr>
  </w:style>
  <w:style w:type="character" w:customStyle="1" w:styleId="UnresolvedMention1">
    <w:name w:val="Unresolved Mention1"/>
    <w:basedOn w:val="DefaultParagraphFont"/>
    <w:uiPriority w:val="99"/>
    <w:semiHidden/>
    <w:unhideWhenUsed/>
    <w:rsid w:val="003773DE"/>
    <w:rPr>
      <w:color w:val="808080"/>
      <w:shd w:val="clear" w:color="auto" w:fill="E6E6E6"/>
    </w:rPr>
  </w:style>
  <w:style w:type="character" w:customStyle="1" w:styleId="apple-converted-space">
    <w:name w:val="apple-converted-space"/>
    <w:basedOn w:val="DefaultParagraphFont"/>
    <w:rsid w:val="00911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5144">
      <w:bodyDiv w:val="1"/>
      <w:marLeft w:val="0"/>
      <w:marRight w:val="0"/>
      <w:marTop w:val="0"/>
      <w:marBottom w:val="0"/>
      <w:divBdr>
        <w:top w:val="none" w:sz="0" w:space="0" w:color="auto"/>
        <w:left w:val="none" w:sz="0" w:space="0" w:color="auto"/>
        <w:bottom w:val="none" w:sz="0" w:space="0" w:color="auto"/>
        <w:right w:val="none" w:sz="0" w:space="0" w:color="auto"/>
      </w:divBdr>
      <w:divsChild>
        <w:div w:id="1082214562">
          <w:marLeft w:val="0"/>
          <w:marRight w:val="0"/>
          <w:marTop w:val="0"/>
          <w:marBottom w:val="0"/>
          <w:divBdr>
            <w:top w:val="none" w:sz="0" w:space="0" w:color="auto"/>
            <w:left w:val="none" w:sz="0" w:space="0" w:color="auto"/>
            <w:bottom w:val="none" w:sz="0" w:space="0" w:color="auto"/>
            <w:right w:val="none" w:sz="0" w:space="0" w:color="auto"/>
          </w:divBdr>
          <w:divsChild>
            <w:div w:id="732388176">
              <w:marLeft w:val="0"/>
              <w:marRight w:val="0"/>
              <w:marTop w:val="0"/>
              <w:marBottom w:val="0"/>
              <w:divBdr>
                <w:top w:val="none" w:sz="0" w:space="0" w:color="auto"/>
                <w:left w:val="none" w:sz="0" w:space="0" w:color="auto"/>
                <w:bottom w:val="none" w:sz="0" w:space="0" w:color="auto"/>
                <w:right w:val="none" w:sz="0" w:space="0" w:color="auto"/>
              </w:divBdr>
              <w:divsChild>
                <w:div w:id="117458413">
                  <w:marLeft w:val="0"/>
                  <w:marRight w:val="225"/>
                  <w:marTop w:val="225"/>
                  <w:marBottom w:val="225"/>
                  <w:divBdr>
                    <w:top w:val="none" w:sz="0" w:space="0" w:color="auto"/>
                    <w:left w:val="none" w:sz="0" w:space="0" w:color="auto"/>
                    <w:bottom w:val="none" w:sz="0" w:space="0" w:color="auto"/>
                    <w:right w:val="none" w:sz="0" w:space="0" w:color="auto"/>
                  </w:divBdr>
                  <w:divsChild>
                    <w:div w:id="603149248">
                      <w:marLeft w:val="0"/>
                      <w:marRight w:val="0"/>
                      <w:marTop w:val="0"/>
                      <w:marBottom w:val="0"/>
                      <w:divBdr>
                        <w:top w:val="none" w:sz="0" w:space="0" w:color="auto"/>
                        <w:left w:val="none" w:sz="0" w:space="0" w:color="auto"/>
                        <w:bottom w:val="none" w:sz="0" w:space="0" w:color="auto"/>
                        <w:right w:val="none" w:sz="0" w:space="0" w:color="auto"/>
                      </w:divBdr>
                      <w:divsChild>
                        <w:div w:id="6911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297337">
      <w:bodyDiv w:val="1"/>
      <w:marLeft w:val="0"/>
      <w:marRight w:val="0"/>
      <w:marTop w:val="0"/>
      <w:marBottom w:val="0"/>
      <w:divBdr>
        <w:top w:val="none" w:sz="0" w:space="0" w:color="auto"/>
        <w:left w:val="none" w:sz="0" w:space="0" w:color="auto"/>
        <w:bottom w:val="none" w:sz="0" w:space="0" w:color="auto"/>
        <w:right w:val="none" w:sz="0" w:space="0" w:color="auto"/>
      </w:divBdr>
      <w:divsChild>
        <w:div w:id="1179202807">
          <w:marLeft w:val="0"/>
          <w:marRight w:val="0"/>
          <w:marTop w:val="0"/>
          <w:marBottom w:val="0"/>
          <w:divBdr>
            <w:top w:val="none" w:sz="0" w:space="0" w:color="auto"/>
            <w:left w:val="none" w:sz="0" w:space="0" w:color="auto"/>
            <w:bottom w:val="none" w:sz="0" w:space="0" w:color="auto"/>
            <w:right w:val="none" w:sz="0" w:space="0" w:color="auto"/>
          </w:divBdr>
          <w:divsChild>
            <w:div w:id="915015746">
              <w:marLeft w:val="0"/>
              <w:marRight w:val="0"/>
              <w:marTop w:val="0"/>
              <w:marBottom w:val="0"/>
              <w:divBdr>
                <w:top w:val="none" w:sz="0" w:space="0" w:color="auto"/>
                <w:left w:val="none" w:sz="0" w:space="0" w:color="auto"/>
                <w:bottom w:val="none" w:sz="0" w:space="0" w:color="auto"/>
                <w:right w:val="none" w:sz="0" w:space="0" w:color="auto"/>
              </w:divBdr>
              <w:divsChild>
                <w:div w:id="1792017189">
                  <w:marLeft w:val="0"/>
                  <w:marRight w:val="0"/>
                  <w:marTop w:val="0"/>
                  <w:marBottom w:val="0"/>
                  <w:divBdr>
                    <w:top w:val="none" w:sz="0" w:space="0" w:color="auto"/>
                    <w:left w:val="none" w:sz="0" w:space="0" w:color="auto"/>
                    <w:bottom w:val="none" w:sz="0" w:space="0" w:color="auto"/>
                    <w:right w:val="none" w:sz="0" w:space="0" w:color="auto"/>
                  </w:divBdr>
                  <w:divsChild>
                    <w:div w:id="1338118551">
                      <w:marLeft w:val="0"/>
                      <w:marRight w:val="0"/>
                      <w:marTop w:val="0"/>
                      <w:marBottom w:val="0"/>
                      <w:divBdr>
                        <w:top w:val="none" w:sz="0" w:space="0" w:color="auto"/>
                        <w:left w:val="none" w:sz="0" w:space="0" w:color="auto"/>
                        <w:bottom w:val="none" w:sz="0" w:space="0" w:color="auto"/>
                        <w:right w:val="none" w:sz="0" w:space="0" w:color="auto"/>
                      </w:divBdr>
                      <w:divsChild>
                        <w:div w:id="1440950070">
                          <w:marLeft w:val="0"/>
                          <w:marRight w:val="0"/>
                          <w:marTop w:val="0"/>
                          <w:marBottom w:val="0"/>
                          <w:divBdr>
                            <w:top w:val="none" w:sz="0" w:space="0" w:color="auto"/>
                            <w:left w:val="none" w:sz="0" w:space="0" w:color="auto"/>
                            <w:bottom w:val="none" w:sz="0" w:space="0" w:color="auto"/>
                            <w:right w:val="none" w:sz="0" w:space="0" w:color="auto"/>
                          </w:divBdr>
                          <w:divsChild>
                            <w:div w:id="14378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941755">
      <w:bodyDiv w:val="1"/>
      <w:marLeft w:val="0"/>
      <w:marRight w:val="0"/>
      <w:marTop w:val="0"/>
      <w:marBottom w:val="0"/>
      <w:divBdr>
        <w:top w:val="none" w:sz="0" w:space="0" w:color="auto"/>
        <w:left w:val="none" w:sz="0" w:space="0" w:color="auto"/>
        <w:bottom w:val="none" w:sz="0" w:space="0" w:color="auto"/>
        <w:right w:val="none" w:sz="0" w:space="0" w:color="auto"/>
      </w:divBdr>
    </w:div>
    <w:div w:id="772745842">
      <w:bodyDiv w:val="1"/>
      <w:marLeft w:val="0"/>
      <w:marRight w:val="0"/>
      <w:marTop w:val="0"/>
      <w:marBottom w:val="0"/>
      <w:divBdr>
        <w:top w:val="none" w:sz="0" w:space="0" w:color="auto"/>
        <w:left w:val="none" w:sz="0" w:space="0" w:color="auto"/>
        <w:bottom w:val="none" w:sz="0" w:space="0" w:color="auto"/>
        <w:right w:val="none" w:sz="0" w:space="0" w:color="auto"/>
      </w:divBdr>
    </w:div>
    <w:div w:id="1198852205">
      <w:bodyDiv w:val="1"/>
      <w:marLeft w:val="0"/>
      <w:marRight w:val="0"/>
      <w:marTop w:val="0"/>
      <w:marBottom w:val="0"/>
      <w:divBdr>
        <w:top w:val="none" w:sz="0" w:space="0" w:color="auto"/>
        <w:left w:val="none" w:sz="0" w:space="0" w:color="auto"/>
        <w:bottom w:val="none" w:sz="0" w:space="0" w:color="auto"/>
        <w:right w:val="none" w:sz="0" w:space="0" w:color="auto"/>
      </w:divBdr>
    </w:div>
    <w:div w:id="1331639544">
      <w:bodyDiv w:val="1"/>
      <w:marLeft w:val="0"/>
      <w:marRight w:val="0"/>
      <w:marTop w:val="0"/>
      <w:marBottom w:val="0"/>
      <w:divBdr>
        <w:top w:val="none" w:sz="0" w:space="0" w:color="auto"/>
        <w:left w:val="none" w:sz="0" w:space="0" w:color="auto"/>
        <w:bottom w:val="none" w:sz="0" w:space="0" w:color="auto"/>
        <w:right w:val="none" w:sz="0" w:space="0" w:color="auto"/>
      </w:divBdr>
    </w:div>
    <w:div w:id="1334067157">
      <w:bodyDiv w:val="1"/>
      <w:marLeft w:val="0"/>
      <w:marRight w:val="0"/>
      <w:marTop w:val="0"/>
      <w:marBottom w:val="0"/>
      <w:divBdr>
        <w:top w:val="none" w:sz="0" w:space="0" w:color="auto"/>
        <w:left w:val="none" w:sz="0" w:space="0" w:color="auto"/>
        <w:bottom w:val="none" w:sz="0" w:space="0" w:color="auto"/>
        <w:right w:val="none" w:sz="0" w:space="0" w:color="auto"/>
      </w:divBdr>
    </w:div>
    <w:div w:id="1583642761">
      <w:bodyDiv w:val="1"/>
      <w:marLeft w:val="0"/>
      <w:marRight w:val="0"/>
      <w:marTop w:val="0"/>
      <w:marBottom w:val="0"/>
      <w:divBdr>
        <w:top w:val="none" w:sz="0" w:space="0" w:color="auto"/>
        <w:left w:val="none" w:sz="0" w:space="0" w:color="auto"/>
        <w:bottom w:val="none" w:sz="0" w:space="0" w:color="auto"/>
        <w:right w:val="none" w:sz="0" w:space="0" w:color="auto"/>
      </w:divBdr>
    </w:div>
    <w:div w:id="1943995539">
      <w:bodyDiv w:val="1"/>
      <w:marLeft w:val="0"/>
      <w:marRight w:val="0"/>
      <w:marTop w:val="0"/>
      <w:marBottom w:val="0"/>
      <w:divBdr>
        <w:top w:val="none" w:sz="0" w:space="0" w:color="auto"/>
        <w:left w:val="none" w:sz="0" w:space="0" w:color="auto"/>
        <w:bottom w:val="none" w:sz="0" w:space="0" w:color="auto"/>
        <w:right w:val="none" w:sz="0" w:space="0" w:color="auto"/>
      </w:divBdr>
    </w:div>
    <w:div w:id="20201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mi.nhs.uk/ukmi/about/default.asp?pageRef=1" TargetMode="External"/><Relationship Id="rId13" Type="http://schemas.openxmlformats.org/officeDocument/2006/relationships/hyperlink" Target="https://www.sps.nhs.uk/articles/cannabis-based-medicinal-products-potential-drug-interactions/" TargetMode="External"/><Relationship Id="rId18" Type="http://schemas.openxmlformats.org/officeDocument/2006/relationships/hyperlink" Target="https://naturalmedicines.therapeuticresearch.com" TargetMode="External"/><Relationship Id="rId26" Type="http://schemas.openxmlformats.org/officeDocument/2006/relationships/hyperlink" Target="https://www.ema.europa.eu/en/documents/assessment-report/epidyolex-epar-public-assessment-report_en.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ood.gov.uk/print/pdf/node/372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ngland.nhs.uk/medicines/support-for-prescribers/cannabis-based-products-for-medicinal-use/" TargetMode="External"/><Relationship Id="rId17" Type="http://schemas.openxmlformats.org/officeDocument/2006/relationships/hyperlink" Target="https://www.ncbi.nlm.nih.gov/pmc/articles/PMC5315552/" TargetMode="External"/><Relationship Id="rId25" Type="http://schemas.openxmlformats.org/officeDocument/2006/relationships/hyperlink" Target="https://www.medicines.org.uk/emc/product/1078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825872/factsheet-cannabis-cbd-and-cannabinoids-2019.pdf" TargetMode="External"/><Relationship Id="rId20" Type="http://schemas.openxmlformats.org/officeDocument/2006/relationships/hyperlink" Target="https://www.hollandandbarrett.com/shop/vitamins-supplements/homeopathic-flower-remedies/cbd/" TargetMode="External"/><Relationship Id="rId29" Type="http://schemas.openxmlformats.org/officeDocument/2006/relationships/hyperlink" Target="https://www.ncbi.nlm.nih.gov/pubmed/37933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medical-cannabis/" TargetMode="External"/><Relationship Id="rId24" Type="http://schemas.openxmlformats.org/officeDocument/2006/relationships/hyperlink" Target="https://clinicaltrials.gov/ct2/show/NCT0222470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ps.nhs.uk/articles/cannabis-based-medicinal-products-potential-drug-interactions/" TargetMode="External"/><Relationship Id="rId23" Type="http://schemas.openxmlformats.org/officeDocument/2006/relationships/hyperlink" Target="https://doi.org/10.12688/f1000research.16515.1" TargetMode="External"/><Relationship Id="rId28" Type="http://schemas.openxmlformats.org/officeDocument/2006/relationships/hyperlink" Target="https://www.ncbi.nlm.nih.gov/pubmed/?term=Sandyk%20R%5BAuthor%5D&amp;cauthor=true&amp;cauthor_uid=3793381" TargetMode="External"/><Relationship Id="rId36" Type="http://schemas.openxmlformats.org/officeDocument/2006/relationships/header" Target="header3.xml"/><Relationship Id="rId10" Type="http://schemas.openxmlformats.org/officeDocument/2006/relationships/hyperlink" Target="https://www.gov.uk/government/publications/cannabis-based-products-for-medicinal-use" TargetMode="External"/><Relationship Id="rId19" Type="http://schemas.openxmlformats.org/officeDocument/2006/relationships/hyperlink" Target="https://www.nice.org.uk/guidance/ng144/chapter/Context" TargetMode="External"/><Relationship Id="rId31" Type="http://schemas.openxmlformats.org/officeDocument/2006/relationships/hyperlink" Target="https://www.who.int/medicines/regulation/medicines-safety/M_SBN_Jun18.pdf?ua=1" TargetMode="External"/><Relationship Id="rId4" Type="http://schemas.openxmlformats.org/officeDocument/2006/relationships/settings" Target="settings.xml"/><Relationship Id="rId9" Type="http://schemas.openxmlformats.org/officeDocument/2006/relationships/hyperlink" Target="https://www.sps.nhs.uk/articles/about-ukmi-medicines-qas/" TargetMode="External"/><Relationship Id="rId14" Type="http://schemas.openxmlformats.org/officeDocument/2006/relationships/hyperlink" Target="http://www.mhra.gov.uk/yellowcard" TargetMode="External"/><Relationship Id="rId22" Type="http://schemas.openxmlformats.org/officeDocument/2006/relationships/hyperlink" Target="https://www.epidiolex.com/sites/default/files/EPIDIOLEX_Full_Prescribing_Information.pdf" TargetMode="External"/><Relationship Id="rId27" Type="http://schemas.openxmlformats.org/officeDocument/2006/relationships/hyperlink" Target="https://www.ncbi.nlm.nih.gov/pubmed/?term=Consroe%20P%5BAuthor%5D&amp;cauthor=true&amp;cauthor_uid=3793381" TargetMode="External"/><Relationship Id="rId30" Type="http://schemas.openxmlformats.org/officeDocument/2006/relationships/hyperlink" Target="https://www.npa.co.uk/information-and-guidance/cannabis-based-products-for-medicinal-use-cbpm-and-cannabidiol-cbd-products/"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ps.nhs.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BE2F9CA-20B4-4058-8FC1-CD9ECD84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4255</Words>
  <Characters>24257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Mckie, Joshua</dc:creator>
  <cp:keywords/>
  <dc:description/>
  <cp:lastModifiedBy>Ezmerelda White</cp:lastModifiedBy>
  <cp:revision>2</cp:revision>
  <cp:lastPrinted>2019-12-02T11:13:00Z</cp:lastPrinted>
  <dcterms:created xsi:type="dcterms:W3CDTF">2022-07-01T09:46:00Z</dcterms:created>
  <dcterms:modified xsi:type="dcterms:W3CDTF">2022-07-01T09:46:00Z</dcterms:modified>
</cp:coreProperties>
</file>