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D9C9" w14:textId="77777777" w:rsidR="005D40BD" w:rsidRPr="007F4275" w:rsidRDefault="00987B5C" w:rsidP="005D40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Zopiclone</w:t>
      </w:r>
      <w:r w:rsidR="005D40BD" w:rsidRPr="007F427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suggested tapering regime</w:t>
      </w:r>
      <w:r w:rsidR="005D40BD" w:rsidRPr="007F427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72A6659" w14:textId="77777777" w:rsidR="005D40BD" w:rsidRPr="007F4275" w:rsidRDefault="005D40BD" w:rsidP="005D40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37501D" w14:textId="77777777" w:rsidR="00423281" w:rsidRPr="007F4275" w:rsidRDefault="00423281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7410E6" w14:textId="43831A34" w:rsidR="00987B5C" w:rsidRPr="007F4275" w:rsidRDefault="00987B5C" w:rsidP="00987B5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>Zopiclone</w:t>
      </w:r>
      <w:r w:rsidR="005D40BD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>a hypnotic</w:t>
      </w:r>
      <w:r w:rsidR="005D40BD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licenced in the UK for 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insomnia (short-term use) at a maximal dose in adults of 7.5mg at bedtime for no more than 4 weeks.  In </w:t>
      </w:r>
      <w:r w:rsidR="00715D9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>elderly, it is licenced for a lower dose of 3.75mg at bedtime for no more than 4 weeks, increased if necessary to 7.5mg at bedtime.</w:t>
      </w:r>
      <w:r w:rsidRPr="007F427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DAB6C7B" w14:textId="77777777" w:rsidR="00987B5C" w:rsidRPr="007F4275" w:rsidRDefault="00987B5C" w:rsidP="00393B0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9C0882" w14:textId="4EB1A47E" w:rsidR="00393B01" w:rsidRPr="007F4275" w:rsidRDefault="00987B5C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Zopiclone increases the activity of </w:t>
      </w:r>
      <w:r w:rsidR="00E3181C">
        <w:rPr>
          <w:rFonts w:ascii="Arial" w:eastAsia="Times New Roman" w:hAnsi="Arial" w:cs="Arial"/>
          <w:sz w:val="24"/>
          <w:szCs w:val="24"/>
          <w:lang w:eastAsia="en-GB"/>
        </w:rPr>
        <w:t>gamma-aminobutyric acid (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>GABA</w:t>
      </w:r>
      <w:r w:rsidR="00E3181C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, an inhibitory neurotransmitter. GABA is therefore essentially a natural sedative; Zopiclone enhances this effect.  GABA also suppresses excitatory neurotransmitters including dopamine, serotonin, noradrenaline and acetylcholine.  </w:t>
      </w:r>
      <w:r w:rsidR="004275B3">
        <w:rPr>
          <w:rFonts w:ascii="Arial" w:eastAsia="Times New Roman" w:hAnsi="Arial" w:cs="Arial"/>
          <w:sz w:val="24"/>
          <w:szCs w:val="24"/>
          <w:lang w:eastAsia="en-GB"/>
        </w:rPr>
        <w:t>Z</w:t>
      </w:r>
      <w:r w:rsidR="004275B3" w:rsidRPr="004275B3">
        <w:rPr>
          <w:rFonts w:ascii="Arial" w:eastAsia="Times New Roman" w:hAnsi="Arial" w:cs="Arial"/>
          <w:sz w:val="24"/>
          <w:szCs w:val="24"/>
          <w:lang w:eastAsia="en-GB"/>
        </w:rPr>
        <w:t>opiclone act</w:t>
      </w:r>
      <w:r w:rsidR="004275B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275B3" w:rsidRPr="004275B3">
        <w:rPr>
          <w:rFonts w:ascii="Arial" w:eastAsia="Times New Roman" w:hAnsi="Arial" w:cs="Arial"/>
          <w:sz w:val="24"/>
          <w:szCs w:val="24"/>
          <w:lang w:eastAsia="en-GB"/>
        </w:rPr>
        <w:t xml:space="preserve"> on a different site</w:t>
      </w:r>
      <w:r w:rsidR="004275B3">
        <w:rPr>
          <w:rFonts w:ascii="Arial" w:eastAsia="Times New Roman" w:hAnsi="Arial" w:cs="Arial"/>
          <w:sz w:val="24"/>
          <w:szCs w:val="24"/>
          <w:lang w:eastAsia="en-GB"/>
        </w:rPr>
        <w:t xml:space="preserve"> at the GABA (macromolecular receptor complex)</w:t>
      </w:r>
      <w:r w:rsidR="004275B3" w:rsidRPr="004275B3">
        <w:rPr>
          <w:rFonts w:ascii="Arial" w:eastAsia="Times New Roman" w:hAnsi="Arial" w:cs="Arial"/>
          <w:sz w:val="24"/>
          <w:szCs w:val="24"/>
          <w:lang w:eastAsia="en-GB"/>
        </w:rPr>
        <w:t xml:space="preserve"> to those of benzodiazepines including different conformational changes in the receptor complex</w:t>
      </w:r>
      <w:r w:rsidR="004275B3">
        <w:rPr>
          <w:rFonts w:ascii="Arial" w:eastAsia="Times New Roman" w:hAnsi="Arial" w:cs="Arial"/>
          <w:sz w:val="24"/>
          <w:szCs w:val="24"/>
          <w:lang w:eastAsia="en-GB"/>
        </w:rPr>
        <w:t xml:space="preserve"> acting as an agonist.  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>Consequently, use of Zopiclone has wide reaching effects, leading to a wide array of withdrawal symptoms on stopping (both physical and psychological), especially when taken beyond 4 weeks.</w:t>
      </w:r>
    </w:p>
    <w:p w14:paraId="02EB378F" w14:textId="77777777" w:rsidR="00987B5C" w:rsidRPr="007F4275" w:rsidRDefault="00987B5C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08E041" w14:textId="77777777" w:rsidR="005D40BD" w:rsidRPr="007F4275" w:rsidRDefault="00987B5C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Where Zopiclone has been used off licence for more than 4 weeks there should be a tapering of the dose to reduce the risk of withdrawal effects.  This may take weeks or months.  </w:t>
      </w:r>
    </w:p>
    <w:p w14:paraId="6A05A809" w14:textId="77777777" w:rsidR="00705D35" w:rsidRPr="007F4275" w:rsidRDefault="00705D35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4FAE72" w14:textId="77777777" w:rsidR="007F4275" w:rsidRPr="007F4275" w:rsidRDefault="00705D35" w:rsidP="005D40B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Withdrawal syndrome has been reported upon discontinuation of zopiclone</w:t>
      </w:r>
      <w:r w:rsidR="002C5EE1"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35C2111C" w14:textId="77777777" w:rsidR="007F4275" w:rsidRPr="007F4275" w:rsidRDefault="00705D35" w:rsidP="005D40B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Withdrawal symptoms vary and may include rebound insomnia, muscle pain, anxiety, tremor, sweating, agitation, confusion, headache, palpitations, tachycardia, delirium, nightmares, hallucinations, panic attacks, muscle aches/cramps, gastrointestinal </w:t>
      </w:r>
      <w:r w:rsidR="007F4275"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>disturbances,</w:t>
      </w: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irritability. </w:t>
      </w:r>
    </w:p>
    <w:p w14:paraId="5A39BBE3" w14:textId="77777777" w:rsidR="007F4275" w:rsidRPr="007F4275" w:rsidRDefault="007F4275" w:rsidP="005D40B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CCC964" w14:textId="77777777" w:rsidR="00705D35" w:rsidRPr="007F4275" w:rsidRDefault="00705D35" w:rsidP="005D40B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>In severe cases the following symptoms may occur: derealisation, depersonalisation, hyperacusis, numbness and tingling of the extremities, hypersensitivity to light, noise and physical contact, hallucinations. In very rare cases, seizures may occur.</w:t>
      </w:r>
    </w:p>
    <w:p w14:paraId="41C8F396" w14:textId="77777777" w:rsidR="002C5EE1" w:rsidRPr="007F4275" w:rsidRDefault="002C5EE1" w:rsidP="005D40BD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E53960" w14:textId="77777777" w:rsidR="00F165EA" w:rsidRPr="00B47A22" w:rsidRDefault="002C5EE1" w:rsidP="005D40BD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Particular care should be exercised </w:t>
      </w:r>
      <w:r w:rsidR="00E318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when considering reducing Zopiclone </w:t>
      </w:r>
      <w:r w:rsidRPr="007F4275">
        <w:rPr>
          <w:rFonts w:ascii="Arial" w:hAnsi="Arial" w:cs="Arial"/>
          <w:color w:val="000000"/>
          <w:sz w:val="24"/>
          <w:szCs w:val="24"/>
          <w:shd w:val="clear" w:color="auto" w:fill="FFFFFF"/>
        </w:rPr>
        <w:t>in patients with a low seizure threshold.</w:t>
      </w:r>
      <w:r w:rsidR="00F165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65EA" w:rsidRPr="00F165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165EA" w:rsidRPr="00B47A22">
        <w:rPr>
          <w:rFonts w:ascii="Arial" w:hAnsi="Arial" w:cs="Arial"/>
          <w:sz w:val="24"/>
          <w:szCs w:val="24"/>
          <w:shd w:val="clear" w:color="auto" w:fill="FFFFFF"/>
        </w:rPr>
        <w:t>In such circumstances:</w:t>
      </w:r>
      <w:r w:rsidR="00E3181C" w:rsidRPr="00E318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E79432D" w14:textId="77777777" w:rsidR="00F165EA" w:rsidRPr="00B47A22" w:rsidRDefault="00F165EA" w:rsidP="00F165E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7A22">
        <w:rPr>
          <w:rFonts w:ascii="Arial" w:hAnsi="Arial" w:cs="Arial"/>
          <w:sz w:val="24"/>
          <w:szCs w:val="24"/>
          <w:shd w:val="clear" w:color="auto" w:fill="FFFFFF"/>
        </w:rPr>
        <w:t>always discuss with specialist teams prior to any reduction</w:t>
      </w:r>
    </w:p>
    <w:p w14:paraId="3F0FA97D" w14:textId="77777777" w:rsidR="00F165EA" w:rsidRPr="00B47A22" w:rsidRDefault="00F165EA" w:rsidP="00F165E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7A22">
        <w:rPr>
          <w:rFonts w:ascii="Arial" w:hAnsi="Arial" w:cs="Arial"/>
          <w:sz w:val="24"/>
          <w:szCs w:val="24"/>
          <w:shd w:val="clear" w:color="auto" w:fill="FFFFFF"/>
        </w:rPr>
        <w:t>reduction regimes will usually need to occur over longer periods</w:t>
      </w:r>
    </w:p>
    <w:p w14:paraId="349A1C38" w14:textId="77777777" w:rsidR="002C5EE1" w:rsidRPr="00B47A22" w:rsidRDefault="00F165EA" w:rsidP="00F165E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7A22">
        <w:rPr>
          <w:rFonts w:ascii="Arial" w:hAnsi="Arial" w:cs="Arial"/>
          <w:sz w:val="24"/>
          <w:szCs w:val="24"/>
          <w:shd w:val="clear" w:color="auto" w:fill="FFFFFF"/>
        </w:rPr>
        <w:t>reduction regimes will usually be specific to each patient</w:t>
      </w:r>
    </w:p>
    <w:p w14:paraId="72A3D3EC" w14:textId="77777777" w:rsidR="00987B5C" w:rsidRPr="007F4275" w:rsidRDefault="00987B5C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DFDFEB" w14:textId="44769244" w:rsidR="00857894" w:rsidRDefault="005D40BD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>Dose changes should be individualised to the person.  There are no recommendations as to the speed of reduction.  A suggested regime for a patient who</w:t>
      </w:r>
      <w:r w:rsidR="00987B5C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>is already taking </w:t>
      </w:r>
      <w:r w:rsidR="00987B5C"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>zopiclon</w:t>
      </w:r>
      <w:r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e </w:t>
      </w:r>
      <w:r w:rsidR="00987B5C" w:rsidRPr="007F4275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15mg daily </w:t>
      </w:r>
      <w:r w:rsidR="00987B5C" w:rsidRPr="007F4275">
        <w:rPr>
          <w:rFonts w:ascii="Arial" w:eastAsia="Times New Roman" w:hAnsi="Arial" w:cs="Arial"/>
          <w:sz w:val="24"/>
          <w:szCs w:val="24"/>
          <w:lang w:eastAsia="en-GB"/>
        </w:rPr>
        <w:t>(off licence)</w:t>
      </w:r>
      <w:r w:rsidR="00E3181C">
        <w:rPr>
          <w:rFonts w:ascii="Arial" w:eastAsia="Times New Roman" w:hAnsi="Arial" w:cs="Arial"/>
          <w:sz w:val="24"/>
          <w:szCs w:val="24"/>
          <w:lang w:eastAsia="en-GB"/>
        </w:rPr>
        <w:t xml:space="preserve"> is included below.  </w:t>
      </w:r>
      <w:r w:rsidR="00857894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If the patient is taking a lower dose than </w:t>
      </w:r>
      <w:r w:rsidR="00987B5C" w:rsidRPr="007F4275">
        <w:rPr>
          <w:rFonts w:ascii="Arial" w:eastAsia="Times New Roman" w:hAnsi="Arial" w:cs="Arial"/>
          <w:sz w:val="24"/>
          <w:szCs w:val="24"/>
          <w:lang w:eastAsia="en-GB"/>
        </w:rPr>
        <w:t>15</w:t>
      </w:r>
      <w:r w:rsidR="00857894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mg </w:t>
      </w:r>
      <w:r w:rsidR="00987B5C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once </w:t>
      </w:r>
      <w:r w:rsidR="00A311F2" w:rsidRPr="007F4275">
        <w:rPr>
          <w:rFonts w:ascii="Arial" w:eastAsia="Times New Roman" w:hAnsi="Arial" w:cs="Arial"/>
          <w:sz w:val="24"/>
          <w:szCs w:val="24"/>
          <w:lang w:eastAsia="en-GB"/>
        </w:rPr>
        <w:t>daily then</w:t>
      </w:r>
      <w:r w:rsidR="00857894"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start the process further down the table and follow the suggested tapering guidance</w:t>
      </w:r>
      <w:r w:rsidR="00E3181C"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  <w:t>.</w:t>
      </w:r>
    </w:p>
    <w:p w14:paraId="13D617B1" w14:textId="1757A4BD" w:rsidR="000B685F" w:rsidRDefault="000B685F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</w:p>
    <w:p w14:paraId="1857AC6C" w14:textId="767E62D4" w:rsidR="000B685F" w:rsidRDefault="000B685F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</w:p>
    <w:p w14:paraId="69A256AD" w14:textId="74A15D8E" w:rsidR="000B685F" w:rsidRDefault="000B685F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</w:p>
    <w:p w14:paraId="6D8F0805" w14:textId="77777777" w:rsidR="0068443F" w:rsidRDefault="0068443F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</w:p>
    <w:p w14:paraId="2E0D602E" w14:textId="522F8A78" w:rsidR="000B685F" w:rsidRDefault="000B685F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</w:p>
    <w:p w14:paraId="04DFFB8F" w14:textId="77777777" w:rsidR="000B685F" w:rsidRPr="007F4275" w:rsidRDefault="000B685F" w:rsidP="00857894">
      <w:pPr>
        <w:spacing w:after="0" w:line="24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en-GB"/>
        </w:rPr>
      </w:pPr>
    </w:p>
    <w:p w14:paraId="0D0B940D" w14:textId="77777777" w:rsidR="005D40BD" w:rsidRPr="007F4275" w:rsidRDefault="005D40BD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7DBF95" w14:textId="77777777" w:rsidR="005D40BD" w:rsidRPr="007F4275" w:rsidRDefault="005D40BD" w:rsidP="005D40B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Before starting: </w:t>
      </w:r>
    </w:p>
    <w:p w14:paraId="61E62DEC" w14:textId="77777777" w:rsidR="005D40BD" w:rsidRPr="007F4275" w:rsidRDefault="005D40BD" w:rsidP="005D40BD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>Where possible, ensure any reduction is discussed and agreed with the patient. </w:t>
      </w:r>
    </w:p>
    <w:p w14:paraId="11002EA3" w14:textId="77777777" w:rsidR="00C705E6" w:rsidRPr="007F4275" w:rsidRDefault="005D40BD" w:rsidP="005D40BD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Agree the speed of dose reduction with the patient. </w:t>
      </w:r>
      <w:r w:rsidR="00C705E6" w:rsidRPr="007F4275">
        <w:rPr>
          <w:rFonts w:ascii="Arial" w:eastAsia="Times New Roman" w:hAnsi="Arial" w:cs="Arial"/>
          <w:sz w:val="24"/>
          <w:szCs w:val="24"/>
          <w:lang w:eastAsia="en-GB"/>
        </w:rPr>
        <w:t>Some patients may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 want to reduce quickly with a view to stopping over one month, but this </w:t>
      </w:r>
      <w:r w:rsidR="00C705E6" w:rsidRPr="007F4275">
        <w:rPr>
          <w:rFonts w:ascii="Arial" w:eastAsia="Times New Roman" w:hAnsi="Arial" w:cs="Arial"/>
          <w:sz w:val="24"/>
          <w:szCs w:val="24"/>
          <w:lang w:eastAsia="en-GB"/>
        </w:rPr>
        <w:t>is too fast for most patients</w:t>
      </w:r>
      <w:r w:rsidRPr="007F427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7A4FF86" w14:textId="12EDB648" w:rsidR="00651BD1" w:rsidRPr="007F4275" w:rsidRDefault="000B685F" w:rsidP="00E2412C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Typically,</w:t>
      </w:r>
      <w:r w:rsidR="00C705E6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one change per week is recommended.</w:t>
      </w:r>
      <w:r w:rsidR="005D40BD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  <w:r w:rsidR="00987B5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Faster than this could lead to physical withdrawal symptoms.  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Some patients will need space to acclimatise to the new dose so the dose changes may be every one to two weeks.</w:t>
      </w:r>
      <w:r w:rsidR="00857894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Inform the patient that reduction can be slowed but not reversed.</w:t>
      </w:r>
      <w:r w:rsidR="00E2412C" w:rsidRPr="007F4275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14:paraId="22475206" w14:textId="77777777" w:rsidR="00987B5C" w:rsidRPr="007F4275" w:rsidRDefault="00987B5C" w:rsidP="00651BD1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Zopiclone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tablets are available as </w:t>
      </w:r>
      <w:r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3.75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mg </w:t>
      </w:r>
      <w:r w:rsidR="0027524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7.5mg </w:t>
      </w:r>
      <w:r w:rsidR="00E2412C" w:rsidRPr="007F4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tablets. </w:t>
      </w:r>
    </w:p>
    <w:p w14:paraId="0E27B00A" w14:textId="77777777" w:rsidR="00987B5C" w:rsidRPr="007F4275" w:rsidRDefault="00987B5C" w:rsidP="00987B5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89F8C30" w14:textId="1BB17BB2" w:rsidR="00987B5C" w:rsidRPr="007F4275" w:rsidRDefault="00FA76B7" w:rsidP="00987B5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reduction withdrawal schedule is flexible and should be individualised to each patient, some </w:t>
      </w:r>
      <w:r w:rsidR="00715D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patients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may need only 1-2 weeks per change, but others may need longer.</w:t>
      </w:r>
    </w:p>
    <w:p w14:paraId="60061E4C" w14:textId="77777777" w:rsidR="00FE17BD" w:rsidRPr="007F4275" w:rsidRDefault="00FE17BD" w:rsidP="00987B5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607510" w:rsidRPr="007F4275" w14:paraId="3ECFAE18" w14:textId="77777777" w:rsidTr="0036133D">
        <w:tc>
          <w:tcPr>
            <w:tcW w:w="9016" w:type="dxa"/>
            <w:gridSpan w:val="4"/>
          </w:tcPr>
          <w:p w14:paraId="5AD6305A" w14:textId="77777777" w:rsidR="00607510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Starting total dose of 15mg Zopiclone at night</w:t>
            </w:r>
          </w:p>
          <w:p w14:paraId="0D4B7164" w14:textId="77777777" w:rsidR="00607510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Reduce no faster than 1 change per week</w:t>
            </w:r>
          </w:p>
          <w:p w14:paraId="44EAFD9C" w14:textId="77777777" w:rsidR="00117398" w:rsidRPr="007F4275" w:rsidRDefault="00117398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890BAAF" w14:textId="77777777" w:rsidR="00607510" w:rsidRPr="007F4275" w:rsidRDefault="00117398" w:rsidP="00BE61C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Start lower down the table if a patient is</w:t>
            </w:r>
            <w:r w:rsidR="00BE61C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taking a lower dose than 15mg at night</w:t>
            </w: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</w:tr>
      <w:tr w:rsidR="00FE17BD" w:rsidRPr="007F4275" w14:paraId="599B699A" w14:textId="77777777" w:rsidTr="00607510">
        <w:tc>
          <w:tcPr>
            <w:tcW w:w="2405" w:type="dxa"/>
          </w:tcPr>
          <w:p w14:paraId="1FE7A217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Stage</w:t>
            </w:r>
          </w:p>
        </w:tc>
        <w:tc>
          <w:tcPr>
            <w:tcW w:w="2103" w:type="dxa"/>
          </w:tcPr>
          <w:p w14:paraId="29AD83FA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Dose (at night)</w:t>
            </w:r>
          </w:p>
        </w:tc>
        <w:tc>
          <w:tcPr>
            <w:tcW w:w="2254" w:type="dxa"/>
          </w:tcPr>
          <w:p w14:paraId="0D0C55CE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Number of tablets per day</w:t>
            </w:r>
          </w:p>
        </w:tc>
        <w:tc>
          <w:tcPr>
            <w:tcW w:w="2254" w:type="dxa"/>
          </w:tcPr>
          <w:p w14:paraId="73D33814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Number of tablets per week</w:t>
            </w:r>
          </w:p>
        </w:tc>
      </w:tr>
      <w:tr w:rsidR="00FE17BD" w:rsidRPr="007F4275" w14:paraId="49124798" w14:textId="77777777" w:rsidTr="00607510">
        <w:tc>
          <w:tcPr>
            <w:tcW w:w="2405" w:type="dxa"/>
          </w:tcPr>
          <w:p w14:paraId="5EB8FD2D" w14:textId="77777777" w:rsidR="00BD25F2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Change 1 </w:t>
            </w:r>
          </w:p>
          <w:p w14:paraId="68A3BD5A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(1-2 weeks)</w:t>
            </w:r>
          </w:p>
        </w:tc>
        <w:tc>
          <w:tcPr>
            <w:tcW w:w="2103" w:type="dxa"/>
          </w:tcPr>
          <w:p w14:paraId="12414EEB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11.25mg</w:t>
            </w:r>
          </w:p>
        </w:tc>
        <w:tc>
          <w:tcPr>
            <w:tcW w:w="2254" w:type="dxa"/>
          </w:tcPr>
          <w:p w14:paraId="696C2372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3 x 3.75mg tablets</w:t>
            </w:r>
          </w:p>
        </w:tc>
        <w:tc>
          <w:tcPr>
            <w:tcW w:w="2254" w:type="dxa"/>
          </w:tcPr>
          <w:p w14:paraId="7B568215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21</w:t>
            </w:r>
          </w:p>
        </w:tc>
      </w:tr>
      <w:tr w:rsidR="00FE17BD" w:rsidRPr="007F4275" w14:paraId="5B59BF50" w14:textId="77777777" w:rsidTr="00607510">
        <w:tc>
          <w:tcPr>
            <w:tcW w:w="2405" w:type="dxa"/>
          </w:tcPr>
          <w:p w14:paraId="6361F990" w14:textId="77777777" w:rsidR="00BD25F2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Change 2 </w:t>
            </w:r>
          </w:p>
          <w:p w14:paraId="0E9CEDE7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(1-2 weeks)</w:t>
            </w:r>
          </w:p>
        </w:tc>
        <w:tc>
          <w:tcPr>
            <w:tcW w:w="2103" w:type="dxa"/>
          </w:tcPr>
          <w:p w14:paraId="3D03860B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7.5mg</w:t>
            </w:r>
          </w:p>
        </w:tc>
        <w:tc>
          <w:tcPr>
            <w:tcW w:w="2254" w:type="dxa"/>
          </w:tcPr>
          <w:p w14:paraId="6DB3B071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 x 3.75mg tablets</w:t>
            </w:r>
          </w:p>
        </w:tc>
        <w:tc>
          <w:tcPr>
            <w:tcW w:w="2254" w:type="dxa"/>
          </w:tcPr>
          <w:p w14:paraId="4E1E336A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14</w:t>
            </w:r>
          </w:p>
        </w:tc>
      </w:tr>
      <w:tr w:rsidR="00FE17BD" w:rsidRPr="007F4275" w14:paraId="34AADDDD" w14:textId="77777777" w:rsidTr="00607510">
        <w:tc>
          <w:tcPr>
            <w:tcW w:w="2405" w:type="dxa"/>
          </w:tcPr>
          <w:p w14:paraId="4787B98B" w14:textId="77777777" w:rsidR="00BD25F2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Change 3 </w:t>
            </w:r>
          </w:p>
          <w:p w14:paraId="5198707A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(1-2 weeks)</w:t>
            </w:r>
          </w:p>
        </w:tc>
        <w:tc>
          <w:tcPr>
            <w:tcW w:w="2103" w:type="dxa"/>
          </w:tcPr>
          <w:p w14:paraId="76FE44CA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3.75mg</w:t>
            </w:r>
          </w:p>
        </w:tc>
        <w:tc>
          <w:tcPr>
            <w:tcW w:w="2254" w:type="dxa"/>
          </w:tcPr>
          <w:p w14:paraId="2F5B6F93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1x 3.75mg tablet</w:t>
            </w:r>
          </w:p>
        </w:tc>
        <w:tc>
          <w:tcPr>
            <w:tcW w:w="2254" w:type="dxa"/>
          </w:tcPr>
          <w:p w14:paraId="75697EEC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</w:tr>
      <w:tr w:rsidR="00FE17BD" w:rsidRPr="007F4275" w14:paraId="7D158D06" w14:textId="77777777" w:rsidTr="00607510">
        <w:tc>
          <w:tcPr>
            <w:tcW w:w="2405" w:type="dxa"/>
          </w:tcPr>
          <w:p w14:paraId="0B7767C0" w14:textId="77777777" w:rsidR="00BD25F2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Change 4 </w:t>
            </w:r>
          </w:p>
          <w:p w14:paraId="10BF3480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(1-2 weeks)</w:t>
            </w:r>
          </w:p>
        </w:tc>
        <w:tc>
          <w:tcPr>
            <w:tcW w:w="2103" w:type="dxa"/>
          </w:tcPr>
          <w:p w14:paraId="46004798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3.75mg on alternate nights</w:t>
            </w:r>
          </w:p>
        </w:tc>
        <w:tc>
          <w:tcPr>
            <w:tcW w:w="2254" w:type="dxa"/>
          </w:tcPr>
          <w:p w14:paraId="20D16015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 x 3.75mg tablet</w:t>
            </w:r>
          </w:p>
        </w:tc>
        <w:tc>
          <w:tcPr>
            <w:tcW w:w="2254" w:type="dxa"/>
          </w:tcPr>
          <w:p w14:paraId="7C6690A8" w14:textId="77777777" w:rsidR="00FE17BD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4/ 3</w:t>
            </w:r>
          </w:p>
        </w:tc>
      </w:tr>
      <w:tr w:rsidR="00607510" w:rsidRPr="007F4275" w14:paraId="754D867A" w14:textId="77777777" w:rsidTr="00607510">
        <w:tc>
          <w:tcPr>
            <w:tcW w:w="2405" w:type="dxa"/>
          </w:tcPr>
          <w:p w14:paraId="402B3FF8" w14:textId="77777777" w:rsidR="00607510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Change 5</w:t>
            </w:r>
          </w:p>
        </w:tc>
        <w:tc>
          <w:tcPr>
            <w:tcW w:w="2103" w:type="dxa"/>
          </w:tcPr>
          <w:p w14:paraId="305FC91A" w14:textId="77777777" w:rsidR="00607510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Stop.</w:t>
            </w:r>
          </w:p>
        </w:tc>
        <w:tc>
          <w:tcPr>
            <w:tcW w:w="2254" w:type="dxa"/>
          </w:tcPr>
          <w:p w14:paraId="6A09E912" w14:textId="77777777" w:rsidR="00607510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254" w:type="dxa"/>
          </w:tcPr>
          <w:p w14:paraId="33E67AC6" w14:textId="77777777" w:rsidR="00607510" w:rsidRPr="007F4275" w:rsidRDefault="00607510" w:rsidP="00607510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F427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</w:tr>
    </w:tbl>
    <w:p w14:paraId="7B4C8602" w14:textId="77777777" w:rsidR="000B685F" w:rsidRPr="000B685F" w:rsidRDefault="000B685F">
      <w:pPr>
        <w:rPr>
          <w:rFonts w:ascii="Arial" w:eastAsia="Times New Roman" w:hAnsi="Arial" w:cs="Arial"/>
          <w:b/>
          <w:bCs/>
          <w:sz w:val="2"/>
          <w:szCs w:val="2"/>
          <w:lang w:eastAsia="en-GB"/>
        </w:rPr>
      </w:pPr>
    </w:p>
    <w:p w14:paraId="3468F5DA" w14:textId="1FC247E3" w:rsidR="00117398" w:rsidRPr="007F4275" w:rsidRDefault="00117398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F42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Reference</w:t>
      </w:r>
      <w:r w:rsidR="00F837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7F42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6716CA79" w14:textId="77777777" w:rsidR="002B2EA0" w:rsidRDefault="004E7848" w:rsidP="000B685F">
      <w:pPr>
        <w:spacing w:line="240" w:lineRule="auto"/>
        <w:rPr>
          <w:rStyle w:val="Hyperlink"/>
          <w:rFonts w:cstheme="minorHAnsi"/>
        </w:rPr>
      </w:pPr>
      <w:hyperlink r:id="rId11" w:history="1">
        <w:r w:rsidR="00A311F2" w:rsidRPr="000B685F">
          <w:rPr>
            <w:rStyle w:val="Hyperlink"/>
            <w:rFonts w:cstheme="minorHAnsi"/>
          </w:rPr>
          <w:t>Material to support appropriate prescribing of hypnotics and anxiolytics across Wales - All Wales Medicines Strategy Group (</w:t>
        </w:r>
        <w:proofErr w:type="spellStart"/>
        <w:r w:rsidR="00A311F2" w:rsidRPr="000B685F">
          <w:rPr>
            <w:rStyle w:val="Hyperlink"/>
            <w:rFonts w:cstheme="minorHAnsi"/>
          </w:rPr>
          <w:t>nhs.wales</w:t>
        </w:r>
        <w:proofErr w:type="spellEnd"/>
        <w:r w:rsidR="00A311F2" w:rsidRPr="000B685F">
          <w:rPr>
            <w:rStyle w:val="Hyperlink"/>
            <w:rFonts w:cstheme="minorHAnsi"/>
          </w:rPr>
          <w:t>)</w:t>
        </w:r>
      </w:hyperlink>
    </w:p>
    <w:p w14:paraId="4DD9BA84" w14:textId="1C46E6F3" w:rsidR="00A311F2" w:rsidRPr="002B2EA0" w:rsidRDefault="004E7848" w:rsidP="000B685F">
      <w:pPr>
        <w:spacing w:line="240" w:lineRule="auto"/>
        <w:rPr>
          <w:rFonts w:cstheme="minorHAnsi"/>
          <w:color w:val="0000FF"/>
          <w:u w:val="single"/>
        </w:rPr>
      </w:pPr>
      <w:hyperlink r:id="rId12" w:history="1">
        <w:r w:rsidR="00A311F2" w:rsidRPr="000B685F">
          <w:rPr>
            <w:rStyle w:val="Hyperlink"/>
            <w:rFonts w:cstheme="minorHAnsi"/>
          </w:rPr>
          <w:t>Zopiclone 3.75 mg Tablets - Summary of Product Characteristics (SmPC) - (emc) (medicines.org.uk)</w:t>
        </w:r>
      </w:hyperlink>
    </w:p>
    <w:p w14:paraId="6D16DF87" w14:textId="77777777" w:rsidR="00BC4A2F" w:rsidRPr="000B685F" w:rsidRDefault="004E7848" w:rsidP="000B685F">
      <w:pPr>
        <w:spacing w:line="240" w:lineRule="auto"/>
        <w:rPr>
          <w:rFonts w:cstheme="minorHAnsi"/>
        </w:rPr>
      </w:pPr>
      <w:hyperlink r:id="rId13" w:history="1">
        <w:r w:rsidR="00BC4A2F" w:rsidRPr="000B685F">
          <w:rPr>
            <w:rStyle w:val="Hyperlink"/>
            <w:rFonts w:cstheme="minorHAnsi"/>
          </w:rPr>
          <w:t>Scenario: Benzodiazepine and z-drug withdrawal | Management | Benzodiazepine and z-drug withdrawal | CKS | NICE</w:t>
        </w:r>
      </w:hyperlink>
    </w:p>
    <w:p w14:paraId="7B2840AE" w14:textId="77777777" w:rsidR="00BC4A2F" w:rsidRPr="000B685F" w:rsidRDefault="004E7848" w:rsidP="000B685F">
      <w:pPr>
        <w:spacing w:line="240" w:lineRule="auto"/>
        <w:rPr>
          <w:rFonts w:cstheme="minorHAnsi"/>
        </w:rPr>
      </w:pPr>
      <w:hyperlink r:id="rId14" w:history="1">
        <w:r w:rsidR="00BC4A2F" w:rsidRPr="000B685F">
          <w:rPr>
            <w:rStyle w:val="Hyperlink"/>
            <w:rFonts w:cstheme="minorHAnsi"/>
          </w:rPr>
          <w:t>benzo.org.uk : Benzodiazepines: How They Work &amp; How to Withdraw, Prof C H Ashton DM, FRCP, 2002</w:t>
        </w:r>
      </w:hyperlink>
    </w:p>
    <w:p w14:paraId="2429EE76" w14:textId="706267C2" w:rsidR="00BC4A2F" w:rsidRDefault="004E7848" w:rsidP="000B685F">
      <w:pPr>
        <w:spacing w:line="240" w:lineRule="auto"/>
        <w:rPr>
          <w:rStyle w:val="Hyperlink"/>
          <w:rFonts w:cstheme="minorHAnsi"/>
        </w:rPr>
      </w:pPr>
      <w:hyperlink r:id="rId15" w:anchor="s12" w:history="1">
        <w:r w:rsidR="00BC4A2F" w:rsidRPr="000B685F">
          <w:rPr>
            <w:rStyle w:val="Hyperlink"/>
            <w:rFonts w:cstheme="minorHAnsi"/>
          </w:rPr>
          <w:t>benzo.org.uk : Benzodiazepines: How They Work &amp; How to Withdraw, Prof C H Ashton DM, FRCP, 2002</w:t>
        </w:r>
      </w:hyperlink>
    </w:p>
    <w:p w14:paraId="0A337B96" w14:textId="084042E7" w:rsidR="002B2EA0" w:rsidRDefault="002B2EA0" w:rsidP="000B685F">
      <w:pPr>
        <w:spacing w:line="240" w:lineRule="auto"/>
        <w:rPr>
          <w:rFonts w:cstheme="minorHAnsi"/>
        </w:rPr>
      </w:pPr>
    </w:p>
    <w:p w14:paraId="24535716" w14:textId="77777777" w:rsidR="00427D7D" w:rsidRPr="000B685F" w:rsidRDefault="00427D7D" w:rsidP="000B685F">
      <w:pPr>
        <w:spacing w:line="240" w:lineRule="auto"/>
        <w:rPr>
          <w:rFonts w:cstheme="minorHAnsi"/>
        </w:rPr>
      </w:pPr>
    </w:p>
    <w:p w14:paraId="26652371" w14:textId="77777777" w:rsidR="00DF2C98" w:rsidRDefault="004E1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Practice headed paper</w:t>
      </w:r>
    </w:p>
    <w:p w14:paraId="3656B9AB" w14:textId="77777777" w:rsidR="00DF2C98" w:rsidRDefault="00DF2C98">
      <w:pPr>
        <w:rPr>
          <w:rFonts w:ascii="Arial" w:hAnsi="Arial" w:cs="Arial"/>
          <w:sz w:val="24"/>
          <w:szCs w:val="24"/>
        </w:rPr>
      </w:pPr>
    </w:p>
    <w:p w14:paraId="4DEF1453" w14:textId="77777777" w:rsidR="00DF2C98" w:rsidRPr="00DF2C98" w:rsidRDefault="00DF2C98" w:rsidP="00DF2C98">
      <w:pPr>
        <w:rPr>
          <w:rFonts w:ascii="Arial" w:hAnsi="Arial" w:cs="Arial"/>
          <w:b/>
          <w:bCs/>
          <w:sz w:val="24"/>
          <w:szCs w:val="24"/>
        </w:rPr>
      </w:pPr>
      <w:r w:rsidRPr="00DF2C98">
        <w:rPr>
          <w:rFonts w:ascii="Arial" w:hAnsi="Arial" w:cs="Arial"/>
          <w:b/>
          <w:bCs/>
          <w:sz w:val="24"/>
          <w:szCs w:val="24"/>
        </w:rPr>
        <w:t>Patient reduction card record</w:t>
      </w:r>
    </w:p>
    <w:p w14:paraId="45FB0818" w14:textId="77777777" w:rsid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6BB64997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This surgery has agreed with you the following reduction regimen of your medication:</w:t>
      </w:r>
    </w:p>
    <w:p w14:paraId="049F31CB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2D68EF9E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Name of patient……………………………………………………………………….</w:t>
      </w:r>
    </w:p>
    <w:p w14:paraId="53128261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06D1CA2B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Name of usual doctor............................................................................................</w:t>
      </w:r>
    </w:p>
    <w:p w14:paraId="62486C05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3E09370C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Date of first appointment ......../………/………. (DD/MM/YYYY)</w:t>
      </w:r>
    </w:p>
    <w:p w14:paraId="4101652C" w14:textId="77777777" w:rsidR="00DF2C98" w:rsidRPr="00DF2C98" w:rsidRDefault="00DF2C98" w:rsidP="00DF2C98">
      <w:pPr>
        <w:rPr>
          <w:rFonts w:ascii="Arial" w:hAnsi="Arial" w:cs="Arial"/>
          <w:sz w:val="24"/>
          <w:szCs w:val="24"/>
        </w:rPr>
      </w:pPr>
    </w:p>
    <w:p w14:paraId="5DA79D01" w14:textId="77777777" w:rsidR="00DF2C98" w:rsidRDefault="00DF2C98" w:rsidP="00DF2C98">
      <w:pPr>
        <w:rPr>
          <w:rFonts w:ascii="Arial" w:hAnsi="Arial" w:cs="Arial"/>
          <w:sz w:val="24"/>
          <w:szCs w:val="24"/>
        </w:rPr>
      </w:pPr>
      <w:r w:rsidRPr="00DF2C98">
        <w:rPr>
          <w:rFonts w:ascii="Arial" w:hAnsi="Arial" w:cs="Arial"/>
          <w:sz w:val="24"/>
          <w:szCs w:val="24"/>
        </w:rPr>
        <w:t>Agreement to be kept by the patient (copy in the notes)</w:t>
      </w: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900"/>
        <w:gridCol w:w="795"/>
        <w:gridCol w:w="1335"/>
        <w:gridCol w:w="1260"/>
        <w:gridCol w:w="840"/>
        <w:gridCol w:w="1102"/>
        <w:gridCol w:w="1447"/>
        <w:gridCol w:w="1485"/>
      </w:tblGrid>
      <w:tr w:rsidR="004E182A" w14:paraId="51D75B2B" w14:textId="77777777" w:rsidTr="4D2D5EF5">
        <w:tc>
          <w:tcPr>
            <w:tcW w:w="900" w:type="dxa"/>
          </w:tcPr>
          <w:p w14:paraId="02A1D31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</w:t>
            </w:r>
          </w:p>
        </w:tc>
        <w:tc>
          <w:tcPr>
            <w:tcW w:w="795" w:type="dxa"/>
          </w:tcPr>
          <w:p w14:paraId="491072FA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35" w:type="dxa"/>
          </w:tcPr>
          <w:p w14:paraId="09F364F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</w:t>
            </w:r>
          </w:p>
        </w:tc>
        <w:tc>
          <w:tcPr>
            <w:tcW w:w="1260" w:type="dxa"/>
          </w:tcPr>
          <w:p w14:paraId="4A888B23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Strength </w:t>
            </w:r>
          </w:p>
        </w:tc>
        <w:tc>
          <w:tcPr>
            <w:tcW w:w="840" w:type="dxa"/>
          </w:tcPr>
          <w:p w14:paraId="7FDFD95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1102" w:type="dxa"/>
          </w:tcPr>
          <w:p w14:paraId="7435847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tablets daily</w:t>
            </w:r>
          </w:p>
        </w:tc>
        <w:tc>
          <w:tcPr>
            <w:tcW w:w="1447" w:type="dxa"/>
          </w:tcPr>
          <w:p w14:paraId="6128329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weeks at this dose</w:t>
            </w:r>
          </w:p>
        </w:tc>
        <w:tc>
          <w:tcPr>
            <w:tcW w:w="1485" w:type="dxa"/>
          </w:tcPr>
          <w:p w14:paraId="784419A3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tablets prescribed</w:t>
            </w:r>
          </w:p>
        </w:tc>
      </w:tr>
      <w:tr w:rsidR="004E182A" w14:paraId="271639AB" w14:textId="77777777" w:rsidTr="4D2D5EF5">
        <w:tc>
          <w:tcPr>
            <w:tcW w:w="900" w:type="dxa"/>
          </w:tcPr>
          <w:p w14:paraId="649841B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4B99056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29D82D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1299C43A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4DDBEF00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461D779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CF2D8B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FB78278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6BD79937" w14:textId="77777777" w:rsidTr="4D2D5EF5">
        <w:tc>
          <w:tcPr>
            <w:tcW w:w="900" w:type="dxa"/>
          </w:tcPr>
          <w:p w14:paraId="18F999B5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1FC39945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C756D6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0562CB0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CE0A4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EBF3C5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D98A12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946DB82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2E14482E" w14:textId="77777777" w:rsidTr="4D2D5EF5">
        <w:tc>
          <w:tcPr>
            <w:tcW w:w="900" w:type="dxa"/>
          </w:tcPr>
          <w:p w14:paraId="5FCD5EC4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5997CC1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35262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110FFD3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6B699379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FE9F23F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F72F64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8CE6F9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0728B8D0" w14:textId="77777777" w:rsidTr="4D2D5EF5">
        <w:tc>
          <w:tcPr>
            <w:tcW w:w="900" w:type="dxa"/>
          </w:tcPr>
          <w:p w14:paraId="2598DEE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14:paraId="61CDCEA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76DEBD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6BB9E253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23DE523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2E56223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7547A0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043CB0F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59BF0AFF" w14:textId="77777777" w:rsidTr="4D2D5EF5">
        <w:tc>
          <w:tcPr>
            <w:tcW w:w="900" w:type="dxa"/>
          </w:tcPr>
          <w:p w14:paraId="78941E4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07459315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A3387C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6537F28F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6DFB9E20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0DF9E5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4E871B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44A5D23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739812D6" w14:textId="77777777" w:rsidTr="4D2D5EF5">
        <w:tc>
          <w:tcPr>
            <w:tcW w:w="900" w:type="dxa"/>
          </w:tcPr>
          <w:p w14:paraId="29B4EA1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738610E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816C92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637805D2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463F29E8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B7B4B8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A0FF5F2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630AD6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64ACD716" w14:textId="77777777" w:rsidTr="4D2D5EF5">
        <w:tc>
          <w:tcPr>
            <w:tcW w:w="900" w:type="dxa"/>
          </w:tcPr>
          <w:p w14:paraId="109B8484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14:paraId="6182907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762F07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2BA226A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17AD93B2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DE4B5B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6204FF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DBF0D7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3D9E615B" w14:textId="77777777" w:rsidTr="4D2D5EF5">
        <w:tc>
          <w:tcPr>
            <w:tcW w:w="900" w:type="dxa"/>
          </w:tcPr>
          <w:p w14:paraId="44B0A208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14:paraId="6B62F1B3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752E6B5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02F2C34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680A4E5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921983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96FEF7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194DBD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7BF6AEAA" w14:textId="77777777" w:rsidTr="4D2D5EF5">
        <w:tc>
          <w:tcPr>
            <w:tcW w:w="900" w:type="dxa"/>
          </w:tcPr>
          <w:p w14:paraId="2B2B7304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14:paraId="769D0D3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332B838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54CD245A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1231BE6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6FEB5B0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0D7AA69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196D064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0CE712B2" w14:textId="77777777" w:rsidTr="4D2D5EF5">
        <w:tc>
          <w:tcPr>
            <w:tcW w:w="900" w:type="dxa"/>
          </w:tcPr>
          <w:p w14:paraId="5D36975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14:paraId="34FF1C98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9E6BD5F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6D072C0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48A21919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BD18F9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38601FE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F3CABC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0A44E7C0" w14:textId="77777777" w:rsidTr="4D2D5EF5">
        <w:tc>
          <w:tcPr>
            <w:tcW w:w="900" w:type="dxa"/>
          </w:tcPr>
          <w:p w14:paraId="4737E36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14:paraId="5B08B5D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6FC7002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16DEB4A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0AD9C6F4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B1F511A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5F9C3D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023141B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82A" w14:paraId="13E6E6FE" w14:textId="77777777" w:rsidTr="4D2D5EF5">
        <w:tc>
          <w:tcPr>
            <w:tcW w:w="900" w:type="dxa"/>
          </w:tcPr>
          <w:p w14:paraId="4B73E58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14:paraId="1F3B1409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35CE897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Zopiclone</w:t>
            </w:r>
          </w:p>
        </w:tc>
        <w:tc>
          <w:tcPr>
            <w:tcW w:w="1260" w:type="dxa"/>
          </w:tcPr>
          <w:p w14:paraId="562C75D1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4355AD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A965116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DF4E37C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4FB30F8" w14:textId="77777777" w:rsidR="004E182A" w:rsidRDefault="004E182A" w:rsidP="00DF2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41E394" w14:textId="77777777" w:rsidR="006A547A" w:rsidRPr="00D501BB" w:rsidRDefault="006A547A" w:rsidP="00D501B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6A547A" w:rsidRPr="00D501B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00AE" w14:textId="77777777" w:rsidR="00E0332E" w:rsidRDefault="00E0332E" w:rsidP="005D40BD">
      <w:pPr>
        <w:spacing w:after="0" w:line="240" w:lineRule="auto"/>
      </w:pPr>
      <w:r>
        <w:separator/>
      </w:r>
    </w:p>
  </w:endnote>
  <w:endnote w:type="continuationSeparator" w:id="0">
    <w:p w14:paraId="42C6D796" w14:textId="77777777" w:rsidR="00E0332E" w:rsidRDefault="00E0332E" w:rsidP="005D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31B3" w14:textId="77777777" w:rsidR="00E0332E" w:rsidRDefault="00E0332E" w:rsidP="005D40BD">
      <w:pPr>
        <w:spacing w:after="0" w:line="240" w:lineRule="auto"/>
      </w:pPr>
      <w:r>
        <w:separator/>
      </w:r>
    </w:p>
  </w:footnote>
  <w:footnote w:type="continuationSeparator" w:id="0">
    <w:p w14:paraId="54E11D2A" w14:textId="77777777" w:rsidR="00E0332E" w:rsidRDefault="00E0332E" w:rsidP="005D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66BB" w14:textId="4B5F5C65" w:rsidR="000B685F" w:rsidRDefault="000B685F" w:rsidP="000B685F">
    <w:pPr>
      <w:pStyle w:val="Header"/>
      <w:jc w:val="right"/>
    </w:pPr>
    <w:r w:rsidRPr="000B685F">
      <w:rPr>
        <w:noProof/>
      </w:rPr>
      <w:drawing>
        <wp:inline distT="0" distB="0" distL="0" distR="0" wp14:anchorId="24686ED4" wp14:editId="540A208A">
          <wp:extent cx="1090435" cy="509905"/>
          <wp:effectExtent l="0" t="0" r="0" b="4445"/>
          <wp:docPr id="6" name="Picture 5" descr="A picture containing graphical user inter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6BE3A5B-F3FA-4879-8190-374F386723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graphical user interface&#10;&#10;Description automatically generated">
                    <a:extLst>
                      <a:ext uri="{FF2B5EF4-FFF2-40B4-BE49-F238E27FC236}">
                        <a16:creationId xmlns:a16="http://schemas.microsoft.com/office/drawing/2014/main" id="{E6BE3A5B-F3FA-4879-8190-374F386723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95" b="24797"/>
                  <a:stretch/>
                </pic:blipFill>
                <pic:spPr bwMode="auto">
                  <a:xfrm>
                    <a:off x="0" y="0"/>
                    <a:ext cx="1097563" cy="513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B2A"/>
    <w:multiLevelType w:val="multilevel"/>
    <w:tmpl w:val="15CC8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80F0E"/>
    <w:multiLevelType w:val="multilevel"/>
    <w:tmpl w:val="9A1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57EB9"/>
    <w:multiLevelType w:val="multilevel"/>
    <w:tmpl w:val="9DF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A4B10"/>
    <w:multiLevelType w:val="multilevel"/>
    <w:tmpl w:val="BE1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CD34FC"/>
    <w:multiLevelType w:val="hybridMultilevel"/>
    <w:tmpl w:val="E6CA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91588">
    <w:abstractNumId w:val="0"/>
  </w:num>
  <w:num w:numId="2" w16cid:durableId="628244902">
    <w:abstractNumId w:val="3"/>
  </w:num>
  <w:num w:numId="3" w16cid:durableId="1906908974">
    <w:abstractNumId w:val="1"/>
  </w:num>
  <w:num w:numId="4" w16cid:durableId="1778329947">
    <w:abstractNumId w:val="2"/>
  </w:num>
  <w:num w:numId="5" w16cid:durableId="558519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BD"/>
    <w:rsid w:val="00086CB5"/>
    <w:rsid w:val="000B685F"/>
    <w:rsid w:val="000F078B"/>
    <w:rsid w:val="00117398"/>
    <w:rsid w:val="001E680F"/>
    <w:rsid w:val="001F6FEF"/>
    <w:rsid w:val="00275248"/>
    <w:rsid w:val="002B2EA0"/>
    <w:rsid w:val="002C5EE1"/>
    <w:rsid w:val="003419E9"/>
    <w:rsid w:val="00351413"/>
    <w:rsid w:val="00393B01"/>
    <w:rsid w:val="00423281"/>
    <w:rsid w:val="004275B3"/>
    <w:rsid w:val="00427D7D"/>
    <w:rsid w:val="004E182A"/>
    <w:rsid w:val="004E7848"/>
    <w:rsid w:val="005275B3"/>
    <w:rsid w:val="005B7B4B"/>
    <w:rsid w:val="005D40BD"/>
    <w:rsid w:val="00607510"/>
    <w:rsid w:val="00651BD1"/>
    <w:rsid w:val="0068443F"/>
    <w:rsid w:val="00697677"/>
    <w:rsid w:val="006A547A"/>
    <w:rsid w:val="006F5A09"/>
    <w:rsid w:val="00705D35"/>
    <w:rsid w:val="00715D91"/>
    <w:rsid w:val="007A1904"/>
    <w:rsid w:val="007F4275"/>
    <w:rsid w:val="00857894"/>
    <w:rsid w:val="008C6956"/>
    <w:rsid w:val="00987B5C"/>
    <w:rsid w:val="009D7165"/>
    <w:rsid w:val="00A311F2"/>
    <w:rsid w:val="00A3640F"/>
    <w:rsid w:val="00A80B26"/>
    <w:rsid w:val="00B47A22"/>
    <w:rsid w:val="00BC4A2F"/>
    <w:rsid w:val="00BD25F2"/>
    <w:rsid w:val="00BE61C5"/>
    <w:rsid w:val="00C20BCB"/>
    <w:rsid w:val="00C705E6"/>
    <w:rsid w:val="00C90AB9"/>
    <w:rsid w:val="00D501BB"/>
    <w:rsid w:val="00D849B5"/>
    <w:rsid w:val="00D969DD"/>
    <w:rsid w:val="00DC7E1F"/>
    <w:rsid w:val="00DF2C98"/>
    <w:rsid w:val="00E0332E"/>
    <w:rsid w:val="00E2412C"/>
    <w:rsid w:val="00E3181C"/>
    <w:rsid w:val="00E373F7"/>
    <w:rsid w:val="00E41725"/>
    <w:rsid w:val="00E8675A"/>
    <w:rsid w:val="00F165EA"/>
    <w:rsid w:val="00F837B2"/>
    <w:rsid w:val="00FA76B7"/>
    <w:rsid w:val="00FE17BD"/>
    <w:rsid w:val="0AF71AD5"/>
    <w:rsid w:val="18AE78F8"/>
    <w:rsid w:val="1DA1EE91"/>
    <w:rsid w:val="1F9D4E3E"/>
    <w:rsid w:val="20C52BF3"/>
    <w:rsid w:val="4D2D5EF5"/>
    <w:rsid w:val="53D6E75B"/>
    <w:rsid w:val="653DBA28"/>
    <w:rsid w:val="66556053"/>
    <w:rsid w:val="714C892F"/>
    <w:rsid w:val="720C95F0"/>
    <w:rsid w:val="7579EBBA"/>
    <w:rsid w:val="7BC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59B2"/>
  <w15:docId w15:val="{DA35D0EF-8B06-4CB2-816A-643A6E9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7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40BD"/>
  </w:style>
  <w:style w:type="character" w:customStyle="1" w:styleId="eop">
    <w:name w:val="eop"/>
    <w:basedOn w:val="DefaultParagraphFont"/>
    <w:rsid w:val="005D40BD"/>
  </w:style>
  <w:style w:type="character" w:customStyle="1" w:styleId="superscript">
    <w:name w:val="superscript"/>
    <w:basedOn w:val="DefaultParagraphFont"/>
    <w:rsid w:val="005D40BD"/>
  </w:style>
  <w:style w:type="paragraph" w:styleId="FootnoteText">
    <w:name w:val="footnote text"/>
    <w:basedOn w:val="Normal"/>
    <w:link w:val="FootnoteTextChar"/>
    <w:uiPriority w:val="99"/>
    <w:semiHidden/>
    <w:unhideWhenUsed/>
    <w:rsid w:val="005D4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0B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D4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B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7B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indication">
    <w:name w:val="indication"/>
    <w:basedOn w:val="DefaultParagraphFont"/>
    <w:rsid w:val="00987B5C"/>
  </w:style>
  <w:style w:type="paragraph" w:customStyle="1" w:styleId="specificity">
    <w:name w:val="specificity"/>
    <w:basedOn w:val="Normal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outesofadministration">
    <w:name w:val="routesofadministration"/>
    <w:basedOn w:val="DefaultParagraphFont"/>
    <w:rsid w:val="00987B5C"/>
  </w:style>
  <w:style w:type="character" w:styleId="Strong">
    <w:name w:val="Strong"/>
    <w:basedOn w:val="DefaultParagraphFont"/>
    <w:uiPriority w:val="22"/>
    <w:qFormat/>
    <w:rsid w:val="00987B5C"/>
    <w:rPr>
      <w:b/>
      <w:bCs/>
    </w:rPr>
  </w:style>
  <w:style w:type="character" w:customStyle="1" w:styleId="patientgroup">
    <w:name w:val="patientgroup"/>
    <w:basedOn w:val="DefaultParagraphFont"/>
    <w:rsid w:val="00987B5C"/>
  </w:style>
  <w:style w:type="paragraph" w:styleId="NormalWeb">
    <w:name w:val="Normal (Web)"/>
    <w:basedOn w:val="Normal"/>
    <w:uiPriority w:val="99"/>
    <w:semiHidden/>
    <w:unhideWhenUsed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87B5C"/>
    <w:rPr>
      <w:i/>
      <w:iCs/>
    </w:rPr>
  </w:style>
  <w:style w:type="table" w:styleId="TableGrid">
    <w:name w:val="Table Grid"/>
    <w:basedOn w:val="TableNormal"/>
    <w:uiPriority w:val="59"/>
    <w:rsid w:val="0098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739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18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5F"/>
  </w:style>
  <w:style w:type="paragraph" w:styleId="Footer">
    <w:name w:val="footer"/>
    <w:basedOn w:val="Normal"/>
    <w:link w:val="FooterChar"/>
    <w:uiPriority w:val="99"/>
    <w:unhideWhenUsed/>
    <w:rsid w:val="000B6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ks.nice.org.uk/topics/benzodiazepine-z-drug-withdrawal/management/benzodiazepine-z-drug-withdrawa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product/112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wmsg.nhs.wales/medicines-appraisals-and-guidance/medicines-optimisation/prescribing-guidance/material-to-support-appropriate-prescribing-of-hypnotics-and-anxiolytics-across-wal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enzo.org.uk/manual/bzsched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nzo.org.uk/manual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EB04136E1C849B0D7069739E60E80" ma:contentTypeVersion="2" ma:contentTypeDescription="Create a new document." ma:contentTypeScope="" ma:versionID="cb3ff350307f03374f5a6aa9a1570b47">
  <xsd:schema xmlns:xsd="http://www.w3.org/2001/XMLSchema" xmlns:xs="http://www.w3.org/2001/XMLSchema" xmlns:p="http://schemas.microsoft.com/office/2006/metadata/properties" xmlns:ns2="194d123b-a64a-4927-9817-fb0ba3716826" targetNamespace="http://schemas.microsoft.com/office/2006/metadata/properties" ma:root="true" ma:fieldsID="ebbdaeb416806ef18793e003bdc751c6" ns2:_="">
    <xsd:import namespace="194d123b-a64a-4927-9817-fb0ba3716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123b-a64a-4927-9817-fb0ba3716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0D1DE-64E4-4598-9199-E57AFC665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A1B6B-C47B-4F4D-A153-32E2D488A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76-3E0C-406B-AF44-473207BD6AF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194d123b-a64a-4927-9817-fb0ba37168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51F5AF-85EF-46CA-90DA-F7C102A3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123b-a64a-4927-9817-fb0ba371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Dolman Jon (Bruton Surgery)</dc:creator>
  <cp:lastModifiedBy>MORRIS, Sam (NHS SOMERSET ICB - 11X)</cp:lastModifiedBy>
  <cp:revision>7</cp:revision>
  <dcterms:created xsi:type="dcterms:W3CDTF">2022-06-22T13:00:00Z</dcterms:created>
  <dcterms:modified xsi:type="dcterms:W3CDTF">2022-07-07T07:06:00Z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0x010100AAFEB04136E1C849B0D7069739E60E80</vt:lpwstr>
  </property>
</Properties>
</file>