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B1DD" w14:textId="77777777" w:rsidR="007859B9" w:rsidRDefault="007859B9" w:rsidP="007859B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DUPUYTREN’S CONTRACTURE SURGERY</w:t>
      </w:r>
    </w:p>
    <w:p w14:paraId="65A22874" w14:textId="299ED553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8F6CDCC" w14:textId="77777777" w:rsidR="008A549F" w:rsidRPr="007366CC" w:rsidRDefault="008A549F" w:rsidP="008A549F">
      <w:pPr>
        <w:pStyle w:val="Mainitembody"/>
        <w:spacing w:after="0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1B249548" w14:textId="6B00F46D" w:rsidR="00F341FB" w:rsidRDefault="00F341FB" w:rsidP="005C4123">
      <w:pPr>
        <w:pStyle w:val="Mainitembody"/>
        <w:spacing w:after="0"/>
        <w:ind w:right="173"/>
        <w:rPr>
          <w:rFonts w:cs="Arial"/>
          <w:sz w:val="20"/>
        </w:rPr>
      </w:pPr>
    </w:p>
    <w:p w14:paraId="6CFAC4DD" w14:textId="464A0D15" w:rsidR="005C4123" w:rsidRPr="001D47BA" w:rsidRDefault="005C4123" w:rsidP="005C4123">
      <w:pPr>
        <w:pStyle w:val="Mainitembody"/>
        <w:spacing w:after="0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1D47BA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1D47BA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67"/>
      </w:tblGrid>
      <w:tr w:rsidR="00BC08CB" w:rsidRPr="00454248" w14:paraId="3257BCB6" w14:textId="77777777" w:rsidTr="00A32A54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1D47BA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1D47BA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1D47BA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1D47BA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1D47BA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1D47BA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1D47BA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1D47BA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1D47BA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1D47BA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1D47BA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1D47B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1D47BA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1D47BA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1D47BA">
              <w:rPr>
                <w:rFonts w:ascii="Arial" w:hAnsi="Arial" w:cs="Arial"/>
              </w:rPr>
              <w:t xml:space="preserve">e.g. </w:t>
            </w:r>
            <w:r w:rsidRPr="001D47BA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1D47BA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1D47B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1D47BA">
              <w:rPr>
                <w:rFonts w:ascii="Arial" w:hAnsi="Arial" w:cs="Arial"/>
                <w:b/>
                <w:u w:val="single"/>
              </w:rPr>
              <w:t>Relevant</w:t>
            </w:r>
            <w:r w:rsidRPr="001D47BA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1D47B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1D47BA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1D47B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1D47BA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p w14:paraId="5C1A2B68" w14:textId="77777777" w:rsidR="00A32A54" w:rsidRDefault="00A32A54" w:rsidP="00A32A5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134"/>
        <w:gridCol w:w="1134"/>
        <w:gridCol w:w="1134"/>
        <w:gridCol w:w="5166"/>
        <w:gridCol w:w="645"/>
      </w:tblGrid>
      <w:tr w:rsidR="00A32A54" w:rsidRPr="00F338CA" w14:paraId="6603E700" w14:textId="77777777" w:rsidTr="000D636B">
        <w:tc>
          <w:tcPr>
            <w:tcW w:w="10802" w:type="dxa"/>
            <w:gridSpan w:val="6"/>
            <w:shd w:val="clear" w:color="auto" w:fill="auto"/>
          </w:tcPr>
          <w:p w14:paraId="73001A75" w14:textId="77777777" w:rsidR="00A32A54" w:rsidRPr="008E603B" w:rsidRDefault="00A32A54" w:rsidP="000D63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8E603B">
              <w:rPr>
                <w:rFonts w:ascii="Arial" w:hAnsi="Arial" w:cs="Arial"/>
                <w:b/>
                <w:bCs/>
              </w:rPr>
              <w:t>CRITERIA</w:t>
            </w:r>
          </w:p>
        </w:tc>
      </w:tr>
      <w:tr w:rsidR="00A32A54" w:rsidRPr="00F338CA" w14:paraId="2BE723CF" w14:textId="77777777" w:rsidTr="000D636B">
        <w:tc>
          <w:tcPr>
            <w:tcW w:w="10802" w:type="dxa"/>
            <w:gridSpan w:val="6"/>
            <w:shd w:val="clear" w:color="auto" w:fill="auto"/>
          </w:tcPr>
          <w:p w14:paraId="3EC1C570" w14:textId="77777777" w:rsidR="00A32A54" w:rsidRDefault="00A32A54" w:rsidP="00A32A54">
            <w:pPr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</w:rPr>
            </w:pPr>
            <w:r w:rsidRPr="00F338C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ICB</w:t>
            </w:r>
            <w:r w:rsidRPr="00F338CA">
              <w:rPr>
                <w:rFonts w:ascii="Arial" w:hAnsi="Arial" w:cs="Arial"/>
              </w:rPr>
              <w:t xml:space="preserve"> does </w:t>
            </w:r>
            <w:r w:rsidRPr="00EC132D">
              <w:rPr>
                <w:rFonts w:ascii="Arial" w:hAnsi="Arial" w:cs="Arial"/>
                <w:b/>
              </w:rPr>
              <w:t>NOT</w:t>
            </w:r>
            <w:r>
              <w:rPr>
                <w:rFonts w:ascii="Arial" w:hAnsi="Arial" w:cs="Arial"/>
              </w:rPr>
              <w:t xml:space="preserve"> </w:t>
            </w:r>
            <w:r w:rsidRPr="00F338CA">
              <w:rPr>
                <w:rFonts w:ascii="Arial" w:hAnsi="Arial" w:cs="Arial"/>
              </w:rPr>
              <w:t>commission Radiation Therapy or Collagenase Clostridium Histolyticum (CCH) for Dupuytren’s contractur</w:t>
            </w:r>
            <w:r>
              <w:rPr>
                <w:rFonts w:ascii="Arial" w:hAnsi="Arial" w:cs="Arial"/>
              </w:rPr>
              <w:t>e</w:t>
            </w:r>
          </w:p>
          <w:p w14:paraId="2AC03CBF" w14:textId="77777777" w:rsidR="00A32A54" w:rsidRPr="001578D9" w:rsidRDefault="00A32A54" w:rsidP="000D636B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</w:tc>
      </w:tr>
      <w:tr w:rsidR="00A32A54" w:rsidRPr="00F338CA" w14:paraId="337BC001" w14:textId="77777777" w:rsidTr="000D636B">
        <w:tc>
          <w:tcPr>
            <w:tcW w:w="1589" w:type="dxa"/>
            <w:shd w:val="clear" w:color="auto" w:fill="auto"/>
          </w:tcPr>
          <w:p w14:paraId="5D558D6C" w14:textId="77777777" w:rsidR="00A32A54" w:rsidRPr="00EE6B75" w:rsidRDefault="00A32A54" w:rsidP="00A32A54">
            <w:pPr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</w:rPr>
              <w:t xml:space="preserve">Left </w:t>
            </w:r>
          </w:p>
          <w:p w14:paraId="361F3E2E" w14:textId="77777777" w:rsidR="00A32A54" w:rsidRPr="00EE6B75" w:rsidRDefault="00A32A54" w:rsidP="000D636B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</w:rPr>
              <w:t>digit</w:t>
            </w:r>
          </w:p>
        </w:tc>
        <w:tc>
          <w:tcPr>
            <w:tcW w:w="1134" w:type="dxa"/>
            <w:shd w:val="clear" w:color="auto" w:fill="auto"/>
          </w:tcPr>
          <w:p w14:paraId="67A12B4C" w14:textId="77777777" w:rsidR="00A32A54" w:rsidRPr="00EE6B75" w:rsidRDefault="00A32A54" w:rsidP="000D636B">
            <w:pPr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  <w:sz w:val="20"/>
                <w:szCs w:val="20"/>
              </w:rPr>
              <w:t>YES</w:t>
            </w:r>
            <w:r w:rsidRPr="00EE6B75">
              <w:rPr>
                <w:rFonts w:ascii="Arial" w:hAnsi="Arial" w:cs="Arial"/>
              </w:rPr>
              <w:t xml:space="preserve"> </w:t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instrText xml:space="preserve"> FORMCHECKBOX </w:instrText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separate"/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D06F27B" w14:textId="77777777" w:rsidR="00A32A54" w:rsidRPr="00EE6B75" w:rsidRDefault="00A32A54" w:rsidP="000D636B">
            <w:pPr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</w:rPr>
              <w:t xml:space="preserve">Right </w:t>
            </w:r>
          </w:p>
          <w:p w14:paraId="7E91136D" w14:textId="77777777" w:rsidR="00A32A54" w:rsidRPr="00EE6B75" w:rsidRDefault="00A32A54" w:rsidP="000D636B">
            <w:pPr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</w:rPr>
              <w:t>digit</w:t>
            </w:r>
          </w:p>
        </w:tc>
        <w:tc>
          <w:tcPr>
            <w:tcW w:w="1134" w:type="dxa"/>
            <w:shd w:val="clear" w:color="auto" w:fill="auto"/>
          </w:tcPr>
          <w:p w14:paraId="1EA32606" w14:textId="77777777" w:rsidR="00A32A54" w:rsidRPr="00EE6B75" w:rsidRDefault="00A32A54" w:rsidP="000D636B">
            <w:pPr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  <w:sz w:val="20"/>
                <w:szCs w:val="20"/>
              </w:rPr>
              <w:t>YES</w:t>
            </w:r>
            <w:r w:rsidRPr="00EE6B75">
              <w:rPr>
                <w:rFonts w:ascii="Arial" w:hAnsi="Arial" w:cs="Arial"/>
              </w:rPr>
              <w:t xml:space="preserve"> </w:t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instrText xml:space="preserve"> FORMCHECKBOX </w:instrText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separate"/>
            </w:r>
            <w:r w:rsidRPr="00EE6B75">
              <w:rPr>
                <w:rFonts w:ascii="Arial" w:hAnsi="Arial" w:cs="Arial"/>
                <w:color w:val="212121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73F67D88" w14:textId="77777777" w:rsidR="00A32A54" w:rsidRDefault="00A32A54" w:rsidP="000D636B">
            <w:pPr>
              <w:tabs>
                <w:tab w:val="left" w:pos="3468"/>
              </w:tabs>
              <w:spacing w:line="276" w:lineRule="auto"/>
              <w:rPr>
                <w:rFonts w:ascii="Arial" w:hAnsi="Arial" w:cs="Arial"/>
              </w:rPr>
            </w:pPr>
            <w:r w:rsidRPr="00EE6B75">
              <w:rPr>
                <w:rFonts w:ascii="Arial" w:hAnsi="Arial" w:cs="Arial"/>
              </w:rPr>
              <w:t>Number and types of digits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</w:p>
          <w:p w14:paraId="523AC3F0" w14:textId="77777777" w:rsidR="00A32A54" w:rsidRPr="00EE6B75" w:rsidRDefault="00A32A54" w:rsidP="000D636B">
            <w:pPr>
              <w:tabs>
                <w:tab w:val="left" w:pos="3468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A32A54" w:rsidRPr="00F338CA" w14:paraId="65360261" w14:textId="77777777" w:rsidTr="000D636B">
        <w:trPr>
          <w:trHeight w:val="382"/>
        </w:trPr>
        <w:tc>
          <w:tcPr>
            <w:tcW w:w="10802" w:type="dxa"/>
            <w:gridSpan w:val="6"/>
            <w:shd w:val="clear" w:color="auto" w:fill="auto"/>
          </w:tcPr>
          <w:p w14:paraId="2D81BCD5" w14:textId="77777777" w:rsidR="00A32A54" w:rsidRPr="00EC132D" w:rsidRDefault="00A32A54" w:rsidP="00A32A54">
            <w:pPr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</w:rPr>
            </w:pPr>
            <w:r w:rsidRPr="009072A3">
              <w:rPr>
                <w:rFonts w:ascii="Arial" w:hAnsi="Arial" w:cs="Arial"/>
                <w:b/>
              </w:rPr>
              <w:t>The patient has a 30 degree or greater fixed flexion deformity (contracture) at either the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32A54" w:rsidRPr="00F338CA" w14:paraId="51D1498C" w14:textId="77777777" w:rsidTr="000D636B">
        <w:trPr>
          <w:trHeight w:val="390"/>
        </w:trPr>
        <w:tc>
          <w:tcPr>
            <w:tcW w:w="10157" w:type="dxa"/>
            <w:gridSpan w:val="5"/>
            <w:shd w:val="clear" w:color="auto" w:fill="auto"/>
          </w:tcPr>
          <w:p w14:paraId="64063C9F" w14:textId="77777777" w:rsidR="00A32A54" w:rsidRPr="00F338CA" w:rsidRDefault="00A32A54" w:rsidP="00A32A54">
            <w:pPr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</w:rPr>
            </w:pPr>
            <w:r w:rsidRPr="00F338CA">
              <w:rPr>
                <w:rFonts w:ascii="Arial" w:hAnsi="Arial" w:cs="Arial"/>
              </w:rPr>
              <w:t xml:space="preserve">Metacarpophalangeal joint </w:t>
            </w:r>
            <w:r w:rsidRPr="00F338CA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E50837D" w14:textId="77777777" w:rsidR="00A32A54" w:rsidRPr="001578D9" w:rsidRDefault="00A32A54" w:rsidP="000D636B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338C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338CA">
              <w:rPr>
                <w:rFonts w:ascii="Arial" w:hAnsi="Arial" w:cs="Arial"/>
                <w:b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A32A54" w:rsidRPr="00F338CA" w14:paraId="5C239821" w14:textId="77777777" w:rsidTr="000D636B">
        <w:trPr>
          <w:trHeight w:val="424"/>
        </w:trPr>
        <w:tc>
          <w:tcPr>
            <w:tcW w:w="10157" w:type="dxa"/>
            <w:gridSpan w:val="5"/>
            <w:shd w:val="clear" w:color="auto" w:fill="auto"/>
          </w:tcPr>
          <w:p w14:paraId="64FF525A" w14:textId="77777777" w:rsidR="00A32A54" w:rsidRPr="001578D9" w:rsidRDefault="00A32A54" w:rsidP="00A32A54">
            <w:pPr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</w:rPr>
            </w:pPr>
            <w:r w:rsidRPr="00F338CA">
              <w:rPr>
                <w:rFonts w:ascii="Arial" w:hAnsi="Arial" w:cs="Arial"/>
              </w:rPr>
              <w:t xml:space="preserve">Proximal interphalangeal joint </w:t>
            </w:r>
            <w:r w:rsidRPr="00F338CA"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2074660" w14:textId="77777777" w:rsidR="00A32A54" w:rsidRPr="00F338CA" w:rsidRDefault="00A32A54" w:rsidP="000D63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38C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338C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A32A54" w:rsidRPr="00F338CA" w14:paraId="1725D6E4" w14:textId="77777777" w:rsidTr="000D636B">
        <w:tc>
          <w:tcPr>
            <w:tcW w:w="10157" w:type="dxa"/>
            <w:gridSpan w:val="5"/>
            <w:shd w:val="clear" w:color="auto" w:fill="auto"/>
          </w:tcPr>
          <w:p w14:paraId="5C902039" w14:textId="77777777" w:rsidR="00A32A54" w:rsidRPr="00FB1D49" w:rsidRDefault="00A32A54" w:rsidP="00A32A5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</w:rPr>
            </w:pPr>
            <w:r w:rsidRPr="00FB1D49">
              <w:rPr>
                <w:rFonts w:ascii="Arial" w:hAnsi="Arial" w:cs="Arial"/>
              </w:rPr>
              <w:t>Severe thumb contractures which interfere with function</w:t>
            </w:r>
            <w:r w:rsidRPr="00FB1D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0311CAD" w14:textId="77777777" w:rsidR="00A32A54" w:rsidRPr="00F338CA" w:rsidRDefault="00A32A54" w:rsidP="000D636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8C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338CA">
              <w:rPr>
                <w:rFonts w:ascii="Arial" w:hAnsi="Arial" w:cs="Arial"/>
                <w:b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A32A54" w:rsidRPr="00F338CA" w14:paraId="3A144221" w14:textId="77777777" w:rsidTr="000D636B">
        <w:tc>
          <w:tcPr>
            <w:tcW w:w="10802" w:type="dxa"/>
            <w:gridSpan w:val="6"/>
            <w:shd w:val="clear" w:color="auto" w:fill="auto"/>
          </w:tcPr>
          <w:p w14:paraId="21B1AB97" w14:textId="77777777" w:rsidR="00A32A54" w:rsidRPr="00A6192B" w:rsidRDefault="00A32A54" w:rsidP="000D636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Additional</w:t>
            </w:r>
            <w:r w:rsidRPr="00A6192B">
              <w:rPr>
                <w:rFonts w:ascii="Arial" w:hAnsi="Arial" w:cs="Arial"/>
                <w:b/>
                <w:szCs w:val="22"/>
              </w:rPr>
              <w:t xml:space="preserve"> supporting information can be </w:t>
            </w:r>
            <w:r>
              <w:rPr>
                <w:rFonts w:ascii="Arial" w:hAnsi="Arial" w:cs="Arial"/>
                <w:b/>
                <w:szCs w:val="22"/>
              </w:rPr>
              <w:t>typed here or attached:</w:t>
            </w:r>
          </w:p>
          <w:p w14:paraId="381093A0" w14:textId="77777777" w:rsidR="00A32A54" w:rsidRDefault="00A32A54" w:rsidP="000D636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  <w:p w14:paraId="6EFC3DCF" w14:textId="77777777" w:rsidR="00A32A54" w:rsidRDefault="00A32A54" w:rsidP="000D6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C227D" w14:textId="77777777" w:rsidR="00A32A54" w:rsidRDefault="00A32A54" w:rsidP="000D6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3EBA7" w14:textId="77777777" w:rsidR="00A32A54" w:rsidRPr="00EC132D" w:rsidRDefault="00A32A54" w:rsidP="000D6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A54" w:rsidRPr="00F338CA" w14:paraId="35C7216C" w14:textId="77777777" w:rsidTr="000D636B">
        <w:tc>
          <w:tcPr>
            <w:tcW w:w="10802" w:type="dxa"/>
            <w:gridSpan w:val="6"/>
            <w:shd w:val="clear" w:color="auto" w:fill="auto"/>
          </w:tcPr>
          <w:p w14:paraId="3639CB5F" w14:textId="77777777" w:rsidR="00A32A54" w:rsidRPr="00C97EB5" w:rsidRDefault="00A32A54" w:rsidP="000D636B">
            <w:pPr>
              <w:rPr>
                <w:rFonts w:ascii="Arial" w:hAnsi="Arial" w:cs="Arial"/>
              </w:rPr>
            </w:pPr>
            <w:r w:rsidRPr="00C97EB5">
              <w:rPr>
                <w:rFonts w:ascii="Arial" w:hAnsi="Arial" w:cs="Arial"/>
                <w:b/>
                <w:bCs/>
                <w:u w:val="single"/>
              </w:rPr>
              <w:t>PLEASE NOTE</w:t>
            </w:r>
            <w:r w:rsidRPr="00C97EB5">
              <w:rPr>
                <w:rFonts w:ascii="Arial" w:hAnsi="Arial" w:cs="Arial"/>
                <w:b/>
                <w:bCs/>
              </w:rPr>
              <w:t xml:space="preserve">: </w:t>
            </w:r>
            <w:r w:rsidRPr="00C97EB5">
              <w:rPr>
                <w:rFonts w:ascii="Arial" w:hAnsi="Arial" w:cs="Arial"/>
              </w:rPr>
              <w:t xml:space="preserve">Where an original funding authorisation is for a finger and the secondary care clinician determines when seeing the patient that further surgery is clinically appropriate to other </w:t>
            </w:r>
            <w:r>
              <w:rPr>
                <w:rFonts w:ascii="Arial" w:hAnsi="Arial" w:cs="Arial"/>
              </w:rPr>
              <w:t>digits</w:t>
            </w:r>
            <w:r w:rsidRPr="00C97EB5">
              <w:rPr>
                <w:rFonts w:ascii="Arial" w:hAnsi="Arial" w:cs="Arial"/>
              </w:rPr>
              <w:t>(s) on the same hand, the provider may undertake the other procedure(s) without seeking further funding authorisation where clinical circumstances fall under all the following conditions.</w:t>
            </w:r>
          </w:p>
          <w:p w14:paraId="623BDE1E" w14:textId="77777777" w:rsidR="00A32A54" w:rsidRPr="00C97EB5" w:rsidRDefault="00A32A54" w:rsidP="000D636B">
            <w:pPr>
              <w:rPr>
                <w:rFonts w:ascii="Arial" w:hAnsi="Arial" w:cs="Arial"/>
              </w:rPr>
            </w:pPr>
          </w:p>
          <w:p w14:paraId="2DC5003D" w14:textId="77777777" w:rsidR="00A32A54" w:rsidRPr="00C97EB5" w:rsidRDefault="00A32A54" w:rsidP="00A32A54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</w:rPr>
            </w:pPr>
            <w:r w:rsidRPr="00C97EB5">
              <w:rPr>
                <w:rFonts w:ascii="Arial" w:hAnsi="Arial" w:cs="Arial"/>
              </w:rPr>
              <w:t xml:space="preserve">The NHS Somerset Dupuytren’s Contracture Policy criteria </w:t>
            </w:r>
            <w:proofErr w:type="gramStart"/>
            <w:r w:rsidRPr="00C97EB5">
              <w:rPr>
                <w:rFonts w:ascii="Arial" w:hAnsi="Arial" w:cs="Arial"/>
              </w:rPr>
              <w:t>is</w:t>
            </w:r>
            <w:proofErr w:type="gramEnd"/>
            <w:r w:rsidRPr="00C97EB5">
              <w:rPr>
                <w:rFonts w:ascii="Arial" w:hAnsi="Arial" w:cs="Arial"/>
              </w:rPr>
              <w:t xml:space="preserve"> fulfilled for the other </w:t>
            </w:r>
            <w:r>
              <w:rPr>
                <w:rFonts w:ascii="Arial" w:hAnsi="Arial" w:cs="Arial"/>
              </w:rPr>
              <w:t>digit</w:t>
            </w:r>
            <w:r w:rsidRPr="00C97EB5">
              <w:rPr>
                <w:rFonts w:ascii="Arial" w:hAnsi="Arial" w:cs="Arial"/>
              </w:rPr>
              <w:t>(s)</w:t>
            </w:r>
          </w:p>
          <w:p w14:paraId="1460116C" w14:textId="77777777" w:rsidR="001D47BA" w:rsidRDefault="00A32A54" w:rsidP="001D47BA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</w:rPr>
            </w:pPr>
            <w:r w:rsidRPr="00C97EB5">
              <w:rPr>
                <w:rFonts w:ascii="Arial" w:hAnsi="Arial" w:cs="Arial"/>
              </w:rPr>
              <w:t xml:space="preserve">The treatment would be undertaken within the same </w:t>
            </w:r>
            <w:proofErr w:type="gramStart"/>
            <w:r w:rsidRPr="00C97EB5">
              <w:rPr>
                <w:rFonts w:ascii="Arial" w:hAnsi="Arial" w:cs="Arial"/>
              </w:rPr>
              <w:t>episode</w:t>
            </w:r>
            <w:proofErr w:type="gramEnd"/>
            <w:r w:rsidRPr="00C97EB5">
              <w:rPr>
                <w:rFonts w:ascii="Arial" w:hAnsi="Arial" w:cs="Arial"/>
              </w:rPr>
              <w:t xml:space="preserve"> of care </w:t>
            </w:r>
          </w:p>
          <w:p w14:paraId="44701D2B" w14:textId="77777777" w:rsidR="00A32A54" w:rsidRDefault="00A32A54" w:rsidP="001D47BA">
            <w:pPr>
              <w:numPr>
                <w:ilvl w:val="0"/>
                <w:numId w:val="40"/>
              </w:numPr>
              <w:spacing w:after="240"/>
              <w:contextualSpacing/>
              <w:rPr>
                <w:rFonts w:ascii="Arial" w:hAnsi="Arial" w:cs="Arial"/>
              </w:rPr>
            </w:pPr>
            <w:r w:rsidRPr="001D47BA">
              <w:rPr>
                <w:rFonts w:ascii="Arial" w:hAnsi="Arial" w:cs="Arial"/>
              </w:rPr>
              <w:t>The medical notes must clearly document how the policy treatment criteria have been met for the surgery of the additional digits(s)</w:t>
            </w:r>
          </w:p>
          <w:p w14:paraId="13155E16" w14:textId="1F7987EB" w:rsidR="001D47BA" w:rsidRPr="001D47BA" w:rsidRDefault="001D47BA" w:rsidP="001D47BA">
            <w:pPr>
              <w:spacing w:after="240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7837ED1C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6FE501A8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5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6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5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2BAC58F9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8739CD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2D177716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PA</w:t>
    </w:r>
    <w:r w:rsidR="00A32A54">
      <w:rPr>
        <w:rFonts w:ascii="Arial" w:hAnsi="Arial" w:cs="Arial"/>
        <w:sz w:val="16"/>
        <w:szCs w:val="16"/>
      </w:rPr>
      <w:t xml:space="preserve"> Dupuytren’s Contracture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  <w:r w:rsidR="002B06E4">
      <w:rPr>
        <w:rFonts w:ascii="Arial" w:hAnsi="Arial" w:cs="Arial"/>
        <w:sz w:val="16"/>
        <w:szCs w:val="16"/>
      </w:rPr>
      <w:t>526</w:t>
    </w:r>
    <w:r>
      <w:rPr>
        <w:rFonts w:ascii="Arial" w:hAnsi="Arial" w:cs="Arial"/>
        <w:sz w:val="16"/>
        <w:szCs w:val="16"/>
      </w:rPr>
      <w:t xml:space="preserve"> V</w:t>
    </w:r>
    <w:r w:rsidR="00A32A54">
      <w:rPr>
        <w:rFonts w:ascii="Arial" w:hAnsi="Arial" w:cs="Arial"/>
        <w:sz w:val="16"/>
        <w:szCs w:val="16"/>
      </w:rPr>
      <w:t>6a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B6629B"/>
    <w:multiLevelType w:val="multilevel"/>
    <w:tmpl w:val="E334D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01D524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85015"/>
    <w:multiLevelType w:val="hybridMultilevel"/>
    <w:tmpl w:val="B360F01A"/>
    <w:lvl w:ilvl="0" w:tplc="AFD29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6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9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32"/>
  </w:num>
  <w:num w:numId="3" w16cid:durableId="1230385813">
    <w:abstractNumId w:val="20"/>
  </w:num>
  <w:num w:numId="4" w16cid:durableId="1556887650">
    <w:abstractNumId w:val="21"/>
  </w:num>
  <w:num w:numId="5" w16cid:durableId="1104764939">
    <w:abstractNumId w:val="28"/>
  </w:num>
  <w:num w:numId="6" w16cid:durableId="1399934014">
    <w:abstractNumId w:val="22"/>
  </w:num>
  <w:num w:numId="7" w16cid:durableId="294524254">
    <w:abstractNumId w:val="5"/>
  </w:num>
  <w:num w:numId="8" w16cid:durableId="916594525">
    <w:abstractNumId w:val="27"/>
  </w:num>
  <w:num w:numId="9" w16cid:durableId="752354123">
    <w:abstractNumId w:val="9"/>
  </w:num>
  <w:num w:numId="10" w16cid:durableId="1852915326">
    <w:abstractNumId w:val="34"/>
  </w:num>
  <w:num w:numId="11" w16cid:durableId="2101633978">
    <w:abstractNumId w:val="24"/>
  </w:num>
  <w:num w:numId="12" w16cid:durableId="1561400210">
    <w:abstractNumId w:val="37"/>
  </w:num>
  <w:num w:numId="13" w16cid:durableId="1992981998">
    <w:abstractNumId w:val="36"/>
  </w:num>
  <w:num w:numId="14" w16cid:durableId="1269965785">
    <w:abstractNumId w:val="11"/>
  </w:num>
  <w:num w:numId="15" w16cid:durableId="812213039">
    <w:abstractNumId w:val="1"/>
  </w:num>
  <w:num w:numId="16" w16cid:durableId="1225799802">
    <w:abstractNumId w:val="16"/>
  </w:num>
  <w:num w:numId="17" w16cid:durableId="845947350">
    <w:abstractNumId w:val="0"/>
  </w:num>
  <w:num w:numId="18" w16cid:durableId="2069183952">
    <w:abstractNumId w:val="25"/>
  </w:num>
  <w:num w:numId="19" w16cid:durableId="1724867451">
    <w:abstractNumId w:val="7"/>
  </w:num>
  <w:num w:numId="20" w16cid:durableId="1884710071">
    <w:abstractNumId w:val="18"/>
  </w:num>
  <w:num w:numId="21" w16cid:durableId="289678232">
    <w:abstractNumId w:val="19"/>
  </w:num>
  <w:num w:numId="22" w16cid:durableId="1976180901">
    <w:abstractNumId w:val="10"/>
  </w:num>
  <w:num w:numId="23" w16cid:durableId="798037144">
    <w:abstractNumId w:val="30"/>
  </w:num>
  <w:num w:numId="24" w16cid:durableId="154878802">
    <w:abstractNumId w:val="8"/>
  </w:num>
  <w:num w:numId="25" w16cid:durableId="1194659442">
    <w:abstractNumId w:val="6"/>
  </w:num>
  <w:num w:numId="26" w16cid:durableId="1985233141">
    <w:abstractNumId w:val="29"/>
  </w:num>
  <w:num w:numId="27" w16cid:durableId="112067692">
    <w:abstractNumId w:val="13"/>
  </w:num>
  <w:num w:numId="28" w16cid:durableId="898714264">
    <w:abstractNumId w:val="38"/>
  </w:num>
  <w:num w:numId="29" w16cid:durableId="498812065">
    <w:abstractNumId w:val="2"/>
  </w:num>
  <w:num w:numId="30" w16cid:durableId="1173304755">
    <w:abstractNumId w:val="26"/>
  </w:num>
  <w:num w:numId="31" w16cid:durableId="6226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6"/>
  </w:num>
  <w:num w:numId="33" w16cid:durableId="293414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31"/>
  </w:num>
  <w:num w:numId="35" w16cid:durableId="2143649155">
    <w:abstractNumId w:val="4"/>
  </w:num>
  <w:num w:numId="36" w16cid:durableId="884830336">
    <w:abstractNumId w:val="35"/>
  </w:num>
  <w:num w:numId="37" w16cid:durableId="1045569433">
    <w:abstractNumId w:val="17"/>
  </w:num>
  <w:num w:numId="38" w16cid:durableId="644774088">
    <w:abstractNumId w:val="14"/>
  </w:num>
  <w:num w:numId="39" w16cid:durableId="1162551828">
    <w:abstractNumId w:val="23"/>
  </w:num>
  <w:num w:numId="40" w16cid:durableId="57836998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F"/>
    <w:rsid w:val="001C0632"/>
    <w:rsid w:val="001C548E"/>
    <w:rsid w:val="001C68D8"/>
    <w:rsid w:val="001C6D52"/>
    <w:rsid w:val="001D0FE8"/>
    <w:rsid w:val="001D47BA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73599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96CDB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D61"/>
    <w:rsid w:val="007859B9"/>
    <w:rsid w:val="00792FA6"/>
    <w:rsid w:val="00793361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39CD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2A54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83419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D6CB9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F0108A"/>
    <w:rsid w:val="00F07125"/>
    <w:rsid w:val="00F115DC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6</cp:revision>
  <cp:lastPrinted>2020-06-20T06:31:00Z</cp:lastPrinted>
  <dcterms:created xsi:type="dcterms:W3CDTF">2025-07-30T10:56:00Z</dcterms:created>
  <dcterms:modified xsi:type="dcterms:W3CDTF">2025-08-11T09:50:00Z</dcterms:modified>
</cp:coreProperties>
</file>