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3402"/>
        <w:gridCol w:w="1719"/>
        <w:gridCol w:w="1967"/>
        <w:gridCol w:w="415"/>
        <w:gridCol w:w="3259"/>
      </w:tblGrid>
      <w:tr w:rsidR="00433F75" w14:paraId="36C2670A" w14:textId="77777777" w:rsidTr="00DD46E9">
        <w:tc>
          <w:tcPr>
            <w:tcW w:w="7503" w:type="dxa"/>
            <w:gridSpan w:val="4"/>
            <w:vAlign w:val="center"/>
          </w:tcPr>
          <w:p w14:paraId="56556064" w14:textId="28B64EEE" w:rsidR="00433F75" w:rsidRPr="00680FA9" w:rsidRDefault="00433F75" w:rsidP="00433F75">
            <w:pPr>
              <w:jc w:val="center"/>
              <w:rPr>
                <w:rFonts w:cstheme="minorHAnsi"/>
                <w:b/>
                <w:bCs/>
                <w:sz w:val="40"/>
                <w:szCs w:val="40"/>
              </w:rPr>
            </w:pPr>
            <w:r w:rsidRPr="00680FA9">
              <w:rPr>
                <w:rFonts w:cstheme="minorHAnsi"/>
                <w:b/>
                <w:bCs/>
                <w:sz w:val="40"/>
                <w:szCs w:val="40"/>
              </w:rPr>
              <w:t>LeDeR Learning Brief</w:t>
            </w:r>
            <w:r w:rsidR="00B908EC" w:rsidRPr="00680FA9">
              <w:rPr>
                <w:rFonts w:cstheme="minorHAnsi"/>
                <w:b/>
                <w:bCs/>
                <w:sz w:val="40"/>
                <w:szCs w:val="40"/>
              </w:rPr>
              <w:t xml:space="preserve"> 1</w:t>
            </w:r>
            <w:r w:rsidR="007E09E2">
              <w:rPr>
                <w:rFonts w:cstheme="minorHAnsi"/>
                <w:b/>
                <w:bCs/>
                <w:sz w:val="40"/>
                <w:szCs w:val="40"/>
              </w:rPr>
              <w:t>.1</w:t>
            </w:r>
          </w:p>
          <w:p w14:paraId="1440BB61" w14:textId="3B6D8890" w:rsidR="00433F75" w:rsidRPr="00680FA9" w:rsidRDefault="00433F75" w:rsidP="00433F75">
            <w:pPr>
              <w:jc w:val="center"/>
              <w:rPr>
                <w:rFonts w:cstheme="minorHAnsi"/>
                <w:b/>
                <w:bCs/>
                <w:sz w:val="44"/>
                <w:szCs w:val="44"/>
              </w:rPr>
            </w:pPr>
            <w:r w:rsidRPr="00680FA9">
              <w:rPr>
                <w:rStyle w:val="IntenseEmphasis"/>
                <w:rFonts w:cstheme="minorHAnsi"/>
                <w:b/>
                <w:bCs/>
                <w:sz w:val="40"/>
                <w:szCs w:val="40"/>
              </w:rPr>
              <w:t xml:space="preserve">Eating, </w:t>
            </w:r>
            <w:proofErr w:type="gramStart"/>
            <w:r w:rsidRPr="00680FA9">
              <w:rPr>
                <w:rStyle w:val="IntenseEmphasis"/>
                <w:rFonts w:cstheme="minorHAnsi"/>
                <w:b/>
                <w:bCs/>
                <w:sz w:val="40"/>
                <w:szCs w:val="40"/>
              </w:rPr>
              <w:t>drinking</w:t>
            </w:r>
            <w:proofErr w:type="gramEnd"/>
            <w:r w:rsidRPr="00680FA9">
              <w:rPr>
                <w:rStyle w:val="IntenseEmphasis"/>
                <w:rFonts w:cstheme="minorHAnsi"/>
                <w:b/>
                <w:bCs/>
                <w:sz w:val="40"/>
                <w:szCs w:val="40"/>
              </w:rPr>
              <w:t xml:space="preserve"> and swallowing </w:t>
            </w:r>
            <w:r w:rsidR="00680FA9" w:rsidRPr="00680FA9">
              <w:rPr>
                <w:rStyle w:val="IntenseEmphasis"/>
                <w:rFonts w:cstheme="minorHAnsi"/>
                <w:b/>
                <w:bCs/>
                <w:sz w:val="40"/>
                <w:szCs w:val="40"/>
              </w:rPr>
              <w:t xml:space="preserve">difficulties  </w:t>
            </w:r>
            <w:r w:rsidRPr="00680FA9">
              <w:rPr>
                <w:rStyle w:val="IntenseEmphasis"/>
                <w:rFonts w:cstheme="minorHAnsi"/>
                <w:b/>
                <w:bCs/>
                <w:sz w:val="40"/>
                <w:szCs w:val="40"/>
              </w:rPr>
              <w:t>(dysphagia)</w:t>
            </w:r>
          </w:p>
        </w:tc>
        <w:tc>
          <w:tcPr>
            <w:tcW w:w="3259" w:type="dxa"/>
          </w:tcPr>
          <w:p w14:paraId="12613888" w14:textId="6C08A0D8" w:rsidR="00433F75" w:rsidRDefault="00433F75" w:rsidP="00433F75">
            <w:pPr>
              <w:jc w:val="right"/>
            </w:pPr>
            <w:r>
              <w:rPr>
                <w:noProof/>
              </w:rPr>
              <w:drawing>
                <wp:inline distT="0" distB="0" distL="0" distR="0" wp14:anchorId="220F7C33" wp14:editId="0D6713C3">
                  <wp:extent cx="1819628" cy="10795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55434"/>
                          <a:stretch/>
                        </pic:blipFill>
                        <pic:spPr bwMode="auto">
                          <a:xfrm>
                            <a:off x="0" y="0"/>
                            <a:ext cx="1820471" cy="1080000"/>
                          </a:xfrm>
                          <a:prstGeom prst="rect">
                            <a:avLst/>
                          </a:prstGeom>
                          <a:ln>
                            <a:noFill/>
                          </a:ln>
                          <a:extLst>
                            <a:ext uri="{53640926-AAD7-44D8-BBD7-CCE9431645EC}">
                              <a14:shadowObscured xmlns:a14="http://schemas.microsoft.com/office/drawing/2010/main"/>
                            </a:ext>
                          </a:extLst>
                        </pic:spPr>
                      </pic:pic>
                    </a:graphicData>
                  </a:graphic>
                </wp:inline>
              </w:drawing>
            </w:r>
          </w:p>
        </w:tc>
      </w:tr>
      <w:tr w:rsidR="00E1325F" w:rsidRPr="00680FA9" w14:paraId="418EC2EB" w14:textId="77777777" w:rsidTr="00DD46E9">
        <w:trPr>
          <w:trHeight w:val="709"/>
        </w:trPr>
        <w:tc>
          <w:tcPr>
            <w:tcW w:w="10762" w:type="dxa"/>
            <w:gridSpan w:val="5"/>
            <w:shd w:val="clear" w:color="auto" w:fill="DEEAF6" w:themeFill="accent5" w:themeFillTint="33"/>
            <w:vAlign w:val="center"/>
          </w:tcPr>
          <w:p w14:paraId="218334D6" w14:textId="5190533E" w:rsidR="00E1325F" w:rsidRPr="00680FA9" w:rsidRDefault="00E1325F" w:rsidP="00E1325F">
            <w:pPr>
              <w:spacing w:line="276" w:lineRule="auto"/>
              <w:jc w:val="center"/>
              <w:rPr>
                <w:rFonts w:cstheme="minorHAnsi"/>
                <w:b/>
                <w:bCs/>
              </w:rPr>
            </w:pPr>
            <w:r w:rsidRPr="00680FA9">
              <w:rPr>
                <w:rFonts w:eastAsia="Times New Roman" w:cstheme="minorHAnsi"/>
              </w:rPr>
              <w:t xml:space="preserve">The </w:t>
            </w:r>
            <w:r w:rsidRPr="00680FA9">
              <w:rPr>
                <w:rFonts w:eastAsia="Times New Roman" w:cstheme="minorHAnsi"/>
                <w:b/>
                <w:bCs/>
              </w:rPr>
              <w:t>LeDeR programme</w:t>
            </w:r>
            <w:r w:rsidRPr="00680FA9">
              <w:rPr>
                <w:rFonts w:eastAsia="Times New Roman" w:cstheme="minorHAnsi"/>
              </w:rPr>
              <w:t xml:space="preserve"> aims to improve care, reduce health inequalities  and prevent early deaths of people with a learning disability and autistic people.  Email us at </w:t>
            </w:r>
            <w:hyperlink r:id="rId6" w:history="1">
              <w:r w:rsidRPr="00680FA9">
                <w:rPr>
                  <w:rStyle w:val="Hyperlink"/>
                  <w:rFonts w:eastAsia="Times New Roman" w:cstheme="minorHAnsi"/>
                </w:rPr>
                <w:t>somicb.leder@nhs.net</w:t>
              </w:r>
            </w:hyperlink>
            <w:r w:rsidRPr="00680FA9">
              <w:rPr>
                <w:rFonts w:eastAsia="Times New Roman" w:cstheme="minorHAnsi"/>
              </w:rPr>
              <w:t xml:space="preserve"> for further information.</w:t>
            </w:r>
          </w:p>
        </w:tc>
      </w:tr>
      <w:tr w:rsidR="001E254E" w:rsidRPr="00680FA9" w14:paraId="7EC4B309" w14:textId="77777777" w:rsidTr="00DD46E9">
        <w:trPr>
          <w:trHeight w:val="4649"/>
        </w:trPr>
        <w:tc>
          <w:tcPr>
            <w:tcW w:w="10762" w:type="dxa"/>
            <w:gridSpan w:val="5"/>
            <w:shd w:val="clear" w:color="auto" w:fill="BDD6EE" w:themeFill="accent5" w:themeFillTint="66"/>
            <w:vAlign w:val="center"/>
          </w:tcPr>
          <w:p w14:paraId="308B95A9" w14:textId="5A785370" w:rsidR="007707E9" w:rsidRPr="00680FA9" w:rsidRDefault="0045251A" w:rsidP="00680FA9">
            <w:pPr>
              <w:spacing w:after="120"/>
              <w:rPr>
                <w:rFonts w:cstheme="minorHAnsi"/>
              </w:rPr>
            </w:pPr>
            <w:r w:rsidRPr="00680FA9">
              <w:rPr>
                <w:rFonts w:cstheme="minorHAnsi"/>
                <w:b/>
                <w:bCs/>
              </w:rPr>
              <w:t>Case Study:</w:t>
            </w:r>
            <w:r w:rsidRPr="00680FA9">
              <w:rPr>
                <w:rFonts w:cstheme="minorHAnsi"/>
              </w:rPr>
              <w:t xml:space="preserve"> This learning brief draws on the </w:t>
            </w:r>
            <w:proofErr w:type="gramStart"/>
            <w:r w:rsidR="007379BF" w:rsidRPr="00680FA9">
              <w:rPr>
                <w:rFonts w:cstheme="minorHAnsi"/>
              </w:rPr>
              <w:t>C</w:t>
            </w:r>
            <w:r w:rsidRPr="00680FA9">
              <w:rPr>
                <w:rFonts w:cstheme="minorHAnsi"/>
              </w:rPr>
              <w:t>oroner’s</w:t>
            </w:r>
            <w:proofErr w:type="gramEnd"/>
            <w:r w:rsidRPr="00680FA9">
              <w:rPr>
                <w:rFonts w:cstheme="minorHAnsi"/>
              </w:rPr>
              <w:t xml:space="preserve"> report regarding a</w:t>
            </w:r>
            <w:r w:rsidR="00506119" w:rsidRPr="00680FA9">
              <w:rPr>
                <w:rFonts w:cstheme="minorHAnsi"/>
              </w:rPr>
              <w:t xml:space="preserve"> person with </w:t>
            </w:r>
            <w:r w:rsidRPr="00680FA9">
              <w:rPr>
                <w:rFonts w:cstheme="minorHAnsi"/>
              </w:rPr>
              <w:t>learning disabilities</w:t>
            </w:r>
            <w:r w:rsidR="00506119" w:rsidRPr="00680FA9">
              <w:rPr>
                <w:rFonts w:cstheme="minorHAnsi"/>
              </w:rPr>
              <w:t xml:space="preserve"> and autism</w:t>
            </w:r>
            <w:r w:rsidRPr="00680FA9">
              <w:rPr>
                <w:rFonts w:cstheme="minorHAnsi"/>
              </w:rPr>
              <w:t xml:space="preserve"> in Somerset</w:t>
            </w:r>
            <w:r w:rsidR="00506119" w:rsidRPr="00680FA9">
              <w:rPr>
                <w:rFonts w:cstheme="minorHAnsi"/>
              </w:rPr>
              <w:t xml:space="preserve">, </w:t>
            </w:r>
            <w:r w:rsidRPr="00680FA9">
              <w:rPr>
                <w:rFonts w:cstheme="minorHAnsi"/>
              </w:rPr>
              <w:t xml:space="preserve">who choked and subsequently died. </w:t>
            </w:r>
            <w:r w:rsidR="00506119" w:rsidRPr="00680FA9">
              <w:rPr>
                <w:rFonts w:cstheme="minorHAnsi"/>
              </w:rPr>
              <w:t xml:space="preserve">They </w:t>
            </w:r>
            <w:r w:rsidRPr="00680FA9">
              <w:rPr>
                <w:rFonts w:cstheme="minorHAnsi"/>
              </w:rPr>
              <w:t>had been assessed by Speech and Language Therapy</w:t>
            </w:r>
            <w:r w:rsidR="00506119" w:rsidRPr="00680FA9">
              <w:rPr>
                <w:rFonts w:cstheme="minorHAnsi"/>
              </w:rPr>
              <w:t xml:space="preserve"> and their </w:t>
            </w:r>
            <w:r w:rsidRPr="00680FA9">
              <w:rPr>
                <w:rFonts w:cstheme="minorHAnsi"/>
              </w:rPr>
              <w:t xml:space="preserve">care plan stated bread products such as sandwiches should be served cut into pieces no bigger than </w:t>
            </w:r>
            <w:r w:rsidR="007E09E2">
              <w:rPr>
                <w:rFonts w:cstheme="minorHAnsi"/>
              </w:rPr>
              <w:t>1</w:t>
            </w:r>
            <w:r w:rsidRPr="00680FA9">
              <w:rPr>
                <w:rFonts w:cstheme="minorHAnsi"/>
              </w:rPr>
              <w:t xml:space="preserve">.5 cm by </w:t>
            </w:r>
            <w:r w:rsidR="007E09E2">
              <w:rPr>
                <w:rFonts w:cstheme="minorHAnsi"/>
              </w:rPr>
              <w:t>1</w:t>
            </w:r>
            <w:r w:rsidRPr="00680FA9">
              <w:rPr>
                <w:rFonts w:cstheme="minorHAnsi"/>
              </w:rPr>
              <w:t xml:space="preserve">.5 cm. </w:t>
            </w:r>
            <w:r w:rsidR="009200B6" w:rsidRPr="00680FA9">
              <w:rPr>
                <w:rFonts w:cstheme="minorHAnsi"/>
              </w:rPr>
              <w:t>They were</w:t>
            </w:r>
            <w:r w:rsidRPr="00680FA9">
              <w:rPr>
                <w:rFonts w:cstheme="minorHAnsi"/>
              </w:rPr>
              <w:t xml:space="preserve"> served a sandwich cut</w:t>
            </w:r>
            <w:r w:rsidR="007379BF" w:rsidRPr="00680FA9">
              <w:rPr>
                <w:rFonts w:cstheme="minorHAnsi"/>
              </w:rPr>
              <w:t xml:space="preserve"> only</w:t>
            </w:r>
            <w:r w:rsidRPr="00680FA9">
              <w:rPr>
                <w:rFonts w:cstheme="minorHAnsi"/>
              </w:rPr>
              <w:t xml:space="preserve"> in half and not in accordance with the professional advice. </w:t>
            </w:r>
            <w:r w:rsidR="007707E9" w:rsidRPr="00680FA9">
              <w:rPr>
                <w:rFonts w:cstheme="minorHAnsi"/>
              </w:rPr>
              <w:t>They</w:t>
            </w:r>
            <w:r w:rsidRPr="00680FA9">
              <w:rPr>
                <w:rFonts w:cstheme="minorHAnsi"/>
              </w:rPr>
              <w:t xml:space="preserve"> choked on the sandwich and suffered a fatal hypoxic brain injury. </w:t>
            </w:r>
          </w:p>
          <w:p w14:paraId="1823E9C9" w14:textId="49ACD14D" w:rsidR="0045251A" w:rsidRPr="00680FA9" w:rsidRDefault="0045251A" w:rsidP="00680FA9">
            <w:pPr>
              <w:spacing w:after="120"/>
              <w:rPr>
                <w:rFonts w:cstheme="minorHAnsi"/>
              </w:rPr>
            </w:pPr>
            <w:r w:rsidRPr="00680FA9">
              <w:rPr>
                <w:rFonts w:cstheme="minorHAnsi"/>
              </w:rPr>
              <w:t xml:space="preserve">The </w:t>
            </w:r>
            <w:proofErr w:type="gramStart"/>
            <w:r w:rsidR="007379BF" w:rsidRPr="00680FA9">
              <w:rPr>
                <w:rFonts w:cstheme="minorHAnsi"/>
              </w:rPr>
              <w:t>C</w:t>
            </w:r>
            <w:r w:rsidRPr="00680FA9">
              <w:rPr>
                <w:rFonts w:cstheme="minorHAnsi"/>
              </w:rPr>
              <w:t>oroner</w:t>
            </w:r>
            <w:proofErr w:type="gramEnd"/>
            <w:r w:rsidRPr="00680FA9">
              <w:rPr>
                <w:rFonts w:cstheme="minorHAnsi"/>
              </w:rPr>
              <w:t xml:space="preserve"> also commented on the negative effects changes in medication had on </w:t>
            </w:r>
            <w:r w:rsidR="007707E9" w:rsidRPr="00680FA9">
              <w:rPr>
                <w:rFonts w:cstheme="minorHAnsi"/>
              </w:rPr>
              <w:t>their</w:t>
            </w:r>
            <w:r w:rsidRPr="00680FA9">
              <w:rPr>
                <w:rFonts w:cstheme="minorHAnsi"/>
              </w:rPr>
              <w:t xml:space="preserve"> last year of life. </w:t>
            </w:r>
            <w:r w:rsidR="00B908EC" w:rsidRPr="00680FA9">
              <w:rPr>
                <w:rFonts w:cstheme="minorHAnsi"/>
              </w:rPr>
              <w:t>W</w:t>
            </w:r>
            <w:r w:rsidRPr="00680FA9">
              <w:rPr>
                <w:rFonts w:cstheme="minorHAnsi"/>
              </w:rPr>
              <w:t xml:space="preserve">hilst this wasn’t the cause of the actual choking </w:t>
            </w:r>
            <w:proofErr w:type="gramStart"/>
            <w:r w:rsidRPr="00680FA9">
              <w:rPr>
                <w:rFonts w:cstheme="minorHAnsi"/>
              </w:rPr>
              <w:t>incident</w:t>
            </w:r>
            <w:proofErr w:type="gramEnd"/>
            <w:r w:rsidRPr="00680FA9">
              <w:rPr>
                <w:rFonts w:cstheme="minorHAnsi"/>
              </w:rPr>
              <w:t xml:space="preserve"> he felt strongly that it</w:t>
            </w:r>
            <w:r w:rsidR="00234CD5" w:rsidRPr="00680FA9">
              <w:rPr>
                <w:rFonts w:cstheme="minorHAnsi"/>
              </w:rPr>
              <w:t xml:space="preserve"> </w:t>
            </w:r>
            <w:r w:rsidRPr="00680FA9">
              <w:rPr>
                <w:rFonts w:cstheme="minorHAnsi"/>
              </w:rPr>
              <w:t>contributed to mental and physical deterioration and th</w:t>
            </w:r>
            <w:r w:rsidR="007379BF" w:rsidRPr="00680FA9">
              <w:rPr>
                <w:rFonts w:cstheme="minorHAnsi"/>
              </w:rPr>
              <w:t xml:space="preserve">at </w:t>
            </w:r>
            <w:r w:rsidR="007707E9" w:rsidRPr="00680FA9">
              <w:rPr>
                <w:rFonts w:cstheme="minorHAnsi"/>
              </w:rPr>
              <w:t>their</w:t>
            </w:r>
            <w:r w:rsidRPr="00680FA9">
              <w:rPr>
                <w:rFonts w:cstheme="minorHAnsi"/>
              </w:rPr>
              <w:t xml:space="preserve"> change in behaviour around eating was a symptom of this. </w:t>
            </w:r>
          </w:p>
          <w:p w14:paraId="34CC7DB7" w14:textId="22954042" w:rsidR="0045251A" w:rsidRPr="00680FA9" w:rsidRDefault="0045251A" w:rsidP="00680FA9">
            <w:pPr>
              <w:pStyle w:val="ListParagraph"/>
              <w:numPr>
                <w:ilvl w:val="0"/>
                <w:numId w:val="2"/>
              </w:numPr>
              <w:spacing w:after="120"/>
              <w:rPr>
                <w:rFonts w:cstheme="minorHAnsi"/>
              </w:rPr>
            </w:pPr>
            <w:r w:rsidRPr="00680FA9">
              <w:rPr>
                <w:rFonts w:cstheme="minorHAnsi"/>
              </w:rPr>
              <w:t>This case is a key driver in improving the safety of eating and drinking support in Somerset. Without this</w:t>
            </w:r>
            <w:r w:rsidR="007379BF" w:rsidRPr="00680FA9">
              <w:rPr>
                <w:rFonts w:cstheme="minorHAnsi"/>
              </w:rPr>
              <w:t>,</w:t>
            </w:r>
            <w:r w:rsidRPr="00680FA9">
              <w:rPr>
                <w:rFonts w:cstheme="minorHAnsi"/>
              </w:rPr>
              <w:t xml:space="preserve"> further deaths may occur. The </w:t>
            </w:r>
            <w:proofErr w:type="gramStart"/>
            <w:r w:rsidR="007379BF" w:rsidRPr="00680FA9">
              <w:rPr>
                <w:rFonts w:cstheme="minorHAnsi"/>
              </w:rPr>
              <w:t>C</w:t>
            </w:r>
            <w:r w:rsidRPr="00680FA9">
              <w:rPr>
                <w:rFonts w:cstheme="minorHAnsi"/>
              </w:rPr>
              <w:t>oroner</w:t>
            </w:r>
            <w:proofErr w:type="gramEnd"/>
            <w:r w:rsidRPr="00680FA9">
              <w:rPr>
                <w:rFonts w:cstheme="minorHAnsi"/>
              </w:rPr>
              <w:t xml:space="preserve"> identified that better training should be given to staff in respect of choking risks. In this case it was felt the risk of choking did not appear to have been adequately recognised by staff. </w:t>
            </w:r>
          </w:p>
          <w:p w14:paraId="23FFAA14" w14:textId="6770C92D" w:rsidR="0045251A" w:rsidRPr="00680FA9" w:rsidRDefault="0045251A" w:rsidP="00680FA9">
            <w:pPr>
              <w:pStyle w:val="ListParagraph"/>
              <w:numPr>
                <w:ilvl w:val="0"/>
                <w:numId w:val="2"/>
              </w:numPr>
              <w:spacing w:after="120"/>
              <w:rPr>
                <w:rFonts w:cstheme="minorHAnsi"/>
              </w:rPr>
            </w:pPr>
            <w:r w:rsidRPr="00680FA9">
              <w:rPr>
                <w:rFonts w:cstheme="minorHAnsi"/>
              </w:rPr>
              <w:t xml:space="preserve">The </w:t>
            </w:r>
            <w:proofErr w:type="gramStart"/>
            <w:r w:rsidR="007379BF" w:rsidRPr="00680FA9">
              <w:rPr>
                <w:rFonts w:cstheme="minorHAnsi"/>
              </w:rPr>
              <w:t>C</w:t>
            </w:r>
            <w:r w:rsidRPr="00680FA9">
              <w:rPr>
                <w:rFonts w:cstheme="minorHAnsi"/>
              </w:rPr>
              <w:t>oroner</w:t>
            </w:r>
            <w:proofErr w:type="gramEnd"/>
            <w:r w:rsidRPr="00680FA9">
              <w:rPr>
                <w:rFonts w:cstheme="minorHAnsi"/>
              </w:rPr>
              <w:t xml:space="preserve"> stated that improved training of staff, carers and their respective managers may have the potential to increase adherence to meal time recommendations and lessen the risk of choking.</w:t>
            </w:r>
          </w:p>
          <w:p w14:paraId="15B93F79" w14:textId="13884EA0" w:rsidR="001E254E" w:rsidRPr="00680FA9" w:rsidRDefault="0045251A" w:rsidP="00680FA9">
            <w:pPr>
              <w:spacing w:after="120"/>
              <w:rPr>
                <w:rFonts w:cstheme="minorHAnsi"/>
                <w:noProof/>
              </w:rPr>
            </w:pPr>
            <w:r w:rsidRPr="00680FA9">
              <w:rPr>
                <w:rFonts w:cstheme="minorHAnsi"/>
                <w:b/>
                <w:bCs/>
              </w:rPr>
              <w:t xml:space="preserve">Further to the </w:t>
            </w:r>
            <w:r w:rsidR="007379BF" w:rsidRPr="00680FA9">
              <w:rPr>
                <w:rFonts w:cstheme="minorHAnsi"/>
                <w:b/>
                <w:bCs/>
              </w:rPr>
              <w:t>C</w:t>
            </w:r>
            <w:r w:rsidRPr="00680FA9">
              <w:rPr>
                <w:rFonts w:cstheme="minorHAnsi"/>
                <w:b/>
                <w:bCs/>
              </w:rPr>
              <w:t xml:space="preserve">oroner’s report this </w:t>
            </w:r>
            <w:r w:rsidR="00234CD5" w:rsidRPr="00680FA9">
              <w:rPr>
                <w:rFonts w:cstheme="minorHAnsi"/>
                <w:b/>
                <w:bCs/>
              </w:rPr>
              <w:t>L</w:t>
            </w:r>
            <w:r w:rsidRPr="00680FA9">
              <w:rPr>
                <w:rFonts w:cstheme="minorHAnsi"/>
                <w:b/>
                <w:bCs/>
              </w:rPr>
              <w:t xml:space="preserve">earning </w:t>
            </w:r>
            <w:r w:rsidR="00234CD5" w:rsidRPr="00680FA9">
              <w:rPr>
                <w:rFonts w:cstheme="minorHAnsi"/>
                <w:b/>
                <w:bCs/>
              </w:rPr>
              <w:t>B</w:t>
            </w:r>
            <w:r w:rsidRPr="00680FA9">
              <w:rPr>
                <w:rFonts w:cstheme="minorHAnsi"/>
                <w:b/>
                <w:bCs/>
              </w:rPr>
              <w:t xml:space="preserve">rief highlights areas of good practice in supporting people with eating, drinking and swallowing needs. </w:t>
            </w:r>
          </w:p>
        </w:tc>
      </w:tr>
      <w:tr w:rsidR="007C1B96" w:rsidRPr="00680FA9" w14:paraId="41230213" w14:textId="77777777" w:rsidTr="00DD46E9">
        <w:trPr>
          <w:trHeight w:val="2551"/>
        </w:trPr>
        <w:tc>
          <w:tcPr>
            <w:tcW w:w="3402" w:type="dxa"/>
            <w:shd w:val="clear" w:color="auto" w:fill="DEEAF6" w:themeFill="accent5" w:themeFillTint="33"/>
            <w:vAlign w:val="center"/>
          </w:tcPr>
          <w:p w14:paraId="1E89F5FD" w14:textId="6BE96615" w:rsidR="007C1B96" w:rsidRPr="00680FA9" w:rsidRDefault="00972DB5" w:rsidP="00310DA4">
            <w:pPr>
              <w:rPr>
                <w:rFonts w:cstheme="minorHAnsi"/>
                <w:b/>
                <w:bCs/>
              </w:rPr>
            </w:pPr>
            <w:r w:rsidRPr="00680FA9">
              <w:rPr>
                <w:rFonts w:cstheme="minorHAnsi"/>
                <w:b/>
                <w:bCs/>
              </w:rPr>
              <w:t>Learning from Deaths</w:t>
            </w:r>
          </w:p>
          <w:p w14:paraId="7502CD55" w14:textId="36249073" w:rsidR="00A93250" w:rsidRPr="00680FA9" w:rsidRDefault="007C1B96" w:rsidP="00010BD8">
            <w:pPr>
              <w:rPr>
                <w:rFonts w:cstheme="minorHAnsi"/>
              </w:rPr>
            </w:pPr>
            <w:r w:rsidRPr="00680FA9">
              <w:rPr>
                <w:rFonts w:cstheme="minorHAnsi"/>
              </w:rPr>
              <w:t xml:space="preserve">In the King’s College 2021 LeDeR report dysphagia is listed as one of the five most frequently reported long term health conditions in 23% of people who died and who had received an initial review. See the full report here </w:t>
            </w:r>
            <w:hyperlink r:id="rId7" w:history="1">
              <w:r w:rsidRPr="00DD46E9">
                <w:rPr>
                  <w:rStyle w:val="Hyperlink"/>
                  <w:rFonts w:cstheme="minorHAnsi"/>
                  <w:sz w:val="21"/>
                  <w:szCs w:val="21"/>
                </w:rPr>
                <w:t>leder-main-report-hyperlinked.pdf (kcl.ac.uk)</w:t>
              </w:r>
            </w:hyperlink>
          </w:p>
        </w:tc>
        <w:tc>
          <w:tcPr>
            <w:tcW w:w="3686" w:type="dxa"/>
            <w:gridSpan w:val="2"/>
            <w:shd w:val="clear" w:color="auto" w:fill="D5DCE4" w:themeFill="text2" w:themeFillTint="33"/>
            <w:vAlign w:val="center"/>
          </w:tcPr>
          <w:p w14:paraId="23DFD5F8" w14:textId="6F96A6F2" w:rsidR="00A93250" w:rsidRPr="00680FA9" w:rsidRDefault="00A93250" w:rsidP="00310DA4">
            <w:pPr>
              <w:rPr>
                <w:rFonts w:cstheme="minorHAnsi"/>
              </w:rPr>
            </w:pPr>
            <w:r w:rsidRPr="00680FA9">
              <w:rPr>
                <w:rFonts w:cstheme="minorHAnsi"/>
                <w:b/>
                <w:bCs/>
              </w:rPr>
              <w:t>Systems</w:t>
            </w:r>
          </w:p>
          <w:p w14:paraId="4BDEEEED" w14:textId="121A0BB9" w:rsidR="00CF1D3D" w:rsidRPr="00680FA9" w:rsidRDefault="00A93250" w:rsidP="00310DA4">
            <w:pPr>
              <w:rPr>
                <w:rFonts w:cstheme="minorHAnsi"/>
              </w:rPr>
            </w:pPr>
            <w:r w:rsidRPr="00680FA9">
              <w:rPr>
                <w:rFonts w:cstheme="minorHAnsi"/>
              </w:rPr>
              <w:t xml:space="preserve">Don’t wait to </w:t>
            </w:r>
            <w:r w:rsidR="00CF1D3D" w:rsidRPr="00680FA9">
              <w:rPr>
                <w:rFonts w:cstheme="minorHAnsi"/>
              </w:rPr>
              <w:t xml:space="preserve">make a </w:t>
            </w:r>
            <w:r w:rsidRPr="00680FA9">
              <w:rPr>
                <w:rFonts w:cstheme="minorHAnsi"/>
              </w:rPr>
              <w:t>refer</w:t>
            </w:r>
            <w:r w:rsidR="00CF1D3D" w:rsidRPr="00680FA9">
              <w:rPr>
                <w:rFonts w:cstheme="minorHAnsi"/>
              </w:rPr>
              <w:t>ral</w:t>
            </w:r>
            <w:r w:rsidRPr="00680FA9">
              <w:rPr>
                <w:rFonts w:cstheme="minorHAnsi"/>
              </w:rPr>
              <w:t xml:space="preserve"> to Speech and Language Therapy (SLT)</w:t>
            </w:r>
            <w:r w:rsidR="00CF1D3D" w:rsidRPr="00680FA9">
              <w:rPr>
                <w:rFonts w:cstheme="minorHAnsi"/>
              </w:rPr>
              <w:t xml:space="preserve">. </w:t>
            </w:r>
          </w:p>
          <w:p w14:paraId="7FCE6FFE" w14:textId="1C99E4A6" w:rsidR="00A93250" w:rsidRPr="00680FA9" w:rsidRDefault="00CF1D3D" w:rsidP="00310DA4">
            <w:pPr>
              <w:rPr>
                <w:rFonts w:cstheme="minorHAnsi"/>
              </w:rPr>
            </w:pPr>
            <w:r w:rsidRPr="00680FA9">
              <w:rPr>
                <w:rFonts w:cstheme="minorHAnsi"/>
              </w:rPr>
              <w:t>If you have</w:t>
            </w:r>
            <w:r w:rsidR="00A93250" w:rsidRPr="00680FA9">
              <w:rPr>
                <w:rFonts w:cstheme="minorHAnsi"/>
              </w:rPr>
              <w:t xml:space="preserve"> any concerns or </w:t>
            </w:r>
            <w:r w:rsidR="00506119" w:rsidRPr="00680FA9">
              <w:rPr>
                <w:rFonts w:cstheme="minorHAnsi"/>
              </w:rPr>
              <w:t xml:space="preserve">have </w:t>
            </w:r>
            <w:r w:rsidRPr="00680FA9">
              <w:rPr>
                <w:rFonts w:cstheme="minorHAnsi"/>
              </w:rPr>
              <w:t xml:space="preserve">noticed </w:t>
            </w:r>
            <w:r w:rsidR="00A93250" w:rsidRPr="00680FA9">
              <w:rPr>
                <w:rFonts w:cstheme="minorHAnsi"/>
              </w:rPr>
              <w:t xml:space="preserve">changes to a person’s eating, </w:t>
            </w:r>
            <w:proofErr w:type="gramStart"/>
            <w:r w:rsidR="00A93250" w:rsidRPr="00680FA9">
              <w:rPr>
                <w:rFonts w:cstheme="minorHAnsi"/>
              </w:rPr>
              <w:t>drinking</w:t>
            </w:r>
            <w:proofErr w:type="gramEnd"/>
            <w:r w:rsidR="00A93250" w:rsidRPr="00680FA9">
              <w:rPr>
                <w:rFonts w:cstheme="minorHAnsi"/>
              </w:rPr>
              <w:t xml:space="preserve"> and swallowing</w:t>
            </w:r>
            <w:r w:rsidRPr="00680FA9">
              <w:rPr>
                <w:rFonts w:cstheme="minorHAnsi"/>
              </w:rPr>
              <w:t xml:space="preserve"> don’t delay</w:t>
            </w:r>
            <w:r w:rsidR="00506119" w:rsidRPr="00680FA9">
              <w:rPr>
                <w:rFonts w:cstheme="minorHAnsi"/>
              </w:rPr>
              <w:t>,</w:t>
            </w:r>
            <w:r w:rsidRPr="00680FA9">
              <w:rPr>
                <w:rFonts w:cstheme="minorHAnsi"/>
              </w:rPr>
              <w:t xml:space="preserve"> make a referral today. </w:t>
            </w:r>
          </w:p>
          <w:p w14:paraId="72165C61" w14:textId="0051D242" w:rsidR="006129F6" w:rsidRPr="00680FA9" w:rsidRDefault="00A93250" w:rsidP="00310DA4">
            <w:pPr>
              <w:rPr>
                <w:rFonts w:cstheme="minorHAnsi"/>
              </w:rPr>
            </w:pPr>
            <w:r w:rsidRPr="00680FA9">
              <w:rPr>
                <w:rFonts w:cstheme="minorHAnsi"/>
                <w:b/>
                <w:bCs/>
              </w:rPr>
              <w:t>Referrals can be made directly</w:t>
            </w:r>
            <w:r w:rsidRPr="00680FA9">
              <w:rPr>
                <w:rFonts w:cstheme="minorHAnsi"/>
              </w:rPr>
              <w:t xml:space="preserve"> </w:t>
            </w:r>
            <w:r w:rsidRPr="00680FA9">
              <w:rPr>
                <w:rFonts w:cstheme="minorHAnsi"/>
                <w:b/>
                <w:bCs/>
              </w:rPr>
              <w:t>to SLT</w:t>
            </w:r>
            <w:r w:rsidRPr="00680FA9">
              <w:rPr>
                <w:rFonts w:cstheme="minorHAnsi"/>
              </w:rPr>
              <w:t xml:space="preserve"> </w:t>
            </w:r>
            <w:hyperlink r:id="rId8" w:history="1">
              <w:r w:rsidR="006129F6" w:rsidRPr="00DD46E9">
                <w:rPr>
                  <w:rStyle w:val="Hyperlink"/>
                  <w:rFonts w:cstheme="minorHAnsi"/>
                  <w:sz w:val="20"/>
                  <w:szCs w:val="20"/>
                </w:rPr>
                <w:t>CTALDhealthreferrals@somersetFT.nhs</w:t>
              </w:r>
            </w:hyperlink>
            <w:r w:rsidR="00CF1D3D" w:rsidRPr="00DD46E9">
              <w:rPr>
                <w:rStyle w:val="Hyperlink"/>
                <w:rFonts w:cstheme="minorHAnsi"/>
                <w:sz w:val="20"/>
                <w:szCs w:val="20"/>
              </w:rPr>
              <w:t>.uk</w:t>
            </w:r>
          </w:p>
        </w:tc>
        <w:tc>
          <w:tcPr>
            <w:tcW w:w="3402" w:type="dxa"/>
            <w:gridSpan w:val="2"/>
            <w:shd w:val="clear" w:color="auto" w:fill="DEEAF6" w:themeFill="accent5" w:themeFillTint="33"/>
            <w:vAlign w:val="center"/>
          </w:tcPr>
          <w:p w14:paraId="3CF58BB5" w14:textId="33E2A91C" w:rsidR="00A93250" w:rsidRPr="00680FA9" w:rsidRDefault="00A93250" w:rsidP="00310DA4">
            <w:pPr>
              <w:rPr>
                <w:rFonts w:cstheme="minorHAnsi"/>
              </w:rPr>
            </w:pPr>
            <w:r w:rsidRPr="00680FA9">
              <w:rPr>
                <w:rFonts w:cstheme="minorHAnsi"/>
                <w:b/>
                <w:bCs/>
              </w:rPr>
              <w:t>Reflections for Health</w:t>
            </w:r>
            <w:r w:rsidRPr="00680FA9">
              <w:rPr>
                <w:rFonts w:cstheme="minorHAnsi"/>
              </w:rPr>
              <w:t xml:space="preserve"> </w:t>
            </w:r>
          </w:p>
          <w:p w14:paraId="23FFEC61" w14:textId="3EC38B04" w:rsidR="00A93250" w:rsidRPr="00680FA9" w:rsidRDefault="00A93250" w:rsidP="00310DA4">
            <w:pPr>
              <w:rPr>
                <w:rFonts w:cstheme="minorHAnsi"/>
              </w:rPr>
            </w:pPr>
            <w:r w:rsidRPr="00680FA9">
              <w:rPr>
                <w:rFonts w:cstheme="minorHAnsi"/>
              </w:rPr>
              <w:t xml:space="preserve">Supporting people with </w:t>
            </w:r>
            <w:r w:rsidRPr="00680FA9">
              <w:rPr>
                <w:rFonts w:cstheme="minorHAnsi"/>
                <w:b/>
                <w:bCs/>
              </w:rPr>
              <w:t>dysphagia</w:t>
            </w:r>
            <w:r w:rsidRPr="00680FA9">
              <w:rPr>
                <w:rFonts w:cstheme="minorHAnsi"/>
              </w:rPr>
              <w:t xml:space="preserve"> often involves multi-disciplinary working as mouth care, medication, seating, breathing and the environment are key factors in safe eating and drinking </w:t>
            </w:r>
            <w:r w:rsidRPr="00680FA9">
              <w:rPr>
                <w:rFonts w:cstheme="minorHAnsi"/>
                <w:b/>
                <w:bCs/>
              </w:rPr>
              <w:t>as well as</w:t>
            </w:r>
            <w:r w:rsidRPr="00680FA9">
              <w:rPr>
                <w:rFonts w:cstheme="minorHAnsi"/>
              </w:rPr>
              <w:t xml:space="preserve"> the consistency of the food and drink.</w:t>
            </w:r>
          </w:p>
          <w:p w14:paraId="5EE2E2C8" w14:textId="77777777" w:rsidR="007C1B96" w:rsidRPr="00680FA9" w:rsidRDefault="007C1B96" w:rsidP="00310DA4">
            <w:pPr>
              <w:rPr>
                <w:rFonts w:cstheme="minorHAnsi"/>
                <w:noProof/>
              </w:rPr>
            </w:pPr>
          </w:p>
        </w:tc>
      </w:tr>
      <w:tr w:rsidR="00F16EE0" w:rsidRPr="00680FA9" w14:paraId="38262CEE" w14:textId="77777777" w:rsidTr="00DD46E9">
        <w:trPr>
          <w:trHeight w:val="1701"/>
        </w:trPr>
        <w:tc>
          <w:tcPr>
            <w:tcW w:w="5121" w:type="dxa"/>
            <w:gridSpan w:val="2"/>
            <w:shd w:val="clear" w:color="auto" w:fill="BDD6EE" w:themeFill="accent5" w:themeFillTint="66"/>
            <w:vAlign w:val="center"/>
          </w:tcPr>
          <w:p w14:paraId="78C13370" w14:textId="77777777" w:rsidR="00972DB5" w:rsidRPr="00680FA9" w:rsidRDefault="00F16EE0" w:rsidP="00310DA4">
            <w:pPr>
              <w:rPr>
                <w:rFonts w:cstheme="minorHAnsi"/>
                <w:b/>
                <w:bCs/>
              </w:rPr>
            </w:pPr>
            <w:r w:rsidRPr="00680FA9">
              <w:rPr>
                <w:rFonts w:cstheme="minorHAnsi"/>
                <w:b/>
                <w:bCs/>
              </w:rPr>
              <w:t xml:space="preserve">Practice  </w:t>
            </w:r>
          </w:p>
          <w:p w14:paraId="50F50C83" w14:textId="29FC61C7" w:rsidR="00DD46E9" w:rsidRPr="00DD46E9" w:rsidRDefault="00DD46E9" w:rsidP="00DD46E9">
            <w:pPr>
              <w:pStyle w:val="ListParagraph"/>
              <w:numPr>
                <w:ilvl w:val="0"/>
                <w:numId w:val="3"/>
              </w:numPr>
              <w:ind w:left="306" w:hanging="284"/>
              <w:rPr>
                <w:rFonts w:cstheme="minorHAnsi"/>
                <w:b/>
                <w:bCs/>
              </w:rPr>
            </w:pPr>
            <w:r>
              <w:rPr>
                <w:rFonts w:cstheme="minorHAnsi"/>
              </w:rPr>
              <w:t>Print and display this</w:t>
            </w:r>
            <w:r w:rsidR="00F16EE0" w:rsidRPr="00680FA9">
              <w:rPr>
                <w:rFonts w:cstheme="minorHAnsi"/>
              </w:rPr>
              <w:t xml:space="preserve"> “Back to Basics” poster to remind staff of basic best practice when supporting someone with dysphagia at mealtimes. These basics help make mealtimes enjoyable and safe</w:t>
            </w:r>
            <w:r w:rsidR="00010BD8" w:rsidRPr="00680FA9">
              <w:rPr>
                <w:rFonts w:cstheme="minorHAnsi"/>
              </w:rPr>
              <w:t xml:space="preserve">  </w:t>
            </w:r>
          </w:p>
          <w:p w14:paraId="623FB3B9" w14:textId="4CED9189" w:rsidR="00E1325F" w:rsidRPr="00DD46E9" w:rsidRDefault="00E94D72" w:rsidP="00DD46E9">
            <w:pPr>
              <w:ind w:left="306"/>
              <w:rPr>
                <w:rFonts w:cstheme="minorHAnsi"/>
                <w:b/>
                <w:bCs/>
              </w:rPr>
            </w:pPr>
            <w:hyperlink r:id="rId9" w:history="1">
              <w:r w:rsidR="00972DB5" w:rsidRPr="00DD46E9">
                <w:rPr>
                  <w:rStyle w:val="Hyperlink"/>
                  <w:rFonts w:cstheme="minorHAnsi"/>
                </w:rPr>
                <w:t>my-eating-and-drinking-matters.pdf (iddsi.org)</w:t>
              </w:r>
            </w:hyperlink>
          </w:p>
        </w:tc>
        <w:tc>
          <w:tcPr>
            <w:tcW w:w="5641" w:type="dxa"/>
            <w:gridSpan w:val="3"/>
            <w:shd w:val="clear" w:color="auto" w:fill="BDD6EE" w:themeFill="accent5" w:themeFillTint="66"/>
            <w:vAlign w:val="center"/>
          </w:tcPr>
          <w:p w14:paraId="5B8365E9" w14:textId="556C14FB" w:rsidR="00F16EE0" w:rsidRPr="00680FA9" w:rsidRDefault="00F16EE0" w:rsidP="00DD46E9">
            <w:pPr>
              <w:pStyle w:val="ListParagraph"/>
              <w:numPr>
                <w:ilvl w:val="0"/>
                <w:numId w:val="3"/>
              </w:numPr>
              <w:ind w:left="295" w:hanging="284"/>
              <w:rPr>
                <w:rFonts w:cstheme="minorHAnsi"/>
              </w:rPr>
            </w:pPr>
            <w:r w:rsidRPr="00680FA9">
              <w:rPr>
                <w:rFonts w:cstheme="minorHAnsi"/>
              </w:rPr>
              <w:t xml:space="preserve">Medication changes can affect a person’s eating and swallowing or mealtime behaviours. If there are any concerns refer to SLT </w:t>
            </w:r>
            <w:r w:rsidR="00506119" w:rsidRPr="00680FA9">
              <w:rPr>
                <w:rFonts w:cstheme="minorHAnsi"/>
              </w:rPr>
              <w:t xml:space="preserve">ASAP </w:t>
            </w:r>
            <w:r w:rsidRPr="00680FA9">
              <w:rPr>
                <w:rFonts w:cstheme="minorHAnsi"/>
              </w:rPr>
              <w:t>for advice.</w:t>
            </w:r>
          </w:p>
          <w:p w14:paraId="4E4B41BF" w14:textId="6DDA140A" w:rsidR="00F16EE0" w:rsidRPr="00680FA9" w:rsidRDefault="00F16EE0" w:rsidP="00310DA4">
            <w:pPr>
              <w:rPr>
                <w:rFonts w:cstheme="minorHAnsi"/>
                <w:b/>
                <w:bCs/>
              </w:rPr>
            </w:pPr>
          </w:p>
        </w:tc>
      </w:tr>
      <w:tr w:rsidR="00F16EE0" w:rsidRPr="00680FA9" w14:paraId="5F11F701" w14:textId="77777777" w:rsidTr="00DD46E9">
        <w:trPr>
          <w:trHeight w:val="1134"/>
        </w:trPr>
        <w:tc>
          <w:tcPr>
            <w:tcW w:w="10762" w:type="dxa"/>
            <w:gridSpan w:val="5"/>
            <w:shd w:val="clear" w:color="auto" w:fill="9CC2E5" w:themeFill="accent5" w:themeFillTint="99"/>
            <w:vAlign w:val="center"/>
          </w:tcPr>
          <w:p w14:paraId="65FFAE86" w14:textId="075F0D2A" w:rsidR="00F16EE0" w:rsidRPr="00680FA9" w:rsidRDefault="00F16EE0" w:rsidP="00310DA4">
            <w:pPr>
              <w:rPr>
                <w:rFonts w:cstheme="minorHAnsi"/>
              </w:rPr>
            </w:pPr>
            <w:r w:rsidRPr="00680FA9">
              <w:rPr>
                <w:rFonts w:cstheme="minorHAnsi"/>
                <w:b/>
                <w:bCs/>
              </w:rPr>
              <w:t>Practice</w:t>
            </w:r>
            <w:r w:rsidRPr="00680FA9">
              <w:rPr>
                <w:rFonts w:cstheme="minorHAnsi"/>
              </w:rPr>
              <w:t xml:space="preserve"> </w:t>
            </w:r>
            <w:r w:rsidR="001E254E" w:rsidRPr="00680FA9">
              <w:rPr>
                <w:rFonts w:cstheme="minorHAnsi"/>
              </w:rPr>
              <w:t xml:space="preserve"> P</w:t>
            </w:r>
            <w:r w:rsidRPr="00680FA9">
              <w:rPr>
                <w:rFonts w:cstheme="minorHAnsi"/>
              </w:rPr>
              <w:t xml:space="preserve">art of safe support at mealtimes is getting the consistency of the food and drink right for that person. If this has been advised by a SLT in a care plan it is essential this advice is followed. This advice will refer to the International Dysphagia Diet Standardisation Initiative (IDDSI). Find out more about IDDSI here  </w:t>
            </w:r>
            <w:hyperlink r:id="rId10" w:history="1">
              <w:r w:rsidRPr="00680FA9">
                <w:rPr>
                  <w:rStyle w:val="Hyperlink"/>
                  <w:rFonts w:cstheme="minorHAnsi"/>
                </w:rPr>
                <w:t>IDDSI - Home</w:t>
              </w:r>
            </w:hyperlink>
          </w:p>
          <w:p w14:paraId="5D494612" w14:textId="230A2E88" w:rsidR="00310DA4" w:rsidRPr="00680FA9" w:rsidRDefault="00F16EE0" w:rsidP="00310DA4">
            <w:pPr>
              <w:rPr>
                <w:rFonts w:cstheme="minorHAnsi"/>
                <w:noProof/>
              </w:rPr>
            </w:pPr>
            <w:r w:rsidRPr="00680FA9">
              <w:rPr>
                <w:rFonts w:cstheme="minorHAnsi"/>
              </w:rPr>
              <w:t>And watch videos on how to prepare every IDDSI level here</w:t>
            </w:r>
            <w:r w:rsidR="001E254E" w:rsidRPr="00680FA9">
              <w:rPr>
                <w:rFonts w:cstheme="minorHAnsi"/>
              </w:rPr>
              <w:t xml:space="preserve">  </w:t>
            </w:r>
            <w:hyperlink r:id="rId11" w:history="1">
              <w:r w:rsidR="00A16308" w:rsidRPr="00680FA9">
                <w:rPr>
                  <w:rStyle w:val="Hyperlink"/>
                  <w:rFonts w:cstheme="minorHAnsi"/>
                </w:rPr>
                <w:t>NHS D</w:t>
              </w:r>
              <w:r w:rsidRPr="00680FA9">
                <w:rPr>
                  <w:rStyle w:val="Hyperlink"/>
                  <w:rFonts w:cstheme="minorHAnsi"/>
                </w:rPr>
                <w:t>orset Dysphagia and swallowing difficulties videos</w:t>
              </w:r>
            </w:hyperlink>
            <w:r w:rsidR="00E1325F" w:rsidRPr="00680FA9">
              <w:rPr>
                <w:rStyle w:val="Hyperlink"/>
                <w:rFonts w:cstheme="minorHAnsi"/>
              </w:rPr>
              <w:t>.</w:t>
            </w:r>
          </w:p>
        </w:tc>
      </w:tr>
      <w:tr w:rsidR="00442571" w:rsidRPr="00680FA9" w14:paraId="06DB35DB" w14:textId="77777777" w:rsidTr="00DD46E9">
        <w:trPr>
          <w:trHeight w:val="2268"/>
        </w:trPr>
        <w:tc>
          <w:tcPr>
            <w:tcW w:w="5121" w:type="dxa"/>
            <w:gridSpan w:val="2"/>
            <w:shd w:val="clear" w:color="auto" w:fill="DEEAF6" w:themeFill="accent5" w:themeFillTint="33"/>
            <w:vAlign w:val="center"/>
          </w:tcPr>
          <w:p w14:paraId="16714E8F" w14:textId="77777777" w:rsidR="00442571" w:rsidRPr="00680FA9" w:rsidRDefault="00442571" w:rsidP="00442571">
            <w:pPr>
              <w:rPr>
                <w:rFonts w:cstheme="minorHAnsi"/>
                <w:b/>
                <w:bCs/>
              </w:rPr>
            </w:pPr>
            <w:r w:rsidRPr="00680FA9">
              <w:rPr>
                <w:rFonts w:cstheme="minorHAnsi"/>
                <w:b/>
                <w:bCs/>
              </w:rPr>
              <w:t>Knowledge</w:t>
            </w:r>
          </w:p>
          <w:p w14:paraId="3919BAFA" w14:textId="2B26E61C" w:rsidR="00DD46E9" w:rsidRDefault="00E94D72" w:rsidP="00DD46E9">
            <w:pPr>
              <w:rPr>
                <w:rFonts w:cstheme="minorHAnsi"/>
              </w:rPr>
            </w:pPr>
            <w:hyperlink r:id="rId12" w:history="1">
              <w:r w:rsidR="00DD46E9" w:rsidRPr="00680FA9">
                <w:rPr>
                  <w:rStyle w:val="Hyperlink"/>
                  <w:rFonts w:cstheme="minorHAnsi"/>
                </w:rPr>
                <w:t xml:space="preserve">HEE </w:t>
              </w:r>
              <w:proofErr w:type="spellStart"/>
              <w:r w:rsidR="00DD46E9" w:rsidRPr="00680FA9">
                <w:rPr>
                  <w:rStyle w:val="Hyperlink"/>
                  <w:rFonts w:cstheme="minorHAnsi"/>
                </w:rPr>
                <w:t>elfh</w:t>
              </w:r>
              <w:proofErr w:type="spellEnd"/>
              <w:r w:rsidR="00DD46E9" w:rsidRPr="00680FA9">
                <w:rPr>
                  <w:rStyle w:val="Hyperlink"/>
                  <w:rFonts w:cstheme="minorHAnsi"/>
                </w:rPr>
                <w:t xml:space="preserve"> Hub (e-lfh.org.uk)</w:t>
              </w:r>
            </w:hyperlink>
            <w:r w:rsidR="00DD46E9">
              <w:rPr>
                <w:rStyle w:val="Hyperlink"/>
                <w:rFonts w:cstheme="minorHAnsi"/>
              </w:rPr>
              <w:t xml:space="preserve"> </w:t>
            </w:r>
            <w:r w:rsidR="00DD46E9">
              <w:rPr>
                <w:rFonts w:cstheme="minorHAnsi"/>
              </w:rPr>
              <w:t xml:space="preserve">offers </w:t>
            </w:r>
            <w:r w:rsidR="00442571" w:rsidRPr="00680FA9">
              <w:rPr>
                <w:rFonts w:cstheme="minorHAnsi"/>
              </w:rPr>
              <w:t>FREE staff training</w:t>
            </w:r>
            <w:r w:rsidR="00DD46E9">
              <w:rPr>
                <w:rFonts w:cstheme="minorHAnsi"/>
              </w:rPr>
              <w:t>.</w:t>
            </w:r>
          </w:p>
          <w:p w14:paraId="0FC4AC60" w14:textId="63D68E30" w:rsidR="00442571" w:rsidRPr="00680FA9" w:rsidRDefault="00442571" w:rsidP="00DD46E9">
            <w:pPr>
              <w:rPr>
                <w:rFonts w:cstheme="minorHAnsi"/>
              </w:rPr>
            </w:pPr>
            <w:r w:rsidRPr="00680FA9">
              <w:rPr>
                <w:rFonts w:cstheme="minorHAnsi"/>
              </w:rPr>
              <w:t xml:space="preserve">Eating, </w:t>
            </w:r>
            <w:proofErr w:type="gramStart"/>
            <w:r w:rsidRPr="00680FA9">
              <w:rPr>
                <w:rFonts w:cstheme="minorHAnsi"/>
              </w:rPr>
              <w:t>drinking</w:t>
            </w:r>
            <w:proofErr w:type="gramEnd"/>
            <w:r w:rsidRPr="00680FA9">
              <w:rPr>
                <w:rFonts w:cstheme="minorHAnsi"/>
              </w:rPr>
              <w:t xml:space="preserve"> and swallowing safely is key to staying healthy. Increased staff awareness about how to support someone with dysphagia will lead to better outcomes and better health. </w:t>
            </w:r>
            <w:r w:rsidR="00C70FAB" w:rsidRPr="00680FA9">
              <w:rPr>
                <w:rFonts w:cstheme="minorHAnsi"/>
              </w:rPr>
              <w:t>The SLT team also have information about</w:t>
            </w:r>
            <w:r w:rsidR="00680FA9">
              <w:rPr>
                <w:rFonts w:cstheme="minorHAnsi"/>
              </w:rPr>
              <w:t xml:space="preserve"> </w:t>
            </w:r>
            <w:r w:rsidRPr="00680FA9">
              <w:rPr>
                <w:rFonts w:cstheme="minorHAnsi"/>
              </w:rPr>
              <w:t>local training.</w:t>
            </w:r>
          </w:p>
        </w:tc>
        <w:tc>
          <w:tcPr>
            <w:tcW w:w="5641" w:type="dxa"/>
            <w:gridSpan w:val="3"/>
            <w:shd w:val="clear" w:color="auto" w:fill="DEEAF6" w:themeFill="accent5" w:themeFillTint="33"/>
            <w:vAlign w:val="center"/>
          </w:tcPr>
          <w:p w14:paraId="4F16A054" w14:textId="77777777" w:rsidR="00442571" w:rsidRPr="00680FA9" w:rsidRDefault="00442571" w:rsidP="00442571">
            <w:pPr>
              <w:rPr>
                <w:rFonts w:cstheme="minorHAnsi"/>
                <w:b/>
                <w:bCs/>
              </w:rPr>
            </w:pPr>
            <w:r w:rsidRPr="00680FA9">
              <w:rPr>
                <w:rFonts w:cstheme="minorHAnsi"/>
                <w:b/>
                <w:bCs/>
              </w:rPr>
              <w:t xml:space="preserve">Leadership and Culture </w:t>
            </w:r>
          </w:p>
          <w:p w14:paraId="3211A5EF" w14:textId="77777777" w:rsidR="00442571" w:rsidRPr="00680FA9" w:rsidRDefault="00442571" w:rsidP="00442571">
            <w:pPr>
              <w:rPr>
                <w:rFonts w:cstheme="minorHAnsi"/>
              </w:rPr>
            </w:pPr>
            <w:r w:rsidRPr="00680FA9">
              <w:rPr>
                <w:rFonts w:cstheme="minorHAnsi"/>
              </w:rPr>
              <w:t>The Royal College of Speech and Language Therapists has produced guidance for care home managers about how best to support people with dysphagia:</w:t>
            </w:r>
          </w:p>
          <w:p w14:paraId="6A179F7B" w14:textId="77777777" w:rsidR="00442571" w:rsidRPr="00680FA9" w:rsidRDefault="00442571" w:rsidP="00442571">
            <w:pPr>
              <w:rPr>
                <w:rFonts w:cstheme="minorHAnsi"/>
                <w:b/>
                <w:bCs/>
              </w:rPr>
            </w:pPr>
          </w:p>
          <w:p w14:paraId="7C5C955E" w14:textId="274E33D6" w:rsidR="00442571" w:rsidRPr="00680FA9" w:rsidRDefault="00E94D72" w:rsidP="00442571">
            <w:pPr>
              <w:rPr>
                <w:rFonts w:cstheme="minorHAnsi"/>
                <w:b/>
                <w:bCs/>
              </w:rPr>
            </w:pPr>
            <w:hyperlink r:id="rId13" w:history="1">
              <w:r w:rsidR="00442571" w:rsidRPr="00680FA9">
                <w:rPr>
                  <w:rStyle w:val="Hyperlink"/>
                  <w:rFonts w:cstheme="minorHAnsi"/>
                </w:rPr>
                <w:t>guidance-on-the-management-of-dysphagia-in-care-homes.pdf (rcslt.org)</w:t>
              </w:r>
            </w:hyperlink>
          </w:p>
        </w:tc>
      </w:tr>
      <w:tr w:rsidR="00442571" w:rsidRPr="00680FA9" w14:paraId="5F171E38" w14:textId="77777777" w:rsidTr="00DD46E9">
        <w:trPr>
          <w:trHeight w:val="850"/>
        </w:trPr>
        <w:tc>
          <w:tcPr>
            <w:tcW w:w="10762" w:type="dxa"/>
            <w:gridSpan w:val="5"/>
            <w:shd w:val="clear" w:color="auto" w:fill="9CC2E5" w:themeFill="accent5" w:themeFillTint="99"/>
            <w:vAlign w:val="center"/>
          </w:tcPr>
          <w:p w14:paraId="70F47A82" w14:textId="77777777" w:rsidR="00442571" w:rsidRPr="00680FA9" w:rsidRDefault="00442571" w:rsidP="002234FF">
            <w:pPr>
              <w:rPr>
                <w:rFonts w:cstheme="minorHAnsi"/>
              </w:rPr>
            </w:pPr>
            <w:r w:rsidRPr="00680FA9">
              <w:rPr>
                <w:rFonts w:cstheme="minorHAnsi"/>
                <w:b/>
                <w:bCs/>
              </w:rPr>
              <w:t>Processes</w:t>
            </w:r>
            <w:r w:rsidRPr="00680FA9">
              <w:rPr>
                <w:rFonts w:cstheme="minorHAnsi"/>
              </w:rPr>
              <w:t xml:space="preserve"> </w:t>
            </w:r>
          </w:p>
          <w:p w14:paraId="2151EDA9" w14:textId="0D6B842A" w:rsidR="00442571" w:rsidRPr="00680FA9" w:rsidRDefault="00442571" w:rsidP="00010BD8">
            <w:pPr>
              <w:rPr>
                <w:rFonts w:cstheme="minorHAnsi"/>
                <w:noProof/>
              </w:rPr>
            </w:pPr>
            <w:r w:rsidRPr="00680FA9">
              <w:rPr>
                <w:rFonts w:cstheme="minorHAnsi"/>
              </w:rPr>
              <w:t>An eating and drinking care plan written by a Speech and Language Therapist (SLT) must NEVER be transcribed into another format and should only be changed in consultation with SLT.</w:t>
            </w:r>
          </w:p>
        </w:tc>
      </w:tr>
    </w:tbl>
    <w:p w14:paraId="4D0F51C2" w14:textId="3445DA07" w:rsidR="00433F75" w:rsidRPr="00E1325F" w:rsidRDefault="00E94D72" w:rsidP="00442571">
      <w:pPr>
        <w:tabs>
          <w:tab w:val="right" w:pos="10772"/>
        </w:tabs>
        <w:spacing w:before="240"/>
        <w:rPr>
          <w:rFonts w:ascii="Arial" w:hAnsi="Arial" w:cs="Arial"/>
          <w:sz w:val="20"/>
          <w:szCs w:val="20"/>
        </w:rPr>
      </w:pPr>
      <w:hyperlink r:id="rId14" w:history="1">
        <w:r w:rsidR="00E1325F" w:rsidRPr="00E1325F">
          <w:rPr>
            <w:rStyle w:val="Hyperlink"/>
            <w:rFonts w:ascii="Arial" w:hAnsi="Arial" w:cs="Arial"/>
            <w:sz w:val="20"/>
            <w:szCs w:val="20"/>
          </w:rPr>
          <w:t>somicb.leder@nhs.net</w:t>
        </w:r>
      </w:hyperlink>
      <w:r w:rsidR="00E1325F" w:rsidRPr="00E1325F">
        <w:rPr>
          <w:rFonts w:ascii="Arial" w:hAnsi="Arial" w:cs="Arial"/>
          <w:sz w:val="20"/>
          <w:szCs w:val="20"/>
        </w:rPr>
        <w:tab/>
        <w:t xml:space="preserve">Issue </w:t>
      </w:r>
      <w:r w:rsidR="007379BF">
        <w:rPr>
          <w:rFonts w:ascii="Arial" w:hAnsi="Arial" w:cs="Arial"/>
          <w:sz w:val="20"/>
          <w:szCs w:val="20"/>
        </w:rPr>
        <w:t xml:space="preserve">no </w:t>
      </w:r>
      <w:r w:rsidR="00E1325F" w:rsidRPr="00E1325F">
        <w:rPr>
          <w:rFonts w:ascii="Arial" w:hAnsi="Arial" w:cs="Arial"/>
          <w:sz w:val="20"/>
          <w:szCs w:val="20"/>
        </w:rPr>
        <w:t>1</w:t>
      </w:r>
      <w:r w:rsidR="007E09E2">
        <w:rPr>
          <w:rFonts w:ascii="Arial" w:hAnsi="Arial" w:cs="Arial"/>
          <w:sz w:val="20"/>
          <w:szCs w:val="20"/>
        </w:rPr>
        <w:t>.</w:t>
      </w:r>
      <w:r>
        <w:rPr>
          <w:rFonts w:ascii="Arial" w:hAnsi="Arial" w:cs="Arial"/>
          <w:sz w:val="20"/>
          <w:szCs w:val="20"/>
        </w:rPr>
        <w:t xml:space="preserve">  </w:t>
      </w:r>
      <w:r w:rsidR="007E09E2">
        <w:rPr>
          <w:rFonts w:ascii="Arial" w:hAnsi="Arial" w:cs="Arial"/>
          <w:sz w:val="20"/>
          <w:szCs w:val="20"/>
        </w:rPr>
        <w:t>1</w:t>
      </w:r>
      <w:r w:rsidR="00E1325F" w:rsidRPr="00E1325F">
        <w:rPr>
          <w:rFonts w:ascii="Arial" w:hAnsi="Arial" w:cs="Arial"/>
          <w:sz w:val="20"/>
          <w:szCs w:val="20"/>
        </w:rPr>
        <w:t xml:space="preserve"> </w:t>
      </w:r>
      <w:r w:rsidR="00CF1D3D">
        <w:rPr>
          <w:rFonts w:ascii="Arial" w:hAnsi="Arial" w:cs="Arial"/>
          <w:sz w:val="20"/>
          <w:szCs w:val="20"/>
        </w:rPr>
        <w:t>Octobe</w:t>
      </w:r>
      <w:r w:rsidR="00E1325F" w:rsidRPr="00E1325F">
        <w:rPr>
          <w:rFonts w:ascii="Arial" w:hAnsi="Arial" w:cs="Arial"/>
          <w:sz w:val="20"/>
          <w:szCs w:val="20"/>
        </w:rPr>
        <w:t>r 2022</w:t>
      </w:r>
    </w:p>
    <w:sectPr w:rsidR="00433F75" w:rsidRPr="00E1325F" w:rsidSect="00310DA4">
      <w:pgSz w:w="11906" w:h="16838" w:code="9"/>
      <w:pgMar w:top="284" w:right="567" w:bottom="284"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DE3"/>
    <w:multiLevelType w:val="hybridMultilevel"/>
    <w:tmpl w:val="41EA32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310838"/>
    <w:multiLevelType w:val="hybridMultilevel"/>
    <w:tmpl w:val="7D6C26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731414"/>
    <w:multiLevelType w:val="hybridMultilevel"/>
    <w:tmpl w:val="7BE6B486"/>
    <w:lvl w:ilvl="0" w:tplc="0809000B">
      <w:start w:val="1"/>
      <w:numFmt w:val="bullet"/>
      <w:lvlText w:val=""/>
      <w:lvlJc w:val="left"/>
      <w:pPr>
        <w:ind w:left="720" w:hanging="360"/>
      </w:pPr>
      <w:rPr>
        <w:rFonts w:ascii="Wingdings" w:hAnsi="Wingdings" w:hint="default"/>
        <w:color w:val="4472C4" w:themeColor="accen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025974">
    <w:abstractNumId w:val="2"/>
  </w:num>
  <w:num w:numId="2" w16cid:durableId="1644576202">
    <w:abstractNumId w:val="1"/>
  </w:num>
  <w:num w:numId="3" w16cid:durableId="42738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6E"/>
    <w:rsid w:val="00010BD8"/>
    <w:rsid w:val="001E254E"/>
    <w:rsid w:val="00234CD5"/>
    <w:rsid w:val="00310DA4"/>
    <w:rsid w:val="00433F75"/>
    <w:rsid w:val="00442571"/>
    <w:rsid w:val="0045251A"/>
    <w:rsid w:val="00506119"/>
    <w:rsid w:val="006129F6"/>
    <w:rsid w:val="00614F4C"/>
    <w:rsid w:val="00680FA9"/>
    <w:rsid w:val="007379BF"/>
    <w:rsid w:val="007707E9"/>
    <w:rsid w:val="007C1B96"/>
    <w:rsid w:val="007E09E2"/>
    <w:rsid w:val="009200B6"/>
    <w:rsid w:val="00972DB5"/>
    <w:rsid w:val="00A16308"/>
    <w:rsid w:val="00A513D3"/>
    <w:rsid w:val="00A93250"/>
    <w:rsid w:val="00A96247"/>
    <w:rsid w:val="00A96B6E"/>
    <w:rsid w:val="00B908EC"/>
    <w:rsid w:val="00BC289E"/>
    <w:rsid w:val="00C70FAB"/>
    <w:rsid w:val="00CF1D3D"/>
    <w:rsid w:val="00D4561E"/>
    <w:rsid w:val="00DD46E9"/>
    <w:rsid w:val="00DE36F5"/>
    <w:rsid w:val="00E1325F"/>
    <w:rsid w:val="00E94D72"/>
    <w:rsid w:val="00F16EE0"/>
    <w:rsid w:val="00FA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3377"/>
  <w15:chartTrackingRefBased/>
  <w15:docId w15:val="{05372CB8-F61F-4F6C-B8E3-D4C0254B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33F75"/>
    <w:rPr>
      <w:i/>
      <w:iCs/>
      <w:color w:val="4472C4" w:themeColor="accent1"/>
    </w:rPr>
  </w:style>
  <w:style w:type="character" w:styleId="Hyperlink">
    <w:name w:val="Hyperlink"/>
    <w:basedOn w:val="DefaultParagraphFont"/>
    <w:uiPriority w:val="99"/>
    <w:unhideWhenUsed/>
    <w:rsid w:val="00D4561E"/>
    <w:rPr>
      <w:color w:val="0000FF"/>
      <w:u w:val="single"/>
    </w:rPr>
  </w:style>
  <w:style w:type="character" w:styleId="UnresolvedMention">
    <w:name w:val="Unresolved Mention"/>
    <w:basedOn w:val="DefaultParagraphFont"/>
    <w:uiPriority w:val="99"/>
    <w:semiHidden/>
    <w:unhideWhenUsed/>
    <w:rsid w:val="006129F6"/>
    <w:rPr>
      <w:color w:val="605E5C"/>
      <w:shd w:val="clear" w:color="auto" w:fill="E1DFDD"/>
    </w:rPr>
  </w:style>
  <w:style w:type="paragraph" w:styleId="ListParagraph">
    <w:name w:val="List Paragraph"/>
    <w:basedOn w:val="Normal"/>
    <w:uiPriority w:val="34"/>
    <w:qFormat/>
    <w:rsid w:val="00234CD5"/>
    <w:pPr>
      <w:ind w:left="720"/>
      <w:contextualSpacing/>
    </w:pPr>
  </w:style>
  <w:style w:type="character" w:styleId="FollowedHyperlink">
    <w:name w:val="FollowedHyperlink"/>
    <w:basedOn w:val="DefaultParagraphFont"/>
    <w:uiPriority w:val="99"/>
    <w:semiHidden/>
    <w:unhideWhenUsed/>
    <w:rsid w:val="00CF1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LDhealthreferrals@somersetFT.nhs" TargetMode="External"/><Relationship Id="rId13" Type="http://schemas.openxmlformats.org/officeDocument/2006/relationships/hyperlink" Target="https://www.rcslt.org/wp-content/uploads/media/Project/RCSLT/guidance-on-the-management-of-dysphagia-in-care-homes.pdf" TargetMode="External"/><Relationship Id="rId3" Type="http://schemas.openxmlformats.org/officeDocument/2006/relationships/settings" Target="settings.xml"/><Relationship Id="rId7" Type="http://schemas.openxmlformats.org/officeDocument/2006/relationships/hyperlink" Target="https://www.kcl.ac.uk/ioppn/assets/fans-dept/leder-main-report-hyperlinked.pdf" TargetMode="External"/><Relationship Id="rId12" Type="http://schemas.openxmlformats.org/officeDocument/2006/relationships/hyperlink" Target="https://portal.e-lfh.org.uk/Component/Details/6513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omicb.leder@nhs.net" TargetMode="External"/><Relationship Id="rId11" Type="http://schemas.openxmlformats.org/officeDocument/2006/relationships/hyperlink" Target="https://www.dorsethealthcare.nhs.uk/adult-speech-and-language-therapy/i-have-difficulty-swallowing-food-or-drink/dysphagia-and-swallowing-difficulties-video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iddsi.org/" TargetMode="External"/><Relationship Id="rId4" Type="http://schemas.openxmlformats.org/officeDocument/2006/relationships/webSettings" Target="webSettings.xml"/><Relationship Id="rId9" Type="http://schemas.openxmlformats.org/officeDocument/2006/relationships/hyperlink" Target="https://iddsi.org/IDDSI/media/images/CountrySpecific/UnitedKingdom/my-eating-and-drinking-matters.pdf" TargetMode="External"/><Relationship Id="rId14" Type="http://schemas.openxmlformats.org/officeDocument/2006/relationships/hyperlink" Target="mailto:somicb.led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TICEHURST, Julie (NHS SOMERSET ICB - 11X)</dc:creator>
  <cp:keywords/>
  <dc:description/>
  <cp:lastModifiedBy>TICEHURST, Julie (NHS SOMERSET ICB - 11X)</cp:lastModifiedBy>
  <cp:revision>3</cp:revision>
  <dcterms:created xsi:type="dcterms:W3CDTF">2022-10-26T14:24:00Z</dcterms:created>
  <dcterms:modified xsi:type="dcterms:W3CDTF">2023-04-11T14:30:00Z</dcterms:modified>
</cp:coreProperties>
</file>