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2"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7508"/>
        <w:gridCol w:w="2984"/>
      </w:tblGrid>
      <w:tr w:rsidR="0008308E" w14:paraId="36C2670A" w14:textId="77777777" w:rsidTr="00E87A3F">
        <w:trPr>
          <w:trHeight w:val="1701"/>
          <w:jc w:val="center"/>
        </w:trPr>
        <w:tc>
          <w:tcPr>
            <w:tcW w:w="7508" w:type="dxa"/>
            <w:vAlign w:val="center"/>
          </w:tcPr>
          <w:p w14:paraId="1440BB61" w14:textId="5B339079" w:rsidR="00433F75" w:rsidRPr="00680FA9" w:rsidRDefault="00AB1A3B" w:rsidP="009B3F92">
            <w:pPr>
              <w:spacing w:line="276" w:lineRule="auto"/>
              <w:jc w:val="center"/>
              <w:rPr>
                <w:rFonts w:cstheme="minorHAnsi"/>
                <w:b/>
                <w:bCs/>
                <w:sz w:val="44"/>
                <w:szCs w:val="44"/>
              </w:rPr>
            </w:pPr>
            <w:r w:rsidRPr="000B21A2">
              <w:rPr>
                <w:rFonts w:cstheme="minorHAnsi"/>
                <w:b/>
                <w:bCs/>
                <w:sz w:val="36"/>
                <w:szCs w:val="36"/>
              </w:rPr>
              <w:t xml:space="preserve">Learning from Lives and Deaths of People with Learning Disabilities and Autistic People (LeDeR) </w:t>
            </w:r>
            <w:r w:rsidR="00433F75" w:rsidRPr="000B21A2">
              <w:rPr>
                <w:rFonts w:cstheme="minorHAnsi"/>
                <w:b/>
                <w:bCs/>
                <w:i/>
                <w:iCs/>
                <w:sz w:val="40"/>
                <w:szCs w:val="40"/>
              </w:rPr>
              <w:t>Learning Brief</w:t>
            </w:r>
            <w:r w:rsidR="00B908EC" w:rsidRPr="000B21A2">
              <w:rPr>
                <w:rFonts w:cstheme="minorHAnsi"/>
                <w:b/>
                <w:bCs/>
                <w:i/>
                <w:iCs/>
                <w:sz w:val="40"/>
                <w:szCs w:val="40"/>
              </w:rPr>
              <w:t xml:space="preserve"> </w:t>
            </w:r>
            <w:r w:rsidR="003B4185" w:rsidRPr="000B21A2">
              <w:rPr>
                <w:rFonts w:cstheme="minorHAnsi"/>
                <w:b/>
                <w:bCs/>
                <w:i/>
                <w:iCs/>
                <w:sz w:val="40"/>
                <w:szCs w:val="40"/>
              </w:rPr>
              <w:t xml:space="preserve">no </w:t>
            </w:r>
            <w:r w:rsidR="00D869BD" w:rsidRPr="000B21A2">
              <w:rPr>
                <w:rFonts w:cstheme="minorHAnsi"/>
                <w:b/>
                <w:bCs/>
                <w:i/>
                <w:iCs/>
                <w:sz w:val="40"/>
                <w:szCs w:val="40"/>
              </w:rPr>
              <w:t>2</w:t>
            </w:r>
            <w:r w:rsidR="000B21A2">
              <w:rPr>
                <w:rFonts w:cstheme="minorHAnsi"/>
                <w:b/>
                <w:bCs/>
                <w:i/>
                <w:iCs/>
                <w:sz w:val="40"/>
                <w:szCs w:val="40"/>
              </w:rPr>
              <w:t xml:space="preserve"> - </w:t>
            </w:r>
            <w:r w:rsidR="00DF278B">
              <w:rPr>
                <w:rStyle w:val="IntenseEmphasis"/>
                <w:rFonts w:cstheme="minorHAnsi"/>
                <w:b/>
                <w:bCs/>
                <w:sz w:val="40"/>
                <w:szCs w:val="40"/>
              </w:rPr>
              <w:t>Oral Health</w:t>
            </w:r>
          </w:p>
        </w:tc>
        <w:tc>
          <w:tcPr>
            <w:tcW w:w="2984" w:type="dxa"/>
          </w:tcPr>
          <w:p w14:paraId="12613888" w14:textId="6C08A0D8" w:rsidR="00433F75" w:rsidRDefault="00433F75" w:rsidP="009B3F92">
            <w:pPr>
              <w:spacing w:line="276" w:lineRule="auto"/>
              <w:jc w:val="right"/>
            </w:pPr>
            <w:r>
              <w:rPr>
                <w:noProof/>
                <w:lang w:eastAsia="en-GB"/>
              </w:rPr>
              <w:drawing>
                <wp:inline distT="0" distB="0" distL="0" distR="0" wp14:anchorId="220F7C33" wp14:editId="0D6713C3">
                  <wp:extent cx="1819628" cy="1079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55434"/>
                          <a:stretch/>
                        </pic:blipFill>
                        <pic:spPr bwMode="auto">
                          <a:xfrm>
                            <a:off x="0" y="0"/>
                            <a:ext cx="1820471" cy="108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E6701E4" w14:textId="77777777" w:rsidR="00E87A3F" w:rsidRPr="00E87A3F" w:rsidRDefault="00E87A3F" w:rsidP="00E87A3F">
      <w:pPr>
        <w:spacing w:after="0" w:line="240" w:lineRule="auto"/>
        <w:rPr>
          <w:sz w:val="20"/>
          <w:szCs w:val="20"/>
        </w:rPr>
      </w:pPr>
    </w:p>
    <w:tbl>
      <w:tblPr>
        <w:tblStyle w:val="TableGrid"/>
        <w:tblW w:w="10492"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5216"/>
        <w:gridCol w:w="1867"/>
        <w:gridCol w:w="3409"/>
      </w:tblGrid>
      <w:tr w:rsidR="00E1325F" w:rsidRPr="00680FA9" w14:paraId="418EC2EB" w14:textId="77777777" w:rsidTr="0008308E">
        <w:trPr>
          <w:trHeight w:val="709"/>
          <w:jc w:val="center"/>
        </w:trPr>
        <w:tc>
          <w:tcPr>
            <w:tcW w:w="10492" w:type="dxa"/>
            <w:gridSpan w:val="3"/>
            <w:shd w:val="clear" w:color="auto" w:fill="DEEAF6" w:themeFill="accent5" w:themeFillTint="33"/>
            <w:vAlign w:val="center"/>
          </w:tcPr>
          <w:p w14:paraId="4C149F14" w14:textId="77777777" w:rsidR="000344D7" w:rsidRDefault="00E1325F" w:rsidP="009B3F92">
            <w:pPr>
              <w:spacing w:line="276" w:lineRule="auto"/>
              <w:jc w:val="center"/>
              <w:rPr>
                <w:rFonts w:eastAsia="Times New Roman" w:cstheme="minorHAnsi"/>
              </w:rPr>
            </w:pPr>
            <w:r w:rsidRPr="00680FA9">
              <w:rPr>
                <w:rFonts w:eastAsia="Times New Roman" w:cstheme="minorHAnsi"/>
              </w:rPr>
              <w:t xml:space="preserve">The </w:t>
            </w:r>
            <w:r w:rsidRPr="00680FA9">
              <w:rPr>
                <w:rFonts w:eastAsia="Times New Roman" w:cstheme="minorHAnsi"/>
                <w:b/>
                <w:bCs/>
              </w:rPr>
              <w:t>LeDeR programme</w:t>
            </w:r>
            <w:r w:rsidRPr="00680FA9">
              <w:rPr>
                <w:rFonts w:eastAsia="Times New Roman" w:cstheme="minorHAnsi"/>
              </w:rPr>
              <w:t xml:space="preserve"> aims to improve care, reduce health inequalities  and prevent early deaths of people with a learning disability and autistic people.  Email us at </w:t>
            </w:r>
            <w:hyperlink r:id="rId6" w:history="1">
              <w:r w:rsidRPr="00680FA9">
                <w:rPr>
                  <w:rStyle w:val="Hyperlink"/>
                  <w:rFonts w:eastAsia="Times New Roman" w:cstheme="minorHAnsi"/>
                </w:rPr>
                <w:t>somicb.leder@nhs.net</w:t>
              </w:r>
            </w:hyperlink>
            <w:r w:rsidRPr="00680FA9">
              <w:rPr>
                <w:rFonts w:eastAsia="Times New Roman" w:cstheme="minorHAnsi"/>
              </w:rPr>
              <w:t xml:space="preserve"> for further information.</w:t>
            </w:r>
          </w:p>
          <w:p w14:paraId="218334D6" w14:textId="7E598A1E" w:rsidR="009B3F92" w:rsidRPr="00680FA9" w:rsidRDefault="009B3F92" w:rsidP="009B3F92">
            <w:pPr>
              <w:spacing w:line="276" w:lineRule="auto"/>
              <w:jc w:val="center"/>
              <w:rPr>
                <w:rFonts w:cstheme="minorHAnsi"/>
                <w:b/>
                <w:bCs/>
              </w:rPr>
            </w:pPr>
          </w:p>
        </w:tc>
      </w:tr>
      <w:tr w:rsidR="001E254E" w:rsidRPr="00680FA9" w14:paraId="7EC4B309" w14:textId="77777777" w:rsidTr="000344D7">
        <w:trPr>
          <w:trHeight w:val="1304"/>
          <w:jc w:val="center"/>
        </w:trPr>
        <w:tc>
          <w:tcPr>
            <w:tcW w:w="10492" w:type="dxa"/>
            <w:gridSpan w:val="3"/>
            <w:shd w:val="clear" w:color="auto" w:fill="BDD6EE" w:themeFill="accent5" w:themeFillTint="66"/>
            <w:vAlign w:val="center"/>
          </w:tcPr>
          <w:p w14:paraId="443B6A39" w14:textId="463BFE9B" w:rsidR="00DA659F" w:rsidRPr="00655FE0" w:rsidRDefault="00DA659F" w:rsidP="009B3F92">
            <w:pPr>
              <w:pStyle w:val="Default"/>
              <w:spacing w:line="276" w:lineRule="auto"/>
              <w:rPr>
                <w:rFonts w:asciiTheme="minorHAnsi" w:hAnsiTheme="minorHAnsi" w:cstheme="minorHAnsi"/>
                <w:b/>
                <w:bCs/>
              </w:rPr>
            </w:pPr>
            <w:r w:rsidRPr="00655FE0">
              <w:rPr>
                <w:rFonts w:asciiTheme="minorHAnsi" w:hAnsiTheme="minorHAnsi" w:cstheme="minorHAnsi"/>
                <w:b/>
                <w:bCs/>
              </w:rPr>
              <w:t>Why mouthcare?</w:t>
            </w:r>
          </w:p>
          <w:p w14:paraId="1B2092AA" w14:textId="77777777" w:rsidR="000344D7" w:rsidRDefault="00DA659F" w:rsidP="009B3F92">
            <w:pPr>
              <w:spacing w:line="276" w:lineRule="auto"/>
              <w:rPr>
                <w:rFonts w:cstheme="minorHAnsi"/>
              </w:rPr>
            </w:pPr>
            <w:r w:rsidRPr="00655FE0">
              <w:rPr>
                <w:rFonts w:cstheme="minorHAnsi"/>
              </w:rPr>
              <w:t xml:space="preserve">In </w:t>
            </w:r>
            <w:r w:rsidRPr="00EA4862">
              <w:rPr>
                <w:rFonts w:cstheme="minorHAnsi"/>
                <w:b/>
                <w:bCs/>
              </w:rPr>
              <w:t>2019 the Care Quality Commission(CQC)</w:t>
            </w:r>
            <w:r w:rsidRPr="00655FE0">
              <w:rPr>
                <w:rFonts w:cstheme="minorHAnsi"/>
              </w:rPr>
              <w:t xml:space="preserve"> carried out a review of oral health in care homes. </w:t>
            </w:r>
            <w:r w:rsidR="00640704">
              <w:rPr>
                <w:rFonts w:cstheme="minorHAnsi"/>
              </w:rPr>
              <w:t>One</w:t>
            </w:r>
            <w:r w:rsidRPr="00655FE0">
              <w:rPr>
                <w:rFonts w:cstheme="minorHAnsi"/>
              </w:rPr>
              <w:t xml:space="preserve"> outcome from the review is that a CQC inspection now includes mandatory questions about oral health training and care planning.</w:t>
            </w:r>
          </w:p>
          <w:p w14:paraId="698024A6" w14:textId="77777777" w:rsidR="009B3F92" w:rsidRDefault="009B3F92" w:rsidP="009B3F92">
            <w:pPr>
              <w:spacing w:line="276" w:lineRule="auto"/>
              <w:rPr>
                <w:rFonts w:cstheme="minorHAnsi"/>
              </w:rPr>
            </w:pPr>
          </w:p>
          <w:p w14:paraId="5E7648E5" w14:textId="20923506" w:rsidR="009B3F92" w:rsidRDefault="009B3F92" w:rsidP="009B3F92">
            <w:pPr>
              <w:spacing w:line="276" w:lineRule="auto"/>
              <w:rPr>
                <w:rFonts w:cstheme="minorHAnsi"/>
              </w:rPr>
            </w:pPr>
            <w:r w:rsidRPr="00655FE0">
              <w:rPr>
                <w:rFonts w:cstheme="minorHAnsi"/>
              </w:rPr>
              <w:t xml:space="preserve">Poor mouth care impacts on general health and is significantly linked to major health diseases such as cardiovascular disease, diabetes, respiratory disease and stroke. It also impacts on wellbeing, ability to socialise, communication, chewing and eating and enjoyment of life. It can cause pain and risk of infection. </w:t>
            </w:r>
            <w:r>
              <w:rPr>
                <w:rFonts w:cstheme="minorHAnsi"/>
              </w:rPr>
              <w:t xml:space="preserve"> </w:t>
            </w:r>
            <w:r w:rsidRPr="00655FE0">
              <w:rPr>
                <w:rFonts w:cstheme="minorHAnsi"/>
              </w:rPr>
              <w:t xml:space="preserve">Many people with learning disabilities or autistic people may find it difficult to communicate this to carers or may not know how to get help </w:t>
            </w:r>
            <w:r>
              <w:rPr>
                <w:rFonts w:cstheme="minorHAnsi"/>
              </w:rPr>
              <w:t>without support.</w:t>
            </w:r>
          </w:p>
          <w:p w14:paraId="15B93F79" w14:textId="4BA73A9B" w:rsidR="009B3F92" w:rsidRPr="000344D7" w:rsidRDefault="009B3F92" w:rsidP="009B3F92">
            <w:pPr>
              <w:spacing w:line="276" w:lineRule="auto"/>
              <w:rPr>
                <w:rFonts w:cstheme="minorHAnsi"/>
              </w:rPr>
            </w:pPr>
          </w:p>
        </w:tc>
      </w:tr>
      <w:tr w:rsidR="000344D7" w:rsidRPr="00680FA9" w14:paraId="7129541B" w14:textId="77777777" w:rsidTr="00E87A3F">
        <w:trPr>
          <w:trHeight w:val="1984"/>
          <w:jc w:val="center"/>
        </w:trPr>
        <w:tc>
          <w:tcPr>
            <w:tcW w:w="7083" w:type="dxa"/>
            <w:gridSpan w:val="2"/>
            <w:shd w:val="clear" w:color="auto" w:fill="DEEAF6" w:themeFill="accent5" w:themeFillTint="33"/>
          </w:tcPr>
          <w:p w14:paraId="78BFFC46" w14:textId="77777777" w:rsidR="000344D7" w:rsidRDefault="000344D7" w:rsidP="009B3F92">
            <w:pPr>
              <w:pStyle w:val="ListParagraph"/>
              <w:spacing w:line="276" w:lineRule="auto"/>
              <w:ind w:left="25"/>
              <w:rPr>
                <w:rFonts w:cstheme="minorHAnsi"/>
                <w:b/>
                <w:bCs/>
              </w:rPr>
            </w:pPr>
            <w:r w:rsidRPr="000344D7">
              <w:rPr>
                <w:rFonts w:cstheme="minorHAnsi"/>
                <w:b/>
                <w:bCs/>
                <w:sz w:val="24"/>
                <w:szCs w:val="24"/>
              </w:rPr>
              <w:t>CQC</w:t>
            </w:r>
            <w:r w:rsidRPr="000344D7">
              <w:rPr>
                <w:rFonts w:cstheme="minorHAnsi"/>
                <w:sz w:val="24"/>
                <w:szCs w:val="24"/>
              </w:rPr>
              <w:t xml:space="preserve"> </w:t>
            </w:r>
            <w:r w:rsidRPr="000344D7">
              <w:rPr>
                <w:rFonts w:cstheme="minorHAnsi"/>
                <w:b/>
                <w:bCs/>
                <w:sz w:val="24"/>
                <w:szCs w:val="24"/>
              </w:rPr>
              <w:t>Update March 2023</w:t>
            </w:r>
            <w:r w:rsidRPr="00895E66">
              <w:rPr>
                <w:rFonts w:cstheme="minorHAnsi"/>
                <w:b/>
                <w:bCs/>
              </w:rPr>
              <w:t xml:space="preserve"> </w:t>
            </w:r>
          </w:p>
          <w:p w14:paraId="783DF5D9" w14:textId="77777777" w:rsidR="000344D7" w:rsidRPr="00EA4862" w:rsidRDefault="000344D7" w:rsidP="009B3F92">
            <w:pPr>
              <w:pStyle w:val="ListParagraph"/>
              <w:spacing w:line="276" w:lineRule="auto"/>
              <w:ind w:left="25"/>
              <w:rPr>
                <w:rFonts w:cstheme="minorHAnsi"/>
                <w:b/>
                <w:bCs/>
              </w:rPr>
            </w:pPr>
            <w:r w:rsidRPr="00EA4862">
              <w:rPr>
                <w:rFonts w:cstheme="minorHAnsi"/>
              </w:rPr>
              <w:t>This report</w:t>
            </w:r>
            <w:r>
              <w:rPr>
                <w:rFonts w:cstheme="minorHAnsi"/>
              </w:rPr>
              <w:t>:</w:t>
            </w:r>
          </w:p>
          <w:p w14:paraId="7C0D7FBD" w14:textId="0B201D90" w:rsidR="000344D7" w:rsidRPr="00EA4862" w:rsidRDefault="000344D7" w:rsidP="009B3F92">
            <w:pPr>
              <w:pStyle w:val="ListParagraph"/>
              <w:numPr>
                <w:ilvl w:val="0"/>
                <w:numId w:val="15"/>
              </w:numPr>
              <w:spacing w:line="276" w:lineRule="auto"/>
              <w:rPr>
                <w:rFonts w:cstheme="minorHAnsi"/>
                <w:b/>
                <w:bCs/>
              </w:rPr>
            </w:pPr>
            <w:r>
              <w:rPr>
                <w:rFonts w:cstheme="minorHAnsi"/>
              </w:rPr>
              <w:t>R</w:t>
            </w:r>
            <w:r w:rsidRPr="00EA4862">
              <w:rPr>
                <w:rFonts w:cstheme="minorHAnsi"/>
              </w:rPr>
              <w:t xml:space="preserve">eviews progress </w:t>
            </w:r>
            <w:r>
              <w:rPr>
                <w:rFonts w:cstheme="minorHAnsi"/>
              </w:rPr>
              <w:t xml:space="preserve">on the </w:t>
            </w:r>
            <w:r w:rsidR="009B3F92">
              <w:rPr>
                <w:rFonts w:cstheme="minorHAnsi"/>
              </w:rPr>
              <w:t>six</w:t>
            </w:r>
            <w:r>
              <w:rPr>
                <w:rFonts w:cstheme="minorHAnsi"/>
              </w:rPr>
              <w:t xml:space="preserve"> recommendations</w:t>
            </w:r>
            <w:r w:rsidRPr="00EA4862">
              <w:rPr>
                <w:rFonts w:cstheme="minorHAnsi"/>
              </w:rPr>
              <w:t xml:space="preserve"> made</w:t>
            </w:r>
            <w:r>
              <w:rPr>
                <w:rFonts w:cstheme="minorHAnsi"/>
              </w:rPr>
              <w:t xml:space="preserve"> in 2019</w:t>
            </w:r>
          </w:p>
          <w:p w14:paraId="2CEA63E2" w14:textId="131D0D61" w:rsidR="000344D7" w:rsidRPr="00EA4862" w:rsidRDefault="000344D7" w:rsidP="009B3F92">
            <w:pPr>
              <w:pStyle w:val="ListParagraph"/>
              <w:numPr>
                <w:ilvl w:val="0"/>
                <w:numId w:val="15"/>
              </w:numPr>
              <w:spacing w:line="276" w:lineRule="auto"/>
              <w:rPr>
                <w:rFonts w:cstheme="minorHAnsi"/>
                <w:b/>
                <w:bCs/>
              </w:rPr>
            </w:pPr>
            <w:r>
              <w:rPr>
                <w:rFonts w:cstheme="minorHAnsi"/>
              </w:rPr>
              <w:t>Gives further recommendations and actions</w:t>
            </w:r>
          </w:p>
          <w:p w14:paraId="49119C9A" w14:textId="77777777" w:rsidR="000344D7" w:rsidRPr="00727418" w:rsidRDefault="000344D7" w:rsidP="009B3F92">
            <w:pPr>
              <w:pStyle w:val="ListParagraph"/>
              <w:numPr>
                <w:ilvl w:val="0"/>
                <w:numId w:val="15"/>
              </w:numPr>
              <w:spacing w:line="276" w:lineRule="auto"/>
              <w:rPr>
                <w:rFonts w:cstheme="minorHAnsi"/>
                <w:b/>
                <w:bCs/>
              </w:rPr>
            </w:pPr>
            <w:r>
              <w:rPr>
                <w:rFonts w:cstheme="minorHAnsi"/>
              </w:rPr>
              <w:t>Gives examples of how quality of life is reduced when oral care is not prioritised.</w:t>
            </w:r>
          </w:p>
          <w:p w14:paraId="639DCDAE" w14:textId="1F4DCFB6" w:rsidR="00727418" w:rsidRPr="00655FE0" w:rsidRDefault="00727418" w:rsidP="009B3F92">
            <w:pPr>
              <w:pStyle w:val="ListParagraph"/>
              <w:numPr>
                <w:ilvl w:val="0"/>
                <w:numId w:val="15"/>
              </w:numPr>
              <w:spacing w:line="276" w:lineRule="auto"/>
              <w:rPr>
                <w:rFonts w:cstheme="minorHAnsi"/>
                <w:b/>
                <w:bCs/>
              </w:rPr>
            </w:pPr>
            <w:r>
              <w:t xml:space="preserve">Read the full report here </w:t>
            </w:r>
            <w:hyperlink r:id="rId7" w:history="1">
              <w:r>
                <w:rPr>
                  <w:rStyle w:val="Hyperlink"/>
                </w:rPr>
                <w:t>Smiling matters: Oral health in care homes - progress report - Care Quality Commission (cqc.org.uk)</w:t>
              </w:r>
            </w:hyperlink>
          </w:p>
        </w:tc>
        <w:tc>
          <w:tcPr>
            <w:tcW w:w="3409" w:type="dxa"/>
            <w:shd w:val="clear" w:color="auto" w:fill="DEEAF6" w:themeFill="accent5" w:themeFillTint="33"/>
            <w:vAlign w:val="center"/>
          </w:tcPr>
          <w:p w14:paraId="5614A5CC" w14:textId="7F880FB6" w:rsidR="000344D7" w:rsidRPr="00655FE0" w:rsidRDefault="000344D7" w:rsidP="009B3F92">
            <w:pPr>
              <w:pStyle w:val="Default"/>
              <w:spacing w:line="276" w:lineRule="auto"/>
              <w:jc w:val="center"/>
              <w:rPr>
                <w:rFonts w:asciiTheme="minorHAnsi" w:hAnsiTheme="minorHAnsi" w:cstheme="minorHAnsi"/>
                <w:b/>
                <w:bCs/>
              </w:rPr>
            </w:pPr>
            <w:r>
              <w:rPr>
                <w:rFonts w:asciiTheme="minorHAnsi" w:hAnsiTheme="minorHAnsi" w:cstheme="minorHAnsi"/>
                <w:b/>
                <w:bCs/>
                <w:noProof/>
              </w:rPr>
              <w:drawing>
                <wp:inline distT="0" distB="0" distL="0" distR="0" wp14:anchorId="21CFADEF" wp14:editId="2E704C53">
                  <wp:extent cx="1980000" cy="990000"/>
                  <wp:effectExtent l="0" t="0" r="1270" b="6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990000"/>
                          </a:xfrm>
                          <a:prstGeom prst="rect">
                            <a:avLst/>
                          </a:prstGeom>
                        </pic:spPr>
                      </pic:pic>
                    </a:graphicData>
                  </a:graphic>
                </wp:inline>
              </w:drawing>
            </w:r>
          </w:p>
        </w:tc>
      </w:tr>
      <w:tr w:rsidR="000344D7" w:rsidRPr="00680FA9" w14:paraId="4A0523F3" w14:textId="77777777" w:rsidTr="000344D7">
        <w:trPr>
          <w:trHeight w:val="4649"/>
          <w:jc w:val="center"/>
        </w:trPr>
        <w:tc>
          <w:tcPr>
            <w:tcW w:w="10492" w:type="dxa"/>
            <w:gridSpan w:val="3"/>
            <w:shd w:val="clear" w:color="auto" w:fill="BDD6EE" w:themeFill="accent5" w:themeFillTint="66"/>
          </w:tcPr>
          <w:p w14:paraId="3989F8C0" w14:textId="77777777" w:rsidR="000344D7" w:rsidRPr="00575AEC" w:rsidRDefault="000344D7" w:rsidP="009B3F92">
            <w:pPr>
              <w:pStyle w:val="Default"/>
              <w:spacing w:line="276" w:lineRule="auto"/>
              <w:rPr>
                <w:rFonts w:asciiTheme="minorHAnsi" w:hAnsiTheme="minorHAnsi" w:cstheme="minorHAnsi"/>
                <w:b/>
                <w:bCs/>
              </w:rPr>
            </w:pPr>
            <w:r w:rsidRPr="00575AEC">
              <w:rPr>
                <w:rFonts w:asciiTheme="minorHAnsi" w:hAnsiTheme="minorHAnsi" w:cstheme="minorHAnsi"/>
                <w:b/>
                <w:bCs/>
              </w:rPr>
              <w:t>Learning from LeDeR</w:t>
            </w:r>
          </w:p>
          <w:p w14:paraId="7D18C154" w14:textId="1A597615" w:rsidR="000344D7" w:rsidRDefault="000344D7" w:rsidP="009B3F92">
            <w:pPr>
              <w:pStyle w:val="Default"/>
              <w:spacing w:line="276" w:lineRule="auto"/>
              <w:rPr>
                <w:rFonts w:asciiTheme="minorHAnsi" w:hAnsiTheme="minorHAnsi" w:cstheme="minorHAnsi"/>
                <w:sz w:val="22"/>
                <w:szCs w:val="22"/>
              </w:rPr>
            </w:pPr>
            <w:r w:rsidRPr="00655FE0">
              <w:rPr>
                <w:rFonts w:asciiTheme="minorHAnsi" w:hAnsiTheme="minorHAnsi" w:cstheme="minorHAnsi"/>
                <w:sz w:val="22"/>
                <w:szCs w:val="22"/>
              </w:rPr>
              <w:t>Ensuring people with learning disabilities and autistic people have access to good mouth care is key to supporting good health outcomes.</w:t>
            </w:r>
            <w:r>
              <w:rPr>
                <w:rFonts w:asciiTheme="minorHAnsi" w:hAnsiTheme="minorHAnsi" w:cstheme="minorHAnsi"/>
                <w:sz w:val="22"/>
                <w:szCs w:val="22"/>
              </w:rPr>
              <w:t xml:space="preserve"> It’s important to remember people with no teeth and people who do not eat and drink orally must still be supported to have good mouthcare and should still visit the dentist to support them to be as healthy as possible.</w:t>
            </w:r>
          </w:p>
          <w:p w14:paraId="7513CD48" w14:textId="77777777" w:rsidR="009B3F92" w:rsidRPr="00655FE0" w:rsidRDefault="009B3F92" w:rsidP="009B3F92">
            <w:pPr>
              <w:pStyle w:val="Default"/>
              <w:spacing w:line="276" w:lineRule="auto"/>
              <w:rPr>
                <w:rFonts w:asciiTheme="minorHAnsi" w:hAnsiTheme="minorHAnsi" w:cstheme="minorHAnsi"/>
                <w:sz w:val="22"/>
                <w:szCs w:val="22"/>
              </w:rPr>
            </w:pPr>
          </w:p>
          <w:p w14:paraId="39BD9CB7" w14:textId="13F98466" w:rsidR="000344D7" w:rsidRDefault="000344D7" w:rsidP="009B3F92">
            <w:pPr>
              <w:spacing w:line="276" w:lineRule="auto"/>
              <w:rPr>
                <w:rFonts w:cstheme="minorHAnsi"/>
              </w:rPr>
            </w:pPr>
            <w:r w:rsidRPr="00655FE0">
              <w:rPr>
                <w:rFonts w:cstheme="minorHAnsi"/>
                <w:b/>
                <w:bCs/>
              </w:rPr>
              <w:t xml:space="preserve">People with </w:t>
            </w:r>
            <w:r w:rsidR="00674145" w:rsidRPr="00655FE0">
              <w:rPr>
                <w:rFonts w:cstheme="minorHAnsi"/>
                <w:b/>
                <w:bCs/>
              </w:rPr>
              <w:t>Down</w:t>
            </w:r>
            <w:r w:rsidR="00674145">
              <w:rPr>
                <w:rFonts w:cstheme="minorHAnsi"/>
                <w:b/>
                <w:bCs/>
              </w:rPr>
              <w:t xml:space="preserve">’s </w:t>
            </w:r>
            <w:r>
              <w:rPr>
                <w:rFonts w:cstheme="minorHAnsi"/>
                <w:b/>
                <w:bCs/>
              </w:rPr>
              <w:t>S</w:t>
            </w:r>
            <w:r w:rsidRPr="00655FE0">
              <w:rPr>
                <w:rFonts w:cstheme="minorHAnsi"/>
                <w:b/>
                <w:bCs/>
              </w:rPr>
              <w:t>yndrome and people who find it hard to co</w:t>
            </w:r>
            <w:r>
              <w:rPr>
                <w:rFonts w:cstheme="minorHAnsi"/>
                <w:b/>
                <w:bCs/>
              </w:rPr>
              <w:t>-</w:t>
            </w:r>
            <w:r w:rsidRPr="00655FE0">
              <w:rPr>
                <w:rFonts w:cstheme="minorHAnsi"/>
                <w:b/>
                <w:bCs/>
              </w:rPr>
              <w:t>operate with routine dental care are particularly at risk from poor mouth care (Public Health England 2019). Because of this</w:t>
            </w:r>
            <w:r>
              <w:rPr>
                <w:rFonts w:cstheme="minorHAnsi"/>
                <w:b/>
                <w:bCs/>
              </w:rPr>
              <w:t>,</w:t>
            </w:r>
            <w:r w:rsidRPr="00655FE0">
              <w:rPr>
                <w:rFonts w:cstheme="minorHAnsi"/>
                <w:b/>
                <w:bCs/>
              </w:rPr>
              <w:t xml:space="preserve"> </w:t>
            </w:r>
            <w:r w:rsidRPr="00737908">
              <w:rPr>
                <w:rFonts w:cstheme="minorHAnsi"/>
                <w:b/>
                <w:bCs/>
                <w:i/>
                <w:iCs/>
              </w:rPr>
              <w:t>reasonable adjustments</w:t>
            </w:r>
            <w:r w:rsidRPr="00655FE0">
              <w:rPr>
                <w:rFonts w:cstheme="minorHAnsi"/>
                <w:b/>
                <w:bCs/>
              </w:rPr>
              <w:t xml:space="preserve"> may need to be made</w:t>
            </w:r>
            <w:r>
              <w:rPr>
                <w:rFonts w:cstheme="minorHAnsi"/>
                <w:b/>
                <w:bCs/>
              </w:rPr>
              <w:t xml:space="preserve">. </w:t>
            </w:r>
            <w:r>
              <w:rPr>
                <w:rFonts w:cstheme="minorHAnsi"/>
              </w:rPr>
              <w:t xml:space="preserve">All health professionals have a legal requirement to adapt how they work to support the needs of people with learning disabilities and autistic people. </w:t>
            </w:r>
          </w:p>
          <w:p w14:paraId="760DAFDB" w14:textId="77777777" w:rsidR="009B3F92" w:rsidRDefault="009B3F92" w:rsidP="009B3F92">
            <w:pPr>
              <w:spacing w:line="276" w:lineRule="auto"/>
              <w:rPr>
                <w:rFonts w:cstheme="minorHAnsi"/>
              </w:rPr>
            </w:pPr>
          </w:p>
          <w:p w14:paraId="3A31F338" w14:textId="062062E4" w:rsidR="000344D7" w:rsidRPr="000344D7" w:rsidRDefault="000344D7" w:rsidP="009B3F92">
            <w:pPr>
              <w:pStyle w:val="Default"/>
              <w:spacing w:line="276" w:lineRule="auto"/>
              <w:rPr>
                <w:rFonts w:asciiTheme="minorHAnsi" w:hAnsiTheme="minorHAnsi" w:cstheme="minorHAnsi"/>
                <w:b/>
                <w:bCs/>
              </w:rPr>
            </w:pPr>
            <w:r w:rsidRPr="000344D7">
              <w:rPr>
                <w:rFonts w:asciiTheme="minorHAnsi" w:hAnsiTheme="minorHAnsi" w:cstheme="minorHAnsi"/>
                <w:b/>
                <w:bCs/>
              </w:rPr>
              <w:t>Good practice in action</w:t>
            </w:r>
          </w:p>
          <w:p w14:paraId="294C83E9" w14:textId="77777777" w:rsidR="000344D7" w:rsidRDefault="000344D7" w:rsidP="009B3F92">
            <w:pPr>
              <w:spacing w:line="276" w:lineRule="auto"/>
            </w:pPr>
            <w:r>
              <w:t xml:space="preserve">Will is a young man with learning disabilities and autism. He is sociable and keen to engage but can be shy and become anxious at times. When Will is anxious it can be difficult for him to have his dental treatment. </w:t>
            </w:r>
          </w:p>
          <w:p w14:paraId="776D4FF1" w14:textId="77777777" w:rsidR="000344D7" w:rsidRDefault="000344D7" w:rsidP="009B3F92">
            <w:pPr>
              <w:spacing w:line="276" w:lineRule="auto"/>
            </w:pPr>
            <w:r>
              <w:t xml:space="preserve">Will needed some dental treatment that required him to have a general anaesthetic. With Will’s family it was agreed Will did not have capacity to make decisions about his dental treatment but that the treatment was in his best interest. Because of his complex needs the dental team identified it would be helpful to work proactively with the Learning Disability Acute Liaison nurse to support them with making reasonable adjustments for Will. </w:t>
            </w:r>
          </w:p>
          <w:p w14:paraId="7E0CBEEA" w14:textId="6AB1DCE3" w:rsidR="00C37F14" w:rsidRPr="00655FE0" w:rsidRDefault="000344D7" w:rsidP="00E87A3F">
            <w:pPr>
              <w:spacing w:line="276" w:lineRule="auto"/>
              <w:rPr>
                <w:rFonts w:cstheme="minorHAnsi"/>
                <w:b/>
                <w:bCs/>
              </w:rPr>
            </w:pPr>
            <w:r>
              <w:t>A plan was made for Will to visit the hospital and meet the dental team before the appointment. It was agreed he would use the side entrance of the hospital and that staff greeting him would not wear uniforms as this increased his anxiety. An activity was organised for Will to take part in which involved him having a drink. It had been agreed to add sedation</w:t>
            </w:r>
            <w:r w:rsidR="00E87A3F">
              <w:t xml:space="preserve"> covertly</w:t>
            </w:r>
            <w:r>
              <w:t xml:space="preserve"> to his drink in his best interest. This enabled Will and the dental team to complete the necessary dental work thus improving Will’s health and well-being.</w:t>
            </w:r>
          </w:p>
        </w:tc>
      </w:tr>
      <w:tr w:rsidR="000344D7" w:rsidRPr="00680FA9" w14:paraId="3BBA2AD3" w14:textId="77777777" w:rsidTr="00E87A3F">
        <w:trPr>
          <w:trHeight w:val="1134"/>
          <w:jc w:val="center"/>
        </w:trPr>
        <w:tc>
          <w:tcPr>
            <w:tcW w:w="10492" w:type="dxa"/>
            <w:gridSpan w:val="3"/>
            <w:tcBorders>
              <w:bottom w:val="single" w:sz="4" w:space="0" w:color="8EAADB" w:themeColor="accent1" w:themeTint="99"/>
            </w:tcBorders>
            <w:shd w:val="clear" w:color="auto" w:fill="9CC2E5" w:themeFill="accent5" w:themeFillTint="99"/>
            <w:vAlign w:val="center"/>
          </w:tcPr>
          <w:p w14:paraId="07BDCC9B" w14:textId="77777777" w:rsidR="000344D7" w:rsidRPr="00575AEC" w:rsidRDefault="000344D7" w:rsidP="00E87A3F">
            <w:pPr>
              <w:spacing w:line="276" w:lineRule="auto"/>
              <w:rPr>
                <w:rFonts w:cstheme="minorHAnsi"/>
                <w:b/>
                <w:bCs/>
                <w:sz w:val="24"/>
                <w:szCs w:val="24"/>
              </w:rPr>
            </w:pPr>
            <w:r w:rsidRPr="00575AEC">
              <w:rPr>
                <w:rFonts w:cstheme="minorHAnsi"/>
                <w:b/>
                <w:bCs/>
                <w:sz w:val="24"/>
                <w:szCs w:val="24"/>
              </w:rPr>
              <w:lastRenderedPageBreak/>
              <w:t>Reflections for Health</w:t>
            </w:r>
          </w:p>
          <w:p w14:paraId="22D40B17" w14:textId="2423AFBD" w:rsidR="00C37F14" w:rsidRPr="000344D7" w:rsidRDefault="000344D7" w:rsidP="00E87A3F">
            <w:pPr>
              <w:spacing w:line="276" w:lineRule="auto"/>
              <w:rPr>
                <w:rFonts w:cstheme="minorHAnsi"/>
              </w:rPr>
            </w:pPr>
            <w:r w:rsidRPr="004E6671">
              <w:rPr>
                <w:rFonts w:cstheme="minorHAnsi"/>
              </w:rPr>
              <w:t>During the Covid</w:t>
            </w:r>
            <w:r>
              <w:rPr>
                <w:rFonts w:cstheme="minorHAnsi"/>
              </w:rPr>
              <w:t>-</w:t>
            </w:r>
            <w:r w:rsidRPr="004E6671">
              <w:rPr>
                <w:rFonts w:cstheme="minorHAnsi"/>
              </w:rPr>
              <w:t xml:space="preserve">19 pandemic accessing a dentist for routine work was difficult for many people. </w:t>
            </w:r>
            <w:r>
              <w:rPr>
                <w:rFonts w:cstheme="minorHAnsi"/>
              </w:rPr>
              <w:t xml:space="preserve"> </w:t>
            </w:r>
            <w:r w:rsidRPr="004E6671">
              <w:rPr>
                <w:rFonts w:cstheme="minorHAnsi"/>
              </w:rPr>
              <w:t xml:space="preserve">It is </w:t>
            </w:r>
            <w:r>
              <w:rPr>
                <w:rFonts w:cstheme="minorHAnsi"/>
              </w:rPr>
              <w:t xml:space="preserve">really </w:t>
            </w:r>
            <w:r w:rsidRPr="004E6671">
              <w:rPr>
                <w:rFonts w:cstheme="minorHAnsi"/>
              </w:rPr>
              <w:t>important now to support service users to get back into the routine of visiting the</w:t>
            </w:r>
            <w:r>
              <w:rPr>
                <w:rFonts w:cstheme="minorHAnsi"/>
              </w:rPr>
              <w:t>ir</w:t>
            </w:r>
            <w:r w:rsidRPr="004E6671">
              <w:rPr>
                <w:rFonts w:cstheme="minorHAnsi"/>
              </w:rPr>
              <w:t xml:space="preserve"> dentist</w:t>
            </w:r>
            <w:r>
              <w:rPr>
                <w:rFonts w:cstheme="minorHAnsi"/>
              </w:rPr>
              <w:t>. This will help to keep them healthy and well.</w:t>
            </w:r>
          </w:p>
        </w:tc>
      </w:tr>
      <w:tr w:rsidR="00E87A3F" w:rsidRPr="00680FA9" w14:paraId="31005018" w14:textId="77777777" w:rsidTr="00E87A3F">
        <w:trPr>
          <w:trHeight w:val="1134"/>
          <w:jc w:val="center"/>
        </w:trPr>
        <w:tc>
          <w:tcPr>
            <w:tcW w:w="10492" w:type="dxa"/>
            <w:gridSpan w:val="3"/>
            <w:tcBorders>
              <w:bottom w:val="single" w:sz="4" w:space="0" w:color="B4C6E7" w:themeColor="accent1" w:themeTint="66"/>
            </w:tcBorders>
            <w:shd w:val="clear" w:color="auto" w:fill="DEEAF6" w:themeFill="accent5" w:themeFillTint="33"/>
            <w:vAlign w:val="center"/>
          </w:tcPr>
          <w:p w14:paraId="61F55684" w14:textId="77777777" w:rsidR="00E87A3F" w:rsidRPr="00575AEC" w:rsidRDefault="00E87A3F" w:rsidP="00E87A3F">
            <w:pPr>
              <w:spacing w:line="276" w:lineRule="auto"/>
              <w:rPr>
                <w:rFonts w:cstheme="minorHAnsi"/>
                <w:b/>
                <w:bCs/>
                <w:sz w:val="24"/>
                <w:szCs w:val="24"/>
              </w:rPr>
            </w:pPr>
            <w:r w:rsidRPr="00575AEC">
              <w:rPr>
                <w:rFonts w:cstheme="minorHAnsi"/>
                <w:b/>
                <w:bCs/>
                <w:sz w:val="24"/>
                <w:szCs w:val="24"/>
              </w:rPr>
              <w:t>Learning from Deaths</w:t>
            </w:r>
          </w:p>
          <w:p w14:paraId="1C04E185" w14:textId="77777777" w:rsidR="00E87A3F" w:rsidRDefault="00E87A3F" w:rsidP="00E87A3F">
            <w:pPr>
              <w:spacing w:line="276" w:lineRule="auto"/>
              <w:rPr>
                <w:rFonts w:cstheme="minorHAnsi"/>
              </w:rPr>
            </w:pPr>
            <w:r>
              <w:rPr>
                <w:rFonts w:cstheme="minorHAnsi"/>
              </w:rPr>
              <w:t>LeDeR has found that it is essential to establish g</w:t>
            </w:r>
            <w:r w:rsidRPr="00A01012">
              <w:rPr>
                <w:rFonts w:cstheme="minorHAnsi"/>
              </w:rPr>
              <w:t xml:space="preserve">ood standards of oral care early </w:t>
            </w:r>
            <w:r>
              <w:rPr>
                <w:rFonts w:cstheme="minorHAnsi"/>
              </w:rPr>
              <w:t>i</w:t>
            </w:r>
            <w:r w:rsidRPr="00A01012">
              <w:rPr>
                <w:rFonts w:cstheme="minorHAnsi"/>
              </w:rPr>
              <w:t>n life</w:t>
            </w:r>
            <w:r>
              <w:rPr>
                <w:rFonts w:cstheme="minorHAnsi"/>
              </w:rPr>
              <w:t xml:space="preserve"> and to maintain them into adulthood and old age</w:t>
            </w:r>
            <w:r w:rsidRPr="00A01012">
              <w:rPr>
                <w:rFonts w:cstheme="minorHAnsi"/>
              </w:rPr>
              <w:t>.</w:t>
            </w:r>
          </w:p>
          <w:p w14:paraId="024C5D73" w14:textId="77777777" w:rsidR="00E87A3F" w:rsidRPr="00A01012" w:rsidRDefault="00E87A3F" w:rsidP="00E87A3F">
            <w:pPr>
              <w:spacing w:line="276" w:lineRule="auto"/>
              <w:rPr>
                <w:rFonts w:cstheme="minorHAnsi"/>
              </w:rPr>
            </w:pPr>
            <w:r>
              <w:rPr>
                <w:rFonts w:cstheme="minorHAnsi"/>
              </w:rPr>
              <w:t>Maintaining good mouth care towards the end of life is also important for the dignity and quality of life of the person who is dying. This link to Marie Curie has lots of information about all aspects of supporting good mouthcare including advice about dry mouth, saliva management, pain management, dentures and when to ask for help.</w:t>
            </w:r>
          </w:p>
          <w:p w14:paraId="43BFD2A1" w14:textId="0819BB4F" w:rsidR="00E87A3F" w:rsidRPr="00575AEC" w:rsidRDefault="00674145" w:rsidP="00E87A3F">
            <w:pPr>
              <w:spacing w:line="276" w:lineRule="auto"/>
              <w:rPr>
                <w:rFonts w:cstheme="minorHAnsi"/>
                <w:b/>
                <w:bCs/>
                <w:sz w:val="24"/>
                <w:szCs w:val="24"/>
              </w:rPr>
            </w:pPr>
            <w:hyperlink r:id="rId9" w:history="1">
              <w:r w:rsidR="00E87A3F" w:rsidRPr="0068777A">
                <w:rPr>
                  <w:color w:val="0000FF"/>
                  <w:sz w:val="21"/>
                  <w:szCs w:val="21"/>
                  <w:u w:val="single"/>
                </w:rPr>
                <w:t>Mouth care at the end of life | Information for professionals (mariecurie.org.uk)</w:t>
              </w:r>
            </w:hyperlink>
          </w:p>
        </w:tc>
      </w:tr>
      <w:tr w:rsidR="00E87A3F" w:rsidRPr="00680FA9" w14:paraId="0DD4B329" w14:textId="77777777" w:rsidTr="00E87A3F">
        <w:trPr>
          <w:trHeight w:val="1134"/>
          <w:jc w:val="center"/>
        </w:trPr>
        <w:tc>
          <w:tcPr>
            <w:tcW w:w="10492"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BDD6EE" w:themeFill="accent5" w:themeFillTint="66"/>
            <w:vAlign w:val="center"/>
          </w:tcPr>
          <w:p w14:paraId="140240DC" w14:textId="77777777" w:rsidR="00E87A3F" w:rsidRDefault="00E87A3F" w:rsidP="00E87A3F">
            <w:pPr>
              <w:spacing w:line="276" w:lineRule="auto"/>
              <w:rPr>
                <w:rFonts w:cstheme="minorHAnsi"/>
                <w:b/>
                <w:bCs/>
                <w:sz w:val="24"/>
                <w:szCs w:val="24"/>
              </w:rPr>
            </w:pPr>
            <w:r w:rsidRPr="00575AEC">
              <w:rPr>
                <w:rFonts w:cstheme="minorHAnsi"/>
                <w:b/>
                <w:bCs/>
                <w:sz w:val="24"/>
                <w:szCs w:val="24"/>
              </w:rPr>
              <w:t xml:space="preserve">Making a </w:t>
            </w:r>
            <w:r>
              <w:rPr>
                <w:rFonts w:cstheme="minorHAnsi"/>
                <w:b/>
                <w:bCs/>
                <w:sz w:val="24"/>
                <w:szCs w:val="24"/>
              </w:rPr>
              <w:t>R</w:t>
            </w:r>
            <w:r w:rsidRPr="00575AEC">
              <w:rPr>
                <w:rFonts w:cstheme="minorHAnsi"/>
                <w:b/>
                <w:bCs/>
                <w:sz w:val="24"/>
                <w:szCs w:val="24"/>
              </w:rPr>
              <w:t>eferral</w:t>
            </w:r>
          </w:p>
          <w:p w14:paraId="5FB229E4" w14:textId="7469EF49" w:rsidR="00E87A3F" w:rsidRDefault="00E87A3F" w:rsidP="00E87A3F">
            <w:pPr>
              <w:spacing w:line="276" w:lineRule="auto"/>
            </w:pPr>
            <w:r>
              <w:t xml:space="preserve">For all </w:t>
            </w:r>
            <w:r w:rsidRPr="00E05A1B">
              <w:rPr>
                <w:b/>
                <w:bCs/>
              </w:rPr>
              <w:t>URGENT</w:t>
            </w:r>
            <w:r>
              <w:t xml:space="preserve"> care:  Call 111</w:t>
            </w:r>
          </w:p>
          <w:p w14:paraId="3A5E5B3F" w14:textId="6D611460" w:rsidR="00E87A3F" w:rsidRDefault="00E87A3F" w:rsidP="00E87A3F">
            <w:pPr>
              <w:spacing w:line="276" w:lineRule="auto"/>
            </w:pPr>
            <w:r>
              <w:t xml:space="preserve">For </w:t>
            </w:r>
            <w:r w:rsidRPr="00E05A1B">
              <w:rPr>
                <w:b/>
                <w:bCs/>
              </w:rPr>
              <w:t>NON-URGENT</w:t>
            </w:r>
            <w:r>
              <w:t xml:space="preserve"> care:   The first stop for someone needing dental treatment is to make an appointment with the dental practice with whom they are registered. </w:t>
            </w:r>
          </w:p>
          <w:p w14:paraId="50DF5DD9" w14:textId="7A8CA038" w:rsidR="00E87A3F" w:rsidRDefault="00E87A3F" w:rsidP="00E87A3F">
            <w:pPr>
              <w:spacing w:line="276" w:lineRule="auto"/>
            </w:pPr>
            <w:r>
              <w:t>If someone requires non-urgent dental treatment but is not registered with a dentist, the first stop would be their nearest dental practice who will be able to advise on next steps.</w:t>
            </w:r>
          </w:p>
          <w:p w14:paraId="7FEB8E0F" w14:textId="77777777" w:rsidR="00E87A3F" w:rsidRDefault="00E87A3F" w:rsidP="00E87A3F">
            <w:pPr>
              <w:spacing w:line="276" w:lineRule="auto"/>
            </w:pPr>
          </w:p>
          <w:p w14:paraId="75AD20EA" w14:textId="5E336A6A" w:rsidR="00E87A3F" w:rsidRPr="00575AEC" w:rsidRDefault="00E87A3F" w:rsidP="00E87A3F">
            <w:pPr>
              <w:spacing w:line="276" w:lineRule="auto"/>
              <w:rPr>
                <w:rFonts w:cstheme="minorHAnsi"/>
                <w:b/>
                <w:bCs/>
                <w:sz w:val="24"/>
                <w:szCs w:val="24"/>
              </w:rPr>
            </w:pPr>
            <w:r w:rsidRPr="00852D0B">
              <w:rPr>
                <w:b/>
                <w:bCs/>
              </w:rPr>
              <w:t>Dental treatment at hospital:</w:t>
            </w:r>
            <w:r>
              <w:rPr>
                <w:b/>
                <w:bCs/>
              </w:rPr>
              <w:t xml:space="preserve">  </w:t>
            </w:r>
            <w:r>
              <w:t xml:space="preserve">A small number of people may need to go to hospital for their dental treatment. For these people the dental team may refer to the Learning Disability (LD) Acute Liaison nurse team for support. The LD liaison acute nurses support referrals from the dental service with best interest decision making and discussions about future treatment. </w:t>
            </w:r>
          </w:p>
        </w:tc>
      </w:tr>
      <w:tr w:rsidR="00575AEC" w:rsidRPr="00680FA9" w14:paraId="69786694" w14:textId="77777777" w:rsidTr="009B3F92">
        <w:trPr>
          <w:trHeight w:val="567"/>
          <w:jc w:val="center"/>
        </w:trPr>
        <w:tc>
          <w:tcPr>
            <w:tcW w:w="10492" w:type="dxa"/>
            <w:gridSpan w:val="3"/>
            <w:shd w:val="clear" w:color="auto" w:fill="DEEAF6" w:themeFill="accent5" w:themeFillTint="33"/>
            <w:vAlign w:val="center"/>
          </w:tcPr>
          <w:p w14:paraId="58630309" w14:textId="28655586" w:rsidR="00575AEC" w:rsidRPr="00575AEC" w:rsidRDefault="00575AEC" w:rsidP="009B3F92">
            <w:pPr>
              <w:spacing w:line="276" w:lineRule="auto"/>
              <w:jc w:val="center"/>
              <w:rPr>
                <w:rFonts w:cstheme="minorHAnsi"/>
                <w:b/>
                <w:bCs/>
                <w:sz w:val="24"/>
                <w:szCs w:val="24"/>
              </w:rPr>
            </w:pPr>
            <w:r w:rsidRPr="00575AEC">
              <w:rPr>
                <w:rFonts w:cstheme="minorHAnsi"/>
                <w:b/>
                <w:bCs/>
                <w:sz w:val="24"/>
                <w:szCs w:val="24"/>
              </w:rPr>
              <w:t>Resources for Practice Managers, care providers</w:t>
            </w:r>
            <w:r w:rsidR="00E87A3F">
              <w:rPr>
                <w:rFonts w:cstheme="minorHAnsi"/>
                <w:b/>
                <w:bCs/>
                <w:sz w:val="24"/>
                <w:szCs w:val="24"/>
              </w:rPr>
              <w:t>,</w:t>
            </w:r>
            <w:r w:rsidRPr="00575AEC">
              <w:rPr>
                <w:rFonts w:cstheme="minorHAnsi"/>
                <w:b/>
                <w:bCs/>
                <w:sz w:val="24"/>
                <w:szCs w:val="24"/>
              </w:rPr>
              <w:t xml:space="preserve"> etc</w:t>
            </w:r>
          </w:p>
        </w:tc>
      </w:tr>
      <w:tr w:rsidR="008B149C" w:rsidRPr="00680FA9" w14:paraId="38262CEE" w14:textId="77777777" w:rsidTr="009B3F92">
        <w:trPr>
          <w:trHeight w:val="3392"/>
          <w:jc w:val="center"/>
        </w:trPr>
        <w:tc>
          <w:tcPr>
            <w:tcW w:w="5216" w:type="dxa"/>
            <w:shd w:val="clear" w:color="auto" w:fill="DEEAF6" w:themeFill="accent5" w:themeFillTint="33"/>
          </w:tcPr>
          <w:p w14:paraId="5D5DB2AF" w14:textId="2F069222" w:rsidR="004F2B5E" w:rsidRPr="004F2B5E" w:rsidRDefault="00D93D54" w:rsidP="009B3F92">
            <w:pPr>
              <w:pStyle w:val="ListParagraph"/>
              <w:numPr>
                <w:ilvl w:val="0"/>
                <w:numId w:val="4"/>
              </w:numPr>
              <w:spacing w:line="276" w:lineRule="auto"/>
              <w:ind w:left="426" w:hanging="426"/>
              <w:rPr>
                <w:u w:val="single"/>
              </w:rPr>
            </w:pPr>
            <w:r w:rsidRPr="004F2B5E">
              <w:rPr>
                <w:rFonts w:cstheme="minorHAnsi"/>
              </w:rPr>
              <w:t>CQC recommend having a care plan in place for mouthcare</w:t>
            </w:r>
            <w:r w:rsidR="0056739C" w:rsidRPr="004F2B5E">
              <w:rPr>
                <w:rFonts w:cstheme="minorHAnsi"/>
              </w:rPr>
              <w:t xml:space="preserve"> for every service user.</w:t>
            </w:r>
            <w:r w:rsidR="004F2B5E" w:rsidRPr="004F2B5E">
              <w:rPr>
                <w:rFonts w:cstheme="minorHAnsi"/>
              </w:rPr>
              <w:t xml:space="preserve">  </w:t>
            </w:r>
            <w:r w:rsidR="0056739C" w:rsidRPr="004F2B5E">
              <w:t xml:space="preserve">Their report </w:t>
            </w:r>
            <w:r w:rsidR="00B45E33" w:rsidRPr="004F2B5E">
              <w:t>advises on</w:t>
            </w:r>
            <w:r w:rsidR="0056739C" w:rsidRPr="004F2B5E">
              <w:t xml:space="preserve"> how to put this into practice : </w:t>
            </w:r>
          </w:p>
          <w:p w14:paraId="31F5ABBC" w14:textId="38D95063" w:rsidR="0056739C" w:rsidRDefault="00674145" w:rsidP="009B3F92">
            <w:pPr>
              <w:spacing w:line="276" w:lineRule="auto"/>
              <w:ind w:left="426"/>
              <w:rPr>
                <w:color w:val="0000FF"/>
                <w:u w:val="single"/>
              </w:rPr>
            </w:pPr>
            <w:hyperlink r:id="rId10" w:history="1">
              <w:r w:rsidR="0056739C" w:rsidRPr="004F2B5E">
                <w:rPr>
                  <w:color w:val="0000FF"/>
                  <w:u w:val="single"/>
                </w:rPr>
                <w:t>Smiling matters: oral health care in care homes - Care Quality Commission (cqc.org.uk)</w:t>
              </w:r>
            </w:hyperlink>
          </w:p>
          <w:p w14:paraId="72101EFD" w14:textId="56BF0297" w:rsidR="00895E66" w:rsidRPr="00C37F14" w:rsidRDefault="00895E66" w:rsidP="00E759F6">
            <w:pPr>
              <w:pStyle w:val="ListParagraph"/>
              <w:numPr>
                <w:ilvl w:val="0"/>
                <w:numId w:val="4"/>
              </w:numPr>
              <w:spacing w:line="276" w:lineRule="auto"/>
              <w:rPr>
                <w:color w:val="0000FF"/>
                <w:u w:val="single"/>
              </w:rPr>
            </w:pPr>
            <w:r>
              <w:t>CQC progress report (2023):</w:t>
            </w:r>
            <w:r w:rsidR="00C37F14">
              <w:t xml:space="preserve">  </w:t>
            </w:r>
            <w:hyperlink r:id="rId11" w:history="1">
              <w:r>
                <w:rPr>
                  <w:rStyle w:val="Hyperlink"/>
                </w:rPr>
                <w:t>Smiling matters: Oral health in care homes - progress report - Care Quality Commission (cqc.org.uk)</w:t>
              </w:r>
            </w:hyperlink>
            <w:r>
              <w:t xml:space="preserve">   </w:t>
            </w:r>
          </w:p>
          <w:p w14:paraId="78C13370" w14:textId="78D33EBB" w:rsidR="00972DB5" w:rsidRPr="004F2B5E" w:rsidRDefault="005F65C0" w:rsidP="00CE6B92">
            <w:pPr>
              <w:pStyle w:val="ListParagraph"/>
              <w:numPr>
                <w:ilvl w:val="0"/>
                <w:numId w:val="4"/>
              </w:numPr>
              <w:spacing w:line="276" w:lineRule="auto"/>
              <w:ind w:left="426" w:hanging="426"/>
            </w:pPr>
            <w:r w:rsidRPr="004F2B5E">
              <w:t>Th</w:t>
            </w:r>
            <w:r w:rsidR="00C37F14">
              <w:t>is</w:t>
            </w:r>
            <w:r w:rsidRPr="004F2B5E">
              <w:t xml:space="preserve"> webinar from NICE </w:t>
            </w:r>
            <w:r w:rsidR="004313B6" w:rsidRPr="004F2B5E">
              <w:t>addresses operation</w:t>
            </w:r>
            <w:r w:rsidR="00B45E33" w:rsidRPr="004F2B5E">
              <w:t>al matters</w:t>
            </w:r>
            <w:r w:rsidRPr="004F2B5E">
              <w:t xml:space="preserve"> </w:t>
            </w:r>
            <w:r w:rsidR="00DD102F" w:rsidRPr="004F2B5E">
              <w:t xml:space="preserve">: </w:t>
            </w:r>
            <w:r w:rsidR="00C37F14">
              <w:t xml:space="preserve"> </w:t>
            </w:r>
            <w:hyperlink r:id="rId12" w:history="1">
              <w:r w:rsidRPr="00C37F14">
                <w:rPr>
                  <w:color w:val="0000FF"/>
                  <w:u w:val="single"/>
                </w:rPr>
                <w:t>Webinar recording: Improving oral health in care homes - YouTube</w:t>
              </w:r>
            </w:hyperlink>
          </w:p>
          <w:p w14:paraId="616EF3D0" w14:textId="758AE482" w:rsidR="00575AEC" w:rsidRPr="00575AEC" w:rsidRDefault="00C37F14" w:rsidP="009B3F92">
            <w:pPr>
              <w:pStyle w:val="ListParagraph"/>
              <w:numPr>
                <w:ilvl w:val="0"/>
                <w:numId w:val="3"/>
              </w:numPr>
              <w:spacing w:line="276" w:lineRule="auto"/>
              <w:ind w:left="426" w:hanging="426"/>
              <w:rPr>
                <w:rFonts w:cstheme="minorHAnsi"/>
              </w:rPr>
            </w:pPr>
            <w:r>
              <w:t>U</w:t>
            </w:r>
            <w:r w:rsidR="00575AEC">
              <w:t xml:space="preserve">seful background and advice </w:t>
            </w:r>
            <w:r>
              <w:t>from Public</w:t>
            </w:r>
            <w:r w:rsidRPr="00B45E33">
              <w:t xml:space="preserve"> </w:t>
            </w:r>
            <w:r>
              <w:t xml:space="preserve">Health England </w:t>
            </w:r>
            <w:r w:rsidR="00575AEC">
              <w:t xml:space="preserve">about the importance of good oral health: </w:t>
            </w:r>
          </w:p>
          <w:p w14:paraId="623FB3B9" w14:textId="4E2E0308" w:rsidR="00DD102F" w:rsidRPr="00DD46E9" w:rsidRDefault="00674145" w:rsidP="009B3F92">
            <w:pPr>
              <w:spacing w:line="276" w:lineRule="auto"/>
              <w:ind w:left="426"/>
              <w:rPr>
                <w:rFonts w:cstheme="minorHAnsi"/>
                <w:b/>
                <w:bCs/>
              </w:rPr>
            </w:pPr>
            <w:hyperlink w:history="1">
              <w:r w:rsidR="00575AEC" w:rsidRPr="00083298">
                <w:rPr>
                  <w:rStyle w:val="Hyperlink"/>
                </w:rPr>
                <w:t>Oral care and people with learning disabilities - www.gov.uk/government/publications/</w:t>
              </w:r>
            </w:hyperlink>
          </w:p>
        </w:tc>
        <w:tc>
          <w:tcPr>
            <w:tcW w:w="5276" w:type="dxa"/>
            <w:gridSpan w:val="2"/>
            <w:shd w:val="clear" w:color="auto" w:fill="DEEAF6" w:themeFill="accent5" w:themeFillTint="33"/>
          </w:tcPr>
          <w:p w14:paraId="2F202BB9" w14:textId="77777777" w:rsidR="00C37F14" w:rsidRPr="004F2B5E" w:rsidRDefault="00C37F14" w:rsidP="00C37F14">
            <w:pPr>
              <w:pStyle w:val="ListParagraph"/>
              <w:numPr>
                <w:ilvl w:val="0"/>
                <w:numId w:val="3"/>
              </w:numPr>
              <w:spacing w:line="276" w:lineRule="auto"/>
              <w:ind w:left="408" w:hanging="426"/>
              <w:rPr>
                <w:rFonts w:cstheme="minorHAnsi"/>
                <w:noProof/>
              </w:rPr>
            </w:pPr>
            <w:r w:rsidRPr="0056739C">
              <w:t>Promoting a more inclusive society (PAMIS)</w:t>
            </w:r>
            <w:r>
              <w:t xml:space="preserve"> has produced the leaflet “</w:t>
            </w:r>
            <w:r w:rsidRPr="004F2B5E">
              <w:rPr>
                <w:i/>
                <w:iCs/>
              </w:rPr>
              <w:t>Oral Health Care for People with Profound and Multiple Learning Disabilities</w:t>
            </w:r>
            <w:r>
              <w:t>” which has some helpful practical advice:</w:t>
            </w:r>
          </w:p>
          <w:p w14:paraId="003A2EC1" w14:textId="77777777" w:rsidR="00C37F14" w:rsidRDefault="00674145" w:rsidP="00C37F14">
            <w:pPr>
              <w:spacing w:line="276" w:lineRule="auto"/>
              <w:ind w:left="834" w:hanging="426"/>
              <w:rPr>
                <w:color w:val="0000FF"/>
                <w:u w:val="single"/>
              </w:rPr>
            </w:pPr>
            <w:hyperlink r:id="rId13" w:history="1">
              <w:r w:rsidR="00C37F14" w:rsidRPr="004F2B5E">
                <w:rPr>
                  <w:color w:val="0000FF"/>
                  <w:u w:val="single"/>
                </w:rPr>
                <w:t>Oral health leaflet.pdf (scot.nhs.uk)</w:t>
              </w:r>
            </w:hyperlink>
          </w:p>
          <w:p w14:paraId="53204DB9" w14:textId="7253EA03" w:rsidR="00C37F14" w:rsidRPr="00852D0B" w:rsidRDefault="00C37F14" w:rsidP="00C37F14">
            <w:pPr>
              <w:pStyle w:val="ListParagraph"/>
              <w:numPr>
                <w:ilvl w:val="0"/>
                <w:numId w:val="3"/>
              </w:numPr>
              <w:spacing w:line="276" w:lineRule="auto"/>
              <w:rPr>
                <w:rFonts w:cstheme="minorHAnsi"/>
              </w:rPr>
            </w:pPr>
            <w:r>
              <w:t xml:space="preserve">A new video has been launched - </w:t>
            </w:r>
            <w:hyperlink r:id="rId14" w:history="1">
              <w:r>
                <w:rPr>
                  <w:rStyle w:val="Hyperlink"/>
                </w:rPr>
                <w:t>Supporting Patients Who Are Resistant to Mouth Care - Mouth Care Matters (hee.nhs.uk)</w:t>
              </w:r>
            </w:hyperlink>
          </w:p>
          <w:p w14:paraId="3FCC6AD7" w14:textId="765E48BB" w:rsidR="00575AEC" w:rsidRPr="004F2B5E" w:rsidRDefault="00575AEC" w:rsidP="009B3F92">
            <w:pPr>
              <w:pStyle w:val="ListParagraph"/>
              <w:numPr>
                <w:ilvl w:val="0"/>
                <w:numId w:val="3"/>
              </w:numPr>
              <w:spacing w:line="276" w:lineRule="auto"/>
              <w:ind w:left="408" w:hanging="426"/>
              <w:rPr>
                <w:rFonts w:cstheme="minorHAnsi"/>
              </w:rPr>
            </w:pPr>
            <w:r w:rsidRPr="00B45E33">
              <w:t xml:space="preserve"> </w:t>
            </w:r>
            <w:r w:rsidR="00091B80">
              <w:t>F</w:t>
            </w:r>
            <w:r w:rsidRPr="00B45E33">
              <w:t>ind links to useful resources for a wide range of conditions</w:t>
            </w:r>
            <w:r>
              <w:t xml:space="preserve"> here, including information about special toothpastes and brushes from the British Society of Special Care Dentistry: </w:t>
            </w:r>
          </w:p>
          <w:p w14:paraId="202B9153" w14:textId="77777777" w:rsidR="00575AEC" w:rsidRPr="004F2B5E" w:rsidRDefault="00674145" w:rsidP="009B3F92">
            <w:pPr>
              <w:spacing w:line="276" w:lineRule="auto"/>
              <w:ind w:left="834" w:hanging="426"/>
              <w:rPr>
                <w:rFonts w:cstheme="minorHAnsi"/>
              </w:rPr>
            </w:pPr>
            <w:hyperlink r:id="rId15" w:history="1">
              <w:r w:rsidR="00575AEC" w:rsidRPr="004F2B5E">
                <w:rPr>
                  <w:color w:val="0000FF"/>
                  <w:u w:val="single"/>
                </w:rPr>
                <w:t>Oral Health Resources (bsdh.org)</w:t>
              </w:r>
            </w:hyperlink>
            <w:r w:rsidR="00575AEC" w:rsidRPr="004F2B5E">
              <w:rPr>
                <w:color w:val="0000FF"/>
                <w:u w:val="single"/>
              </w:rPr>
              <w:t xml:space="preserve"> </w:t>
            </w:r>
          </w:p>
          <w:p w14:paraId="30468052" w14:textId="52DA5B95" w:rsidR="004511A8" w:rsidRPr="004511A8" w:rsidRDefault="004511A8" w:rsidP="009B3F92">
            <w:pPr>
              <w:pStyle w:val="ListParagraph"/>
              <w:numPr>
                <w:ilvl w:val="0"/>
                <w:numId w:val="3"/>
              </w:numPr>
              <w:spacing w:line="276" w:lineRule="auto"/>
              <w:ind w:left="408" w:hanging="426"/>
              <w:rPr>
                <w:rFonts w:cstheme="minorHAnsi"/>
              </w:rPr>
            </w:pPr>
            <w:r>
              <w:t>And for the special toothbrush:</w:t>
            </w:r>
          </w:p>
          <w:p w14:paraId="4E4B41BF" w14:textId="75863E7E" w:rsidR="00C37F14" w:rsidRPr="00C37F14" w:rsidRDefault="00674145" w:rsidP="00E87A3F">
            <w:pPr>
              <w:spacing w:line="276" w:lineRule="auto"/>
              <w:ind w:left="834" w:hanging="426"/>
              <w:rPr>
                <w:rFonts w:cstheme="minorHAnsi"/>
              </w:rPr>
            </w:pPr>
            <w:hyperlink r:id="rId16" w:history="1">
              <w:r w:rsidR="004511A8" w:rsidRPr="00B45E33">
                <w:rPr>
                  <w:color w:val="0000FF"/>
                  <w:u w:val="single"/>
                </w:rPr>
                <w:t>Shop — Collis Curve</w:t>
              </w:r>
            </w:hyperlink>
          </w:p>
        </w:tc>
      </w:tr>
      <w:tr w:rsidR="008B149C" w:rsidRPr="00680FA9" w14:paraId="2DF1F5D5" w14:textId="77777777" w:rsidTr="009B3F92">
        <w:trPr>
          <w:trHeight w:val="567"/>
          <w:jc w:val="center"/>
        </w:trPr>
        <w:tc>
          <w:tcPr>
            <w:tcW w:w="10492" w:type="dxa"/>
            <w:gridSpan w:val="3"/>
            <w:shd w:val="clear" w:color="auto" w:fill="BDD6EE" w:themeFill="accent5" w:themeFillTint="66"/>
            <w:vAlign w:val="center"/>
          </w:tcPr>
          <w:p w14:paraId="1649F2BD" w14:textId="057B785C" w:rsidR="008B149C" w:rsidRPr="00575AEC" w:rsidRDefault="008B149C" w:rsidP="009B3F92">
            <w:pPr>
              <w:spacing w:line="276" w:lineRule="auto"/>
              <w:jc w:val="center"/>
              <w:rPr>
                <w:rFonts w:cstheme="minorHAnsi"/>
                <w:b/>
                <w:bCs/>
                <w:sz w:val="24"/>
                <w:szCs w:val="24"/>
              </w:rPr>
            </w:pPr>
            <w:r w:rsidRPr="00575AEC">
              <w:rPr>
                <w:rFonts w:cstheme="minorHAnsi"/>
                <w:b/>
                <w:bCs/>
                <w:sz w:val="24"/>
                <w:szCs w:val="24"/>
              </w:rPr>
              <w:t xml:space="preserve">Resources for service users : </w:t>
            </w:r>
            <w:r w:rsidR="009B3F92">
              <w:rPr>
                <w:rFonts w:cstheme="minorHAnsi"/>
                <w:b/>
                <w:bCs/>
                <w:sz w:val="24"/>
                <w:szCs w:val="24"/>
              </w:rPr>
              <w:t>v</w:t>
            </w:r>
            <w:r w:rsidRPr="00575AEC">
              <w:rPr>
                <w:rFonts w:cstheme="minorHAnsi"/>
                <w:b/>
                <w:bCs/>
                <w:sz w:val="24"/>
                <w:szCs w:val="24"/>
              </w:rPr>
              <w:t>ideos and easy read documents to support service users</w:t>
            </w:r>
          </w:p>
        </w:tc>
      </w:tr>
      <w:tr w:rsidR="00F16EE0" w:rsidRPr="00680FA9" w14:paraId="5F11F701" w14:textId="77777777" w:rsidTr="009B3F92">
        <w:trPr>
          <w:trHeight w:val="1134"/>
          <w:jc w:val="center"/>
        </w:trPr>
        <w:tc>
          <w:tcPr>
            <w:tcW w:w="10492" w:type="dxa"/>
            <w:gridSpan w:val="3"/>
            <w:shd w:val="clear" w:color="auto" w:fill="BDD6EE" w:themeFill="accent5" w:themeFillTint="66"/>
            <w:vAlign w:val="center"/>
          </w:tcPr>
          <w:p w14:paraId="300F0340" w14:textId="77777777" w:rsidR="004511A8" w:rsidRDefault="00EB0019" w:rsidP="009B3F92">
            <w:pPr>
              <w:pStyle w:val="ListParagraph"/>
              <w:numPr>
                <w:ilvl w:val="0"/>
                <w:numId w:val="7"/>
              </w:numPr>
              <w:spacing w:line="276" w:lineRule="auto"/>
              <w:ind w:left="426" w:hanging="426"/>
              <w:rPr>
                <w:rFonts w:cstheme="minorHAnsi"/>
              </w:rPr>
            </w:pPr>
            <w:r>
              <w:rPr>
                <w:rFonts w:cstheme="minorHAnsi"/>
              </w:rPr>
              <w:t>Engaging</w:t>
            </w:r>
            <w:r w:rsidR="001E254E" w:rsidRPr="00655FE0">
              <w:rPr>
                <w:rFonts w:cstheme="minorHAnsi"/>
              </w:rPr>
              <w:t xml:space="preserve"> </w:t>
            </w:r>
            <w:r w:rsidR="00655FE0" w:rsidRPr="00655FE0">
              <w:rPr>
                <w:rFonts w:cstheme="minorHAnsi"/>
              </w:rPr>
              <w:t>13 minute video made in Somerset with service users</w:t>
            </w:r>
            <w:r w:rsidR="00655FE0">
              <w:rPr>
                <w:rFonts w:cstheme="minorHAnsi"/>
              </w:rPr>
              <w:t xml:space="preserve"> about the importance of mouthcare</w:t>
            </w:r>
            <w:r w:rsidR="00655FE0" w:rsidRPr="00655FE0">
              <w:rPr>
                <w:rFonts w:cstheme="minorHAnsi"/>
              </w:rPr>
              <w:t>:</w:t>
            </w:r>
          </w:p>
          <w:p w14:paraId="37032C7C" w14:textId="0417E79F" w:rsidR="00D56A1C" w:rsidRPr="004511A8" w:rsidRDefault="00674145" w:rsidP="009B3F92">
            <w:pPr>
              <w:spacing w:line="276" w:lineRule="auto"/>
              <w:ind w:left="852" w:hanging="426"/>
              <w:rPr>
                <w:rFonts w:cstheme="minorHAnsi"/>
              </w:rPr>
            </w:pPr>
            <w:hyperlink r:id="rId17" w:history="1">
              <w:r w:rsidR="00575AEC">
                <w:rPr>
                  <w:color w:val="0000FF"/>
                  <w:u w:val="single"/>
                </w:rPr>
                <w:t>T</w:t>
              </w:r>
              <w:r w:rsidR="00655FE0" w:rsidRPr="004511A8">
                <w:rPr>
                  <w:color w:val="0000FF"/>
                  <w:u w:val="single"/>
                </w:rPr>
                <w:t>eeth - the musical on Vimeo</w:t>
              </w:r>
            </w:hyperlink>
          </w:p>
          <w:p w14:paraId="7565DD1B" w14:textId="77777777" w:rsidR="004511A8" w:rsidRPr="004511A8" w:rsidRDefault="00EB0019" w:rsidP="009B3F92">
            <w:pPr>
              <w:pStyle w:val="ListParagraph"/>
              <w:numPr>
                <w:ilvl w:val="0"/>
                <w:numId w:val="3"/>
              </w:numPr>
              <w:spacing w:line="276" w:lineRule="auto"/>
              <w:ind w:left="426" w:hanging="426"/>
              <w:rPr>
                <w:rFonts w:cstheme="minorHAnsi"/>
              </w:rPr>
            </w:pPr>
            <w:r>
              <w:t>Short videos made by a dentist with a person with a learning disability:</w:t>
            </w:r>
          </w:p>
          <w:p w14:paraId="366F1F1D" w14:textId="1A7E2BDF" w:rsidR="00B45E33" w:rsidRPr="004511A8" w:rsidRDefault="00674145" w:rsidP="009B3F92">
            <w:pPr>
              <w:spacing w:line="276" w:lineRule="auto"/>
              <w:ind w:left="852" w:hanging="426"/>
              <w:rPr>
                <w:rFonts w:cstheme="minorHAnsi"/>
              </w:rPr>
            </w:pPr>
            <w:hyperlink r:id="rId18" w:history="1">
              <w:r w:rsidR="00B45E33" w:rsidRPr="004511A8">
                <w:rPr>
                  <w:color w:val="0000FF"/>
                  <w:u w:val="single"/>
                </w:rPr>
                <w:t>Mouth care for people with learning disabilities | Healthwatch Sheffield</w:t>
              </w:r>
            </w:hyperlink>
          </w:p>
          <w:p w14:paraId="61F91D19" w14:textId="735482B3" w:rsidR="00B45E33" w:rsidRPr="00575AEC" w:rsidRDefault="00EB0019" w:rsidP="009B3F92">
            <w:pPr>
              <w:pStyle w:val="ListParagraph"/>
              <w:numPr>
                <w:ilvl w:val="0"/>
                <w:numId w:val="3"/>
              </w:numPr>
              <w:spacing w:line="276" w:lineRule="auto"/>
              <w:ind w:left="426" w:hanging="426"/>
              <w:rPr>
                <w:rFonts w:cstheme="minorHAnsi"/>
              </w:rPr>
            </w:pPr>
            <w:r>
              <w:t>“</w:t>
            </w:r>
            <w:r w:rsidRPr="004511A8">
              <w:rPr>
                <w:i/>
                <w:iCs/>
              </w:rPr>
              <w:t>What to expect at the Dentist</w:t>
            </w:r>
            <w:r>
              <w:t xml:space="preserve">” </w:t>
            </w:r>
            <w:r w:rsidR="004511A8">
              <w:t>(</w:t>
            </w:r>
            <w:r>
              <w:t>made by service users</w:t>
            </w:r>
            <w:r w:rsidR="004511A8">
              <w:t>)</w:t>
            </w:r>
            <w:r>
              <w:t xml:space="preserve">: </w:t>
            </w:r>
            <w:hyperlink r:id="rId19" w:history="1">
              <w:r w:rsidR="00B45E33" w:rsidRPr="00655FE0">
                <w:rPr>
                  <w:color w:val="0000FF"/>
                  <w:u w:val="single"/>
                </w:rPr>
                <w:t>Health Films - Inclusion Gloucestershire</w:t>
              </w:r>
            </w:hyperlink>
            <w:r w:rsidR="00B45E33">
              <w:t xml:space="preserve"> </w:t>
            </w:r>
          </w:p>
          <w:p w14:paraId="2026E00D" w14:textId="6703FC0E" w:rsidR="00575AEC" w:rsidRPr="00575AEC" w:rsidRDefault="00674145" w:rsidP="009B3F92">
            <w:pPr>
              <w:pStyle w:val="ListParagraph"/>
              <w:numPr>
                <w:ilvl w:val="0"/>
                <w:numId w:val="3"/>
              </w:numPr>
              <w:spacing w:line="276" w:lineRule="auto"/>
              <w:ind w:left="426" w:hanging="426"/>
              <w:rPr>
                <w:rFonts w:cstheme="minorHAnsi"/>
              </w:rPr>
            </w:pPr>
            <w:hyperlink r:id="rId20" w:history="1">
              <w:r w:rsidR="00A01012" w:rsidRPr="00A01012">
                <w:rPr>
                  <w:color w:val="0000FF"/>
                  <w:u w:val="single"/>
                </w:rPr>
                <w:t>Top tips for healthy teeth and a healthy mouth (Easy read) (torbayandsouthdevon.nhs.uk)</w:t>
              </w:r>
            </w:hyperlink>
          </w:p>
          <w:p w14:paraId="6220F1CF" w14:textId="77777777" w:rsidR="00D03E8C" w:rsidRPr="009B3F92" w:rsidRDefault="000B21A2" w:rsidP="009B3F92">
            <w:pPr>
              <w:pStyle w:val="ListParagraph"/>
              <w:numPr>
                <w:ilvl w:val="0"/>
                <w:numId w:val="3"/>
              </w:numPr>
              <w:spacing w:line="276" w:lineRule="auto"/>
              <w:ind w:left="426" w:hanging="426"/>
              <w:rPr>
                <w:rStyle w:val="Hyperlink"/>
                <w:rFonts w:cstheme="minorHAnsi"/>
                <w:color w:val="auto"/>
                <w:u w:val="none"/>
              </w:rPr>
            </w:pPr>
            <w:r>
              <w:rPr>
                <w:rFonts w:cstheme="minorHAnsi"/>
              </w:rPr>
              <w:t xml:space="preserve">This document includes some easy read sections:  </w:t>
            </w:r>
            <w:hyperlink r:id="rId21" w:history="1">
              <w:r w:rsidRPr="000B21A2">
                <w:rPr>
                  <w:rStyle w:val="Hyperlink"/>
                  <w:rFonts w:cstheme="minorHAnsi"/>
                </w:rPr>
                <w:t>Oral-Health-for-people-with-a-Learning-Disability-2021</w:t>
              </w:r>
            </w:hyperlink>
          </w:p>
          <w:p w14:paraId="5D494612" w14:textId="6CC524C8" w:rsidR="009B3F92" w:rsidRPr="009B3F92" w:rsidRDefault="009B3F92" w:rsidP="009B3F92">
            <w:pPr>
              <w:spacing w:line="276" w:lineRule="auto"/>
              <w:rPr>
                <w:rFonts w:cstheme="minorHAnsi"/>
              </w:rPr>
            </w:pPr>
          </w:p>
        </w:tc>
      </w:tr>
    </w:tbl>
    <w:p w14:paraId="56370988" w14:textId="77777777" w:rsidR="00E87A3F" w:rsidRDefault="00E87A3F" w:rsidP="009B3F92">
      <w:pPr>
        <w:tabs>
          <w:tab w:val="right" w:pos="10206"/>
        </w:tabs>
        <w:spacing w:after="0" w:line="276" w:lineRule="auto"/>
        <w:ind w:left="142" w:right="566"/>
      </w:pPr>
    </w:p>
    <w:p w14:paraId="4D0F51C2" w14:textId="67EA73B2" w:rsidR="00433F75" w:rsidRPr="00E1325F" w:rsidRDefault="00674145" w:rsidP="009B3F92">
      <w:pPr>
        <w:tabs>
          <w:tab w:val="right" w:pos="10206"/>
        </w:tabs>
        <w:spacing w:after="0" w:line="276" w:lineRule="auto"/>
        <w:ind w:left="142" w:right="566"/>
        <w:rPr>
          <w:rFonts w:ascii="Arial" w:hAnsi="Arial" w:cs="Arial"/>
          <w:sz w:val="20"/>
          <w:szCs w:val="20"/>
        </w:rPr>
      </w:pPr>
      <w:hyperlink r:id="rId22" w:history="1">
        <w:r w:rsidR="00E87A3F" w:rsidRPr="00434424">
          <w:rPr>
            <w:rStyle w:val="Hyperlink"/>
            <w:rFonts w:ascii="Arial" w:hAnsi="Arial" w:cs="Arial"/>
            <w:sz w:val="20"/>
            <w:szCs w:val="20"/>
          </w:rPr>
          <w:t>somicb.leder@nhs.net</w:t>
        </w:r>
      </w:hyperlink>
      <w:r w:rsidR="00E1325F" w:rsidRPr="00E1325F">
        <w:rPr>
          <w:rFonts w:ascii="Arial" w:hAnsi="Arial" w:cs="Arial"/>
          <w:sz w:val="20"/>
          <w:szCs w:val="20"/>
        </w:rPr>
        <w:tab/>
        <w:t xml:space="preserve">Issue </w:t>
      </w:r>
      <w:r w:rsidR="007379BF">
        <w:rPr>
          <w:rFonts w:ascii="Arial" w:hAnsi="Arial" w:cs="Arial"/>
          <w:sz w:val="20"/>
          <w:szCs w:val="20"/>
        </w:rPr>
        <w:t xml:space="preserve">no </w:t>
      </w:r>
      <w:r w:rsidR="005134C2">
        <w:rPr>
          <w:rFonts w:ascii="Arial" w:hAnsi="Arial" w:cs="Arial"/>
          <w:sz w:val="20"/>
          <w:szCs w:val="20"/>
        </w:rPr>
        <w:t>2</w:t>
      </w:r>
      <w:r w:rsidR="00E1325F" w:rsidRPr="00E1325F">
        <w:rPr>
          <w:rFonts w:ascii="Arial" w:hAnsi="Arial" w:cs="Arial"/>
          <w:sz w:val="20"/>
          <w:szCs w:val="20"/>
        </w:rPr>
        <w:t xml:space="preserve"> </w:t>
      </w:r>
      <w:r w:rsidR="0014602B">
        <w:rPr>
          <w:rFonts w:ascii="Arial" w:hAnsi="Arial" w:cs="Arial"/>
          <w:sz w:val="20"/>
          <w:szCs w:val="20"/>
        </w:rPr>
        <w:t xml:space="preserve">  </w:t>
      </w:r>
      <w:r w:rsidR="009B3F92">
        <w:rPr>
          <w:rFonts w:ascii="Arial" w:hAnsi="Arial" w:cs="Arial"/>
          <w:sz w:val="20"/>
          <w:szCs w:val="20"/>
        </w:rPr>
        <w:t>April</w:t>
      </w:r>
      <w:r w:rsidR="005134C2">
        <w:rPr>
          <w:rFonts w:ascii="Arial" w:hAnsi="Arial" w:cs="Arial"/>
          <w:sz w:val="20"/>
          <w:szCs w:val="20"/>
        </w:rPr>
        <w:t xml:space="preserve"> 2023</w:t>
      </w:r>
    </w:p>
    <w:sectPr w:rsidR="00433F75" w:rsidRPr="00E1325F" w:rsidSect="00310DA4">
      <w:pgSz w:w="11906" w:h="16838" w:code="9"/>
      <w:pgMar w:top="284" w:right="567" w:bottom="284"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5875"/>
      </v:shape>
    </w:pict>
  </w:numPicBullet>
  <w:abstractNum w:abstractNumId="0" w15:restartNumberingAfterBreak="0">
    <w:nsid w:val="08111838"/>
    <w:multiLevelType w:val="hybridMultilevel"/>
    <w:tmpl w:val="77B2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21DE3"/>
    <w:multiLevelType w:val="hybridMultilevel"/>
    <w:tmpl w:val="2F6CB2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E1C29"/>
    <w:multiLevelType w:val="hybridMultilevel"/>
    <w:tmpl w:val="46B648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91135"/>
    <w:multiLevelType w:val="hybridMultilevel"/>
    <w:tmpl w:val="A87E570C"/>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28310838"/>
    <w:multiLevelType w:val="hybridMultilevel"/>
    <w:tmpl w:val="7D6C26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D66BF"/>
    <w:multiLevelType w:val="hybridMultilevel"/>
    <w:tmpl w:val="D6CE3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14E2F"/>
    <w:multiLevelType w:val="hybridMultilevel"/>
    <w:tmpl w:val="845AF8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B14F4"/>
    <w:multiLevelType w:val="hybridMultilevel"/>
    <w:tmpl w:val="A58C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0071B"/>
    <w:multiLevelType w:val="hybridMultilevel"/>
    <w:tmpl w:val="A7BC6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A2C0E"/>
    <w:multiLevelType w:val="hybridMultilevel"/>
    <w:tmpl w:val="AF72504C"/>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0" w15:restartNumberingAfterBreak="0">
    <w:nsid w:val="398F56A5"/>
    <w:multiLevelType w:val="hybridMultilevel"/>
    <w:tmpl w:val="6B1A3DF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4D71BF2"/>
    <w:multiLevelType w:val="hybridMultilevel"/>
    <w:tmpl w:val="7C4CE9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31414"/>
    <w:multiLevelType w:val="hybridMultilevel"/>
    <w:tmpl w:val="7BE6B486"/>
    <w:lvl w:ilvl="0" w:tplc="0809000B">
      <w:start w:val="1"/>
      <w:numFmt w:val="bullet"/>
      <w:lvlText w:val=""/>
      <w:lvlJc w:val="left"/>
      <w:pPr>
        <w:ind w:left="720" w:hanging="360"/>
      </w:pPr>
      <w:rPr>
        <w:rFonts w:ascii="Wingdings" w:hAnsi="Wingdings" w:hint="default"/>
        <w:color w:val="4472C4"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F591F"/>
    <w:multiLevelType w:val="hybridMultilevel"/>
    <w:tmpl w:val="5E72AB8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917EAB"/>
    <w:multiLevelType w:val="hybridMultilevel"/>
    <w:tmpl w:val="B6AEA348"/>
    <w:lvl w:ilvl="0" w:tplc="0809000B">
      <w:start w:val="1"/>
      <w:numFmt w:val="bullet"/>
      <w:lvlText w:val=""/>
      <w:lvlJc w:val="left"/>
      <w:pPr>
        <w:ind w:left="385" w:hanging="360"/>
      </w:pPr>
      <w:rPr>
        <w:rFonts w:ascii="Wingdings" w:hAnsi="Wingdings" w:hint="default"/>
      </w:rPr>
    </w:lvl>
    <w:lvl w:ilvl="1" w:tplc="FFFFFFFF" w:tentative="1">
      <w:start w:val="1"/>
      <w:numFmt w:val="bullet"/>
      <w:lvlText w:val="o"/>
      <w:lvlJc w:val="left"/>
      <w:pPr>
        <w:ind w:left="1105" w:hanging="360"/>
      </w:pPr>
      <w:rPr>
        <w:rFonts w:ascii="Courier New" w:hAnsi="Courier New" w:cs="Courier New" w:hint="default"/>
      </w:rPr>
    </w:lvl>
    <w:lvl w:ilvl="2" w:tplc="FFFFFFFF" w:tentative="1">
      <w:start w:val="1"/>
      <w:numFmt w:val="bullet"/>
      <w:lvlText w:val=""/>
      <w:lvlJc w:val="left"/>
      <w:pPr>
        <w:ind w:left="1825" w:hanging="360"/>
      </w:pPr>
      <w:rPr>
        <w:rFonts w:ascii="Wingdings" w:hAnsi="Wingdings" w:hint="default"/>
      </w:rPr>
    </w:lvl>
    <w:lvl w:ilvl="3" w:tplc="FFFFFFFF" w:tentative="1">
      <w:start w:val="1"/>
      <w:numFmt w:val="bullet"/>
      <w:lvlText w:val=""/>
      <w:lvlJc w:val="left"/>
      <w:pPr>
        <w:ind w:left="2545" w:hanging="360"/>
      </w:pPr>
      <w:rPr>
        <w:rFonts w:ascii="Symbol" w:hAnsi="Symbol" w:hint="default"/>
      </w:rPr>
    </w:lvl>
    <w:lvl w:ilvl="4" w:tplc="FFFFFFFF" w:tentative="1">
      <w:start w:val="1"/>
      <w:numFmt w:val="bullet"/>
      <w:lvlText w:val="o"/>
      <w:lvlJc w:val="left"/>
      <w:pPr>
        <w:ind w:left="3265" w:hanging="360"/>
      </w:pPr>
      <w:rPr>
        <w:rFonts w:ascii="Courier New" w:hAnsi="Courier New" w:cs="Courier New" w:hint="default"/>
      </w:rPr>
    </w:lvl>
    <w:lvl w:ilvl="5" w:tplc="FFFFFFFF" w:tentative="1">
      <w:start w:val="1"/>
      <w:numFmt w:val="bullet"/>
      <w:lvlText w:val=""/>
      <w:lvlJc w:val="left"/>
      <w:pPr>
        <w:ind w:left="3985" w:hanging="360"/>
      </w:pPr>
      <w:rPr>
        <w:rFonts w:ascii="Wingdings" w:hAnsi="Wingdings" w:hint="default"/>
      </w:rPr>
    </w:lvl>
    <w:lvl w:ilvl="6" w:tplc="FFFFFFFF" w:tentative="1">
      <w:start w:val="1"/>
      <w:numFmt w:val="bullet"/>
      <w:lvlText w:val=""/>
      <w:lvlJc w:val="left"/>
      <w:pPr>
        <w:ind w:left="4705" w:hanging="360"/>
      </w:pPr>
      <w:rPr>
        <w:rFonts w:ascii="Symbol" w:hAnsi="Symbol" w:hint="default"/>
      </w:rPr>
    </w:lvl>
    <w:lvl w:ilvl="7" w:tplc="FFFFFFFF" w:tentative="1">
      <w:start w:val="1"/>
      <w:numFmt w:val="bullet"/>
      <w:lvlText w:val="o"/>
      <w:lvlJc w:val="left"/>
      <w:pPr>
        <w:ind w:left="5425" w:hanging="360"/>
      </w:pPr>
      <w:rPr>
        <w:rFonts w:ascii="Courier New" w:hAnsi="Courier New" w:cs="Courier New" w:hint="default"/>
      </w:rPr>
    </w:lvl>
    <w:lvl w:ilvl="8" w:tplc="FFFFFFFF" w:tentative="1">
      <w:start w:val="1"/>
      <w:numFmt w:val="bullet"/>
      <w:lvlText w:val=""/>
      <w:lvlJc w:val="left"/>
      <w:pPr>
        <w:ind w:left="6145" w:hanging="360"/>
      </w:pPr>
      <w:rPr>
        <w:rFonts w:ascii="Wingdings" w:hAnsi="Wingdings" w:hint="default"/>
      </w:rPr>
    </w:lvl>
  </w:abstractNum>
  <w:num w:numId="1" w16cid:durableId="1765960080">
    <w:abstractNumId w:val="12"/>
  </w:num>
  <w:num w:numId="2" w16cid:durableId="296491045">
    <w:abstractNumId w:val="4"/>
  </w:num>
  <w:num w:numId="3" w16cid:durableId="23793969">
    <w:abstractNumId w:val="1"/>
  </w:num>
  <w:num w:numId="4" w16cid:durableId="1426877529">
    <w:abstractNumId w:val="2"/>
  </w:num>
  <w:num w:numId="5" w16cid:durableId="995913606">
    <w:abstractNumId w:val="5"/>
  </w:num>
  <w:num w:numId="6" w16cid:durableId="235476109">
    <w:abstractNumId w:val="10"/>
  </w:num>
  <w:num w:numId="7" w16cid:durableId="1819807966">
    <w:abstractNumId w:val="3"/>
  </w:num>
  <w:num w:numId="8" w16cid:durableId="922951834">
    <w:abstractNumId w:val="0"/>
  </w:num>
  <w:num w:numId="9" w16cid:durableId="162090074">
    <w:abstractNumId w:val="7"/>
  </w:num>
  <w:num w:numId="10" w16cid:durableId="1208495056">
    <w:abstractNumId w:val="8"/>
  </w:num>
  <w:num w:numId="11" w16cid:durableId="2132480535">
    <w:abstractNumId w:val="6"/>
  </w:num>
  <w:num w:numId="12" w16cid:durableId="1146816890">
    <w:abstractNumId w:val="9"/>
  </w:num>
  <w:num w:numId="13" w16cid:durableId="459349312">
    <w:abstractNumId w:val="11"/>
  </w:num>
  <w:num w:numId="14" w16cid:durableId="773283125">
    <w:abstractNumId w:val="13"/>
  </w:num>
  <w:num w:numId="15" w16cid:durableId="1084760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E"/>
    <w:rsid w:val="00010BD8"/>
    <w:rsid w:val="000344D7"/>
    <w:rsid w:val="00075FBB"/>
    <w:rsid w:val="0008308E"/>
    <w:rsid w:val="00091B80"/>
    <w:rsid w:val="000B21A2"/>
    <w:rsid w:val="0014602B"/>
    <w:rsid w:val="00161FF9"/>
    <w:rsid w:val="00184B3B"/>
    <w:rsid w:val="001921F3"/>
    <w:rsid w:val="001C0031"/>
    <w:rsid w:val="001E254E"/>
    <w:rsid w:val="001E3C9D"/>
    <w:rsid w:val="001F6078"/>
    <w:rsid w:val="00234CD5"/>
    <w:rsid w:val="00262491"/>
    <w:rsid w:val="00305091"/>
    <w:rsid w:val="00310DA4"/>
    <w:rsid w:val="00317A40"/>
    <w:rsid w:val="00393862"/>
    <w:rsid w:val="003B4185"/>
    <w:rsid w:val="003C0410"/>
    <w:rsid w:val="00410974"/>
    <w:rsid w:val="00427EE0"/>
    <w:rsid w:val="004313B6"/>
    <w:rsid w:val="00433F75"/>
    <w:rsid w:val="00442571"/>
    <w:rsid w:val="004511A8"/>
    <w:rsid w:val="0045251A"/>
    <w:rsid w:val="004E6671"/>
    <w:rsid w:val="004F2B5E"/>
    <w:rsid w:val="004F4DF1"/>
    <w:rsid w:val="00506119"/>
    <w:rsid w:val="005134C2"/>
    <w:rsid w:val="00557529"/>
    <w:rsid w:val="0056739C"/>
    <w:rsid w:val="00575AEC"/>
    <w:rsid w:val="00576E6C"/>
    <w:rsid w:val="005F65C0"/>
    <w:rsid w:val="006129F6"/>
    <w:rsid w:val="00614F4C"/>
    <w:rsid w:val="00640704"/>
    <w:rsid w:val="00655FE0"/>
    <w:rsid w:val="00674145"/>
    <w:rsid w:val="00680FA9"/>
    <w:rsid w:val="0068174E"/>
    <w:rsid w:val="0068777A"/>
    <w:rsid w:val="0069382E"/>
    <w:rsid w:val="006C7568"/>
    <w:rsid w:val="00715B57"/>
    <w:rsid w:val="00727418"/>
    <w:rsid w:val="00737908"/>
    <w:rsid w:val="007379BF"/>
    <w:rsid w:val="007707E9"/>
    <w:rsid w:val="007C1B96"/>
    <w:rsid w:val="007E09E2"/>
    <w:rsid w:val="007E5154"/>
    <w:rsid w:val="007F591A"/>
    <w:rsid w:val="008429DC"/>
    <w:rsid w:val="00852D0B"/>
    <w:rsid w:val="0086371F"/>
    <w:rsid w:val="0089431F"/>
    <w:rsid w:val="00895E66"/>
    <w:rsid w:val="008B149C"/>
    <w:rsid w:val="008D5957"/>
    <w:rsid w:val="009200B6"/>
    <w:rsid w:val="009213D5"/>
    <w:rsid w:val="00943304"/>
    <w:rsid w:val="0094755A"/>
    <w:rsid w:val="00947C81"/>
    <w:rsid w:val="00972DB5"/>
    <w:rsid w:val="009B3F92"/>
    <w:rsid w:val="00A01012"/>
    <w:rsid w:val="00A16308"/>
    <w:rsid w:val="00A513D3"/>
    <w:rsid w:val="00A93250"/>
    <w:rsid w:val="00A96247"/>
    <w:rsid w:val="00A96B6E"/>
    <w:rsid w:val="00AB1A3B"/>
    <w:rsid w:val="00B45E33"/>
    <w:rsid w:val="00B908EC"/>
    <w:rsid w:val="00BC289E"/>
    <w:rsid w:val="00C37F14"/>
    <w:rsid w:val="00C65601"/>
    <w:rsid w:val="00C70FAB"/>
    <w:rsid w:val="00CE273B"/>
    <w:rsid w:val="00CF1D3D"/>
    <w:rsid w:val="00CF2971"/>
    <w:rsid w:val="00D03E8C"/>
    <w:rsid w:val="00D45050"/>
    <w:rsid w:val="00D4561E"/>
    <w:rsid w:val="00D47B3B"/>
    <w:rsid w:val="00D56A1C"/>
    <w:rsid w:val="00D61737"/>
    <w:rsid w:val="00D745A8"/>
    <w:rsid w:val="00D869BD"/>
    <w:rsid w:val="00D86D1A"/>
    <w:rsid w:val="00D93D54"/>
    <w:rsid w:val="00DA659F"/>
    <w:rsid w:val="00DB590D"/>
    <w:rsid w:val="00DD102F"/>
    <w:rsid w:val="00DD46E9"/>
    <w:rsid w:val="00DE36F5"/>
    <w:rsid w:val="00DF278B"/>
    <w:rsid w:val="00E05A1B"/>
    <w:rsid w:val="00E1325F"/>
    <w:rsid w:val="00E22B2D"/>
    <w:rsid w:val="00E87A3F"/>
    <w:rsid w:val="00EA4862"/>
    <w:rsid w:val="00EB0019"/>
    <w:rsid w:val="00EB1FDC"/>
    <w:rsid w:val="00EF2F37"/>
    <w:rsid w:val="00F16EE0"/>
    <w:rsid w:val="00F46323"/>
    <w:rsid w:val="00F8096E"/>
    <w:rsid w:val="00FA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63377"/>
  <w15:docId w15:val="{2B2427E5-F798-4D0E-856D-63F660C1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33F75"/>
    <w:rPr>
      <w:i/>
      <w:iCs/>
      <w:color w:val="4472C4" w:themeColor="accent1"/>
    </w:rPr>
  </w:style>
  <w:style w:type="character" w:styleId="Hyperlink">
    <w:name w:val="Hyperlink"/>
    <w:basedOn w:val="DefaultParagraphFont"/>
    <w:uiPriority w:val="99"/>
    <w:unhideWhenUsed/>
    <w:rsid w:val="00D4561E"/>
    <w:rPr>
      <w:color w:val="0000FF"/>
      <w:u w:val="single"/>
    </w:rPr>
  </w:style>
  <w:style w:type="character" w:customStyle="1" w:styleId="UnresolvedMention1">
    <w:name w:val="Unresolved Mention1"/>
    <w:basedOn w:val="DefaultParagraphFont"/>
    <w:uiPriority w:val="99"/>
    <w:semiHidden/>
    <w:unhideWhenUsed/>
    <w:rsid w:val="006129F6"/>
    <w:rPr>
      <w:color w:val="605E5C"/>
      <w:shd w:val="clear" w:color="auto" w:fill="E1DFDD"/>
    </w:rPr>
  </w:style>
  <w:style w:type="paragraph" w:styleId="ListParagraph">
    <w:name w:val="List Paragraph"/>
    <w:basedOn w:val="Normal"/>
    <w:uiPriority w:val="34"/>
    <w:qFormat/>
    <w:rsid w:val="00234CD5"/>
    <w:pPr>
      <w:ind w:left="720"/>
      <w:contextualSpacing/>
    </w:pPr>
  </w:style>
  <w:style w:type="character" w:styleId="FollowedHyperlink">
    <w:name w:val="FollowedHyperlink"/>
    <w:basedOn w:val="DefaultParagraphFont"/>
    <w:uiPriority w:val="99"/>
    <w:semiHidden/>
    <w:unhideWhenUsed/>
    <w:rsid w:val="00CF1D3D"/>
    <w:rPr>
      <w:color w:val="954F72" w:themeColor="followedHyperlink"/>
      <w:u w:val="single"/>
    </w:rPr>
  </w:style>
  <w:style w:type="paragraph" w:customStyle="1" w:styleId="Default">
    <w:name w:val="Default"/>
    <w:rsid w:val="00EF2F3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13D5"/>
    <w:rPr>
      <w:sz w:val="16"/>
      <w:szCs w:val="16"/>
    </w:rPr>
  </w:style>
  <w:style w:type="paragraph" w:styleId="CommentText">
    <w:name w:val="annotation text"/>
    <w:basedOn w:val="Normal"/>
    <w:link w:val="CommentTextChar"/>
    <w:uiPriority w:val="99"/>
    <w:unhideWhenUsed/>
    <w:rsid w:val="009213D5"/>
    <w:pPr>
      <w:spacing w:line="240" w:lineRule="auto"/>
    </w:pPr>
    <w:rPr>
      <w:sz w:val="20"/>
      <w:szCs w:val="20"/>
    </w:rPr>
  </w:style>
  <w:style w:type="character" w:customStyle="1" w:styleId="CommentTextChar">
    <w:name w:val="Comment Text Char"/>
    <w:basedOn w:val="DefaultParagraphFont"/>
    <w:link w:val="CommentText"/>
    <w:uiPriority w:val="99"/>
    <w:rsid w:val="009213D5"/>
    <w:rPr>
      <w:sz w:val="20"/>
      <w:szCs w:val="20"/>
    </w:rPr>
  </w:style>
  <w:style w:type="paragraph" w:styleId="CommentSubject">
    <w:name w:val="annotation subject"/>
    <w:basedOn w:val="CommentText"/>
    <w:next w:val="CommentText"/>
    <w:link w:val="CommentSubjectChar"/>
    <w:uiPriority w:val="99"/>
    <w:semiHidden/>
    <w:unhideWhenUsed/>
    <w:rsid w:val="009213D5"/>
    <w:rPr>
      <w:b/>
      <w:bCs/>
    </w:rPr>
  </w:style>
  <w:style w:type="character" w:customStyle="1" w:styleId="CommentSubjectChar">
    <w:name w:val="Comment Subject Char"/>
    <w:basedOn w:val="CommentTextChar"/>
    <w:link w:val="CommentSubject"/>
    <w:uiPriority w:val="99"/>
    <w:semiHidden/>
    <w:rsid w:val="009213D5"/>
    <w:rPr>
      <w:b/>
      <w:bCs/>
      <w:sz w:val="20"/>
      <w:szCs w:val="20"/>
    </w:rPr>
  </w:style>
  <w:style w:type="paragraph" w:styleId="BalloonText">
    <w:name w:val="Balloon Text"/>
    <w:basedOn w:val="Normal"/>
    <w:link w:val="BalloonTextChar"/>
    <w:uiPriority w:val="99"/>
    <w:semiHidden/>
    <w:unhideWhenUsed/>
    <w:rsid w:val="0092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D5"/>
    <w:rPr>
      <w:rFonts w:ascii="Segoe UI" w:hAnsi="Segoe UI" w:cs="Segoe UI"/>
      <w:sz w:val="18"/>
      <w:szCs w:val="18"/>
    </w:rPr>
  </w:style>
  <w:style w:type="paragraph" w:styleId="Revision">
    <w:name w:val="Revision"/>
    <w:hidden/>
    <w:uiPriority w:val="99"/>
    <w:semiHidden/>
    <w:rsid w:val="00CF2971"/>
    <w:pPr>
      <w:spacing w:after="0" w:line="240" w:lineRule="auto"/>
    </w:pPr>
  </w:style>
  <w:style w:type="paragraph" w:customStyle="1" w:styleId="pf0">
    <w:name w:val="pf0"/>
    <w:basedOn w:val="Normal"/>
    <w:rsid w:val="00EB1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B1FDC"/>
    <w:rPr>
      <w:rFonts w:ascii="Segoe UI" w:hAnsi="Segoe UI" w:cs="Segoe UI" w:hint="default"/>
      <w:sz w:val="18"/>
      <w:szCs w:val="18"/>
    </w:rPr>
  </w:style>
  <w:style w:type="paragraph" w:styleId="NormalWeb">
    <w:name w:val="Normal (Web)"/>
    <w:basedOn w:val="Normal"/>
    <w:uiPriority w:val="99"/>
    <w:semiHidden/>
    <w:unhideWhenUsed/>
    <w:rsid w:val="00EB1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5795">
      <w:bodyDiv w:val="1"/>
      <w:marLeft w:val="0"/>
      <w:marRight w:val="0"/>
      <w:marTop w:val="0"/>
      <w:marBottom w:val="0"/>
      <w:divBdr>
        <w:top w:val="none" w:sz="0" w:space="0" w:color="auto"/>
        <w:left w:val="none" w:sz="0" w:space="0" w:color="auto"/>
        <w:bottom w:val="none" w:sz="0" w:space="0" w:color="auto"/>
        <w:right w:val="none" w:sz="0" w:space="0" w:color="auto"/>
      </w:divBdr>
    </w:div>
    <w:div w:id="1073167034">
      <w:bodyDiv w:val="1"/>
      <w:marLeft w:val="0"/>
      <w:marRight w:val="0"/>
      <w:marTop w:val="0"/>
      <w:marBottom w:val="0"/>
      <w:divBdr>
        <w:top w:val="none" w:sz="0" w:space="0" w:color="auto"/>
        <w:left w:val="none" w:sz="0" w:space="0" w:color="auto"/>
        <w:bottom w:val="none" w:sz="0" w:space="0" w:color="auto"/>
        <w:right w:val="none" w:sz="0" w:space="0" w:color="auto"/>
      </w:divBdr>
    </w:div>
    <w:div w:id="1636714175">
      <w:bodyDiv w:val="1"/>
      <w:marLeft w:val="0"/>
      <w:marRight w:val="0"/>
      <w:marTop w:val="0"/>
      <w:marBottom w:val="0"/>
      <w:divBdr>
        <w:top w:val="none" w:sz="0" w:space="0" w:color="auto"/>
        <w:left w:val="none" w:sz="0" w:space="0" w:color="auto"/>
        <w:bottom w:val="none" w:sz="0" w:space="0" w:color="auto"/>
        <w:right w:val="none" w:sz="0" w:space="0" w:color="auto"/>
      </w:divBdr>
    </w:div>
    <w:div w:id="1741292463">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214384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idgetlibrary.knowledge.scot.nhs.uk/media/WidgetFiles/2202/oral%20health%20leaflet%204%20print.pdf" TargetMode="External"/><Relationship Id="rId18" Type="http://schemas.openxmlformats.org/officeDocument/2006/relationships/hyperlink" Target="https://www.healthwatchsheffield.co.uk/advice-and-information/2022-05-23/mouth-care-people-learning-disabilities" TargetMode="External"/><Relationship Id="rId3" Type="http://schemas.openxmlformats.org/officeDocument/2006/relationships/settings" Target="settings.xml"/><Relationship Id="rId21" Type="http://schemas.openxmlformats.org/officeDocument/2006/relationships/hyperlink" Target="https://www.weahsn.net/wp-content/uploads/2021/07/Oral-Health-for-people-with-a-Learning-Disability-2021-FINAL.pdf" TargetMode="External"/><Relationship Id="rId7" Type="http://schemas.openxmlformats.org/officeDocument/2006/relationships/hyperlink" Target="https://www.cqc.org.uk/publications/major-report/smiling-matters-oral-health-care-homes-progress-report" TargetMode="External"/><Relationship Id="rId12" Type="http://schemas.openxmlformats.org/officeDocument/2006/relationships/hyperlink" Target="https://www.youtube.com/watch?v=E148TWu69Jw&amp;list=PLRbwbc3dfXUNefausjPRrYYDvvkKvfFeP&amp;index=21" TargetMode="External"/><Relationship Id="rId17" Type="http://schemas.openxmlformats.org/officeDocument/2006/relationships/hyperlink" Target="https://vimeo.com/171399125" TargetMode="External"/><Relationship Id="rId2" Type="http://schemas.openxmlformats.org/officeDocument/2006/relationships/styles" Target="styles.xml"/><Relationship Id="rId16" Type="http://schemas.openxmlformats.org/officeDocument/2006/relationships/hyperlink" Target="https://www.colliscurve.co.uk/shop" TargetMode="External"/><Relationship Id="rId20" Type="http://schemas.openxmlformats.org/officeDocument/2006/relationships/hyperlink" Target="https://www.torbayandsouthdevon.nhs.uk/uploads/25344.pdf" TargetMode="External"/><Relationship Id="rId1" Type="http://schemas.openxmlformats.org/officeDocument/2006/relationships/numbering" Target="numbering.xml"/><Relationship Id="rId6" Type="http://schemas.openxmlformats.org/officeDocument/2006/relationships/hyperlink" Target="mailto:somicb.leder@nhs.net" TargetMode="External"/><Relationship Id="rId11" Type="http://schemas.openxmlformats.org/officeDocument/2006/relationships/hyperlink" Target="https://www.cqc.org.uk/publications/major-report/smiling-matters-oral-health-care-homes-progress-report"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bsdh.org/index.php/oral-health-resources" TargetMode="External"/><Relationship Id="rId23" Type="http://schemas.openxmlformats.org/officeDocument/2006/relationships/fontTable" Target="fontTable.xml"/><Relationship Id="rId10" Type="http://schemas.openxmlformats.org/officeDocument/2006/relationships/hyperlink" Target="https://www.cqc.org.uk/publications/major-report/smiling-matters-oral-health-care-care-homes" TargetMode="External"/><Relationship Id="rId19" Type="http://schemas.openxmlformats.org/officeDocument/2006/relationships/hyperlink" Target="https://www.inclusiongloucestershire.co.uk/health-films/" TargetMode="External"/><Relationship Id="rId4" Type="http://schemas.openxmlformats.org/officeDocument/2006/relationships/webSettings" Target="webSettings.xml"/><Relationship Id="rId9" Type="http://schemas.openxmlformats.org/officeDocument/2006/relationships/hyperlink" Target="https://www.mariecurie.org.uk/professionals/palliative-care-knowledge-zone/symptom-control/mouth-care" TargetMode="External"/><Relationship Id="rId14" Type="http://schemas.openxmlformats.org/officeDocument/2006/relationships/hyperlink" Target="http://mouthcarematters.hee.nhs.uk/2019/10/24/new-video-launched-supporting-patients-who-are-resistant-to-mouth-care/index.html" TargetMode="External"/><Relationship Id="rId22" Type="http://schemas.openxmlformats.org/officeDocument/2006/relationships/hyperlink" Target="mailto:somicb.leder@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TICEHURST, Julie (NHS SOMERSET ICB - 11X)</dc:creator>
  <cp:keywords/>
  <dc:description/>
  <cp:lastModifiedBy>TICEHURST, Julie (NHS SOMERSET ICB - 11X)</cp:lastModifiedBy>
  <cp:revision>3</cp:revision>
  <dcterms:created xsi:type="dcterms:W3CDTF">2023-04-26T12:17:00Z</dcterms:created>
  <dcterms:modified xsi:type="dcterms:W3CDTF">2023-04-26T13:21:00Z</dcterms:modified>
</cp:coreProperties>
</file>