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F436E" w14:textId="49712DF5" w:rsidR="00D23EEB" w:rsidRPr="00FC4F38" w:rsidRDefault="00D23EEB">
      <w:pPr>
        <w:rPr>
          <w:rFonts w:ascii="Arial" w:hAnsi="Arial" w:cs="Arial"/>
          <w:color w:val="000000" w:themeColor="text1"/>
        </w:rPr>
      </w:pPr>
      <w:r w:rsidRPr="00FC4F38">
        <w:rPr>
          <w:rFonts w:ascii="Arial" w:hAnsi="Arial" w:cs="Arial"/>
          <w:noProof/>
          <w:color w:val="000000" w:themeColor="text1"/>
        </w:rPr>
        <w:drawing>
          <wp:anchor distT="0" distB="0" distL="114300" distR="114300" simplePos="0" relativeHeight="251726848" behindDoc="1" locked="0" layoutInCell="1" allowOverlap="1" wp14:anchorId="28914253" wp14:editId="17E38F76">
            <wp:simplePos x="0" y="0"/>
            <wp:positionH relativeFrom="column">
              <wp:posOffset>4534535</wp:posOffset>
            </wp:positionH>
            <wp:positionV relativeFrom="paragraph">
              <wp:posOffset>-128270</wp:posOffset>
            </wp:positionV>
            <wp:extent cx="2444115" cy="791845"/>
            <wp:effectExtent l="0" t="0" r="0" b="0"/>
            <wp:wrapNone/>
            <wp:docPr id="1758200768"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15353" name="Picture 1" descr="A close-up of a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4115" cy="791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CE188D" w14:textId="77777777" w:rsidR="00D23EEB" w:rsidRPr="00FC4F38" w:rsidRDefault="00D23EEB">
      <w:pPr>
        <w:rPr>
          <w:rFonts w:ascii="Arial" w:hAnsi="Arial" w:cs="Arial"/>
          <w:color w:val="000000" w:themeColor="text1"/>
        </w:rPr>
      </w:pPr>
    </w:p>
    <w:p w14:paraId="39B31636" w14:textId="77777777" w:rsidR="00D23EEB" w:rsidRPr="00FC4F38" w:rsidRDefault="00D23EEB">
      <w:pPr>
        <w:rPr>
          <w:rFonts w:ascii="Arial" w:hAnsi="Arial" w:cs="Arial"/>
          <w:color w:val="000000" w:themeColor="text1"/>
        </w:rPr>
      </w:pPr>
    </w:p>
    <w:p w14:paraId="7A5D6410" w14:textId="77777777" w:rsidR="00D23EEB" w:rsidRPr="00FC4F38" w:rsidRDefault="00D23EEB">
      <w:pPr>
        <w:rPr>
          <w:rFonts w:ascii="Arial" w:hAnsi="Arial" w:cs="Arial"/>
          <w:color w:val="000000" w:themeColor="text1"/>
        </w:rPr>
      </w:pPr>
    </w:p>
    <w:p w14:paraId="5AF3DCFF" w14:textId="77777777" w:rsidR="00D23EEB" w:rsidRPr="00FC4F38" w:rsidRDefault="00D23EEB">
      <w:pPr>
        <w:rPr>
          <w:rFonts w:ascii="Arial" w:hAnsi="Arial" w:cs="Arial"/>
          <w:color w:val="000000" w:themeColor="text1"/>
        </w:rPr>
      </w:pPr>
    </w:p>
    <w:p w14:paraId="27432DC1" w14:textId="77777777" w:rsidR="00D23EEB" w:rsidRPr="00FC4F38" w:rsidRDefault="00D23EEB">
      <w:pPr>
        <w:rPr>
          <w:rFonts w:ascii="Arial" w:hAnsi="Arial" w:cs="Arial"/>
          <w:color w:val="000000" w:themeColor="text1"/>
        </w:rPr>
      </w:pPr>
    </w:p>
    <w:p w14:paraId="2851ADD2" w14:textId="77777777" w:rsidR="00D23EEB" w:rsidRPr="00FC4F38" w:rsidRDefault="00D23EEB">
      <w:pPr>
        <w:rPr>
          <w:rFonts w:ascii="Arial" w:hAnsi="Arial" w:cs="Arial"/>
          <w:color w:val="000000" w:themeColor="text1"/>
        </w:rPr>
      </w:pPr>
    </w:p>
    <w:p w14:paraId="70D84AC0" w14:textId="77777777" w:rsidR="00D23EEB" w:rsidRPr="00FC4F38" w:rsidRDefault="00D23EEB" w:rsidP="00D23EEB">
      <w:pPr>
        <w:jc w:val="center"/>
        <w:rPr>
          <w:rFonts w:ascii="Arial" w:hAnsi="Arial" w:cs="Arial"/>
          <w:color w:val="000000" w:themeColor="text1"/>
          <w:sz w:val="56"/>
          <w:szCs w:val="56"/>
        </w:rPr>
      </w:pPr>
    </w:p>
    <w:p w14:paraId="26B79F5D" w14:textId="77777777" w:rsidR="00D23EEB" w:rsidRPr="00FC4F38" w:rsidRDefault="00D23EEB" w:rsidP="00D23EEB">
      <w:pPr>
        <w:jc w:val="center"/>
        <w:rPr>
          <w:rFonts w:ascii="Arial" w:hAnsi="Arial" w:cs="Arial"/>
          <w:color w:val="000000" w:themeColor="text1"/>
          <w:sz w:val="56"/>
          <w:szCs w:val="56"/>
        </w:rPr>
      </w:pPr>
    </w:p>
    <w:p w14:paraId="1882502B" w14:textId="3777A397" w:rsidR="00D23EEB" w:rsidRPr="00FB28DB" w:rsidRDefault="00A17EA8" w:rsidP="00D23EEB">
      <w:pPr>
        <w:jc w:val="center"/>
        <w:rPr>
          <w:rFonts w:ascii="Arial" w:hAnsi="Arial" w:cs="Arial"/>
          <w:color w:val="003087"/>
          <w:sz w:val="56"/>
          <w:szCs w:val="56"/>
        </w:rPr>
      </w:pPr>
      <w:r>
        <w:rPr>
          <w:rFonts w:ascii="Arial" w:hAnsi="Arial" w:cs="Arial"/>
          <w:color w:val="003087"/>
          <w:sz w:val="56"/>
          <w:szCs w:val="56"/>
        </w:rPr>
        <w:t>Safeguarding Children</w:t>
      </w:r>
    </w:p>
    <w:p w14:paraId="064EF133" w14:textId="2E5F9E25" w:rsidR="009D3C24" w:rsidRPr="00FB28DB" w:rsidRDefault="00D23EEB" w:rsidP="00D23EEB">
      <w:pPr>
        <w:jc w:val="center"/>
        <w:rPr>
          <w:rFonts w:ascii="Arial" w:hAnsi="Arial" w:cs="Arial"/>
          <w:color w:val="003087"/>
          <w:sz w:val="56"/>
          <w:szCs w:val="56"/>
        </w:rPr>
      </w:pPr>
      <w:r w:rsidRPr="00FB28DB">
        <w:rPr>
          <w:rFonts w:ascii="Arial" w:hAnsi="Arial" w:cs="Arial"/>
          <w:noProof/>
          <w:color w:val="003087"/>
          <w:sz w:val="44"/>
          <w:szCs w:val="44"/>
        </w:rPr>
        <w:drawing>
          <wp:anchor distT="0" distB="0" distL="114300" distR="114300" simplePos="0" relativeHeight="251661312" behindDoc="1" locked="0" layoutInCell="1" allowOverlap="1" wp14:anchorId="14C2A763" wp14:editId="7B1D574C">
            <wp:simplePos x="0" y="0"/>
            <wp:positionH relativeFrom="page">
              <wp:posOffset>76200</wp:posOffset>
            </wp:positionH>
            <wp:positionV relativeFrom="page">
              <wp:posOffset>190500</wp:posOffset>
            </wp:positionV>
            <wp:extent cx="1793875" cy="923925"/>
            <wp:effectExtent l="0" t="0" r="0" b="0"/>
            <wp:wrapNone/>
            <wp:docPr id="808665279" name="Picture 808665279"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4107"/>
                    <a:stretch/>
                  </pic:blipFill>
                  <pic:spPr bwMode="auto">
                    <a:xfrm>
                      <a:off x="0" y="0"/>
                      <a:ext cx="1793875" cy="9239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B28DB">
        <w:rPr>
          <w:rFonts w:ascii="Arial" w:hAnsi="Arial" w:cs="Arial"/>
          <w:color w:val="003087"/>
          <w:sz w:val="56"/>
          <w:szCs w:val="56"/>
        </w:rPr>
        <w:t>Annual Report 202</w:t>
      </w:r>
      <w:r w:rsidR="00FC4F38" w:rsidRPr="00FB28DB">
        <w:rPr>
          <w:rFonts w:ascii="Arial" w:hAnsi="Arial" w:cs="Arial"/>
          <w:color w:val="003087"/>
          <w:sz w:val="56"/>
          <w:szCs w:val="56"/>
        </w:rPr>
        <w:t>4</w:t>
      </w:r>
      <w:r w:rsidRPr="00FB28DB">
        <w:rPr>
          <w:rFonts w:ascii="Arial" w:hAnsi="Arial" w:cs="Arial"/>
          <w:color w:val="003087"/>
          <w:sz w:val="56"/>
          <w:szCs w:val="56"/>
        </w:rPr>
        <w:t>/2</w:t>
      </w:r>
      <w:r w:rsidR="00FC4F38" w:rsidRPr="00FB28DB">
        <w:rPr>
          <w:rFonts w:ascii="Arial" w:hAnsi="Arial" w:cs="Arial"/>
          <w:color w:val="003087"/>
          <w:sz w:val="56"/>
          <w:szCs w:val="56"/>
        </w:rPr>
        <w:t>5</w:t>
      </w:r>
      <w:r w:rsidRPr="00FB28DB">
        <w:rPr>
          <w:rFonts w:ascii="Arial" w:hAnsi="Arial" w:cs="Arial"/>
          <w:color w:val="003087"/>
          <w:sz w:val="56"/>
          <w:szCs w:val="56"/>
        </w:rPr>
        <w:t xml:space="preserve"> </w:t>
      </w:r>
    </w:p>
    <w:p w14:paraId="02BDE4E6" w14:textId="77777777" w:rsidR="00D23EEB" w:rsidRPr="00FC4F38" w:rsidRDefault="00D23EEB" w:rsidP="00D23EEB">
      <w:pPr>
        <w:jc w:val="center"/>
        <w:rPr>
          <w:rFonts w:ascii="Arial" w:hAnsi="Arial" w:cs="Arial"/>
          <w:color w:val="000000" w:themeColor="text1"/>
          <w:sz w:val="56"/>
          <w:szCs w:val="56"/>
        </w:rPr>
      </w:pPr>
    </w:p>
    <w:p w14:paraId="70EA5CF9" w14:textId="77777777" w:rsidR="00D23EEB" w:rsidRPr="00FC4F38" w:rsidRDefault="00D23EEB" w:rsidP="00D23EEB">
      <w:pPr>
        <w:jc w:val="center"/>
        <w:rPr>
          <w:rFonts w:ascii="Arial" w:hAnsi="Arial" w:cs="Arial"/>
          <w:color w:val="000000" w:themeColor="text1"/>
          <w:sz w:val="56"/>
          <w:szCs w:val="56"/>
        </w:rPr>
      </w:pPr>
    </w:p>
    <w:p w14:paraId="0C3E5EFE" w14:textId="77777777" w:rsidR="006324D5" w:rsidRPr="00FC4F38" w:rsidRDefault="006324D5" w:rsidP="00D23EEB">
      <w:pPr>
        <w:jc w:val="center"/>
        <w:rPr>
          <w:rFonts w:ascii="Arial" w:hAnsi="Arial" w:cs="Arial"/>
          <w:color w:val="000000" w:themeColor="text1"/>
          <w:sz w:val="56"/>
          <w:szCs w:val="56"/>
        </w:rPr>
      </w:pPr>
    </w:p>
    <w:p w14:paraId="528DBE08" w14:textId="77777777" w:rsidR="006324D5" w:rsidRPr="00FC4F38" w:rsidRDefault="006324D5" w:rsidP="00D23EEB">
      <w:pPr>
        <w:jc w:val="center"/>
        <w:rPr>
          <w:rFonts w:ascii="Arial" w:hAnsi="Arial" w:cs="Arial"/>
          <w:color w:val="000000" w:themeColor="text1"/>
          <w:sz w:val="56"/>
          <w:szCs w:val="56"/>
        </w:rPr>
      </w:pPr>
    </w:p>
    <w:p w14:paraId="44F69FD4" w14:textId="77777777" w:rsidR="00D23EEB" w:rsidRPr="00FC4F38" w:rsidRDefault="00D23EEB" w:rsidP="00D23EEB">
      <w:pPr>
        <w:jc w:val="center"/>
        <w:rPr>
          <w:rFonts w:ascii="Arial" w:hAnsi="Arial" w:cs="Arial"/>
          <w:color w:val="000000" w:themeColor="text1"/>
          <w:sz w:val="56"/>
          <w:szCs w:val="56"/>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405"/>
        <w:gridCol w:w="8051"/>
      </w:tblGrid>
      <w:tr w:rsidR="00A17EA8" w:rsidRPr="00FC4F38" w14:paraId="045C2D1C" w14:textId="77777777" w:rsidTr="00FC4F38">
        <w:tc>
          <w:tcPr>
            <w:tcW w:w="2405" w:type="dxa"/>
          </w:tcPr>
          <w:p w14:paraId="3DF8B68B" w14:textId="692B77FC" w:rsidR="00A17EA8" w:rsidRPr="00FC4F38" w:rsidRDefault="00A17EA8" w:rsidP="00A17EA8">
            <w:pPr>
              <w:spacing w:before="120" w:after="120"/>
              <w:rPr>
                <w:rFonts w:ascii="Arial" w:hAnsi="Arial" w:cs="Arial"/>
                <w:color w:val="000000" w:themeColor="text1"/>
                <w:sz w:val="24"/>
                <w:szCs w:val="24"/>
              </w:rPr>
            </w:pPr>
            <w:r w:rsidRPr="00FC4F38">
              <w:rPr>
                <w:rFonts w:ascii="Arial" w:hAnsi="Arial" w:cs="Arial"/>
                <w:color w:val="000000" w:themeColor="text1"/>
                <w:sz w:val="24"/>
                <w:szCs w:val="24"/>
              </w:rPr>
              <w:t xml:space="preserve">Author </w:t>
            </w:r>
          </w:p>
        </w:tc>
        <w:tc>
          <w:tcPr>
            <w:tcW w:w="8051" w:type="dxa"/>
          </w:tcPr>
          <w:p w14:paraId="097FBC01" w14:textId="6E972D4D" w:rsidR="00A17EA8" w:rsidRPr="00A17EA8" w:rsidRDefault="00A17EA8" w:rsidP="00A17EA8">
            <w:pPr>
              <w:spacing w:before="120" w:after="120"/>
              <w:rPr>
                <w:rFonts w:ascii="Arial" w:hAnsi="Arial" w:cs="Arial"/>
                <w:color w:val="000000" w:themeColor="text1"/>
                <w:sz w:val="24"/>
                <w:szCs w:val="24"/>
              </w:rPr>
            </w:pPr>
            <w:r w:rsidRPr="00A17EA8">
              <w:rPr>
                <w:rFonts w:ascii="Arial" w:hAnsi="Arial" w:cs="Arial"/>
                <w:sz w:val="24"/>
                <w:szCs w:val="24"/>
              </w:rPr>
              <w:t>Marie Davis</w:t>
            </w:r>
          </w:p>
        </w:tc>
      </w:tr>
      <w:tr w:rsidR="00A17EA8" w:rsidRPr="00FC4F38" w14:paraId="1CB1539E" w14:textId="77777777" w:rsidTr="00FC4F38">
        <w:tc>
          <w:tcPr>
            <w:tcW w:w="2405" w:type="dxa"/>
          </w:tcPr>
          <w:p w14:paraId="5A9603B9" w14:textId="09F4CE5A" w:rsidR="00A17EA8" w:rsidRPr="00FC4F38" w:rsidRDefault="00A17EA8" w:rsidP="00A17EA8">
            <w:pPr>
              <w:spacing w:before="120" w:after="120"/>
              <w:rPr>
                <w:rFonts w:ascii="Arial" w:hAnsi="Arial" w:cs="Arial"/>
                <w:color w:val="000000" w:themeColor="text1"/>
                <w:sz w:val="24"/>
                <w:szCs w:val="24"/>
              </w:rPr>
            </w:pPr>
            <w:r w:rsidRPr="00FC4F38">
              <w:rPr>
                <w:rFonts w:ascii="Arial" w:hAnsi="Arial" w:cs="Arial"/>
                <w:color w:val="000000" w:themeColor="text1"/>
                <w:sz w:val="24"/>
                <w:szCs w:val="24"/>
              </w:rPr>
              <w:t>Job title</w:t>
            </w:r>
          </w:p>
        </w:tc>
        <w:tc>
          <w:tcPr>
            <w:tcW w:w="8051" w:type="dxa"/>
          </w:tcPr>
          <w:p w14:paraId="4819B13D" w14:textId="38B1D58A" w:rsidR="00A17EA8" w:rsidRPr="00A17EA8" w:rsidRDefault="00A17EA8" w:rsidP="00A17EA8">
            <w:pPr>
              <w:spacing w:before="120" w:after="120"/>
              <w:rPr>
                <w:rFonts w:ascii="Arial" w:hAnsi="Arial" w:cs="Arial"/>
                <w:color w:val="000000" w:themeColor="text1"/>
                <w:sz w:val="24"/>
                <w:szCs w:val="24"/>
              </w:rPr>
            </w:pPr>
            <w:r w:rsidRPr="00A17EA8">
              <w:rPr>
                <w:rFonts w:ascii="Arial" w:hAnsi="Arial" w:cs="Arial"/>
                <w:sz w:val="24"/>
                <w:szCs w:val="24"/>
              </w:rPr>
              <w:t>Designated Nurse Safeguarding Children</w:t>
            </w:r>
          </w:p>
        </w:tc>
      </w:tr>
      <w:tr w:rsidR="00A17EA8" w:rsidRPr="00FC4F38" w14:paraId="32C7E83A" w14:textId="77777777" w:rsidTr="00FC4F38">
        <w:tc>
          <w:tcPr>
            <w:tcW w:w="2405" w:type="dxa"/>
          </w:tcPr>
          <w:p w14:paraId="5EE17E80" w14:textId="556F4338" w:rsidR="00A17EA8" w:rsidRPr="00FC4F38" w:rsidRDefault="00A17EA8" w:rsidP="00A17EA8">
            <w:pPr>
              <w:spacing w:before="120" w:after="120"/>
              <w:rPr>
                <w:rFonts w:ascii="Arial" w:hAnsi="Arial" w:cs="Arial"/>
                <w:color w:val="000000" w:themeColor="text1"/>
                <w:sz w:val="24"/>
                <w:szCs w:val="24"/>
              </w:rPr>
            </w:pPr>
            <w:r w:rsidRPr="00FC4F38">
              <w:rPr>
                <w:rFonts w:ascii="Arial" w:hAnsi="Arial" w:cs="Arial"/>
                <w:color w:val="000000" w:themeColor="text1"/>
                <w:sz w:val="24"/>
                <w:szCs w:val="24"/>
              </w:rPr>
              <w:t>Executive Sponsor</w:t>
            </w:r>
          </w:p>
        </w:tc>
        <w:tc>
          <w:tcPr>
            <w:tcW w:w="8051" w:type="dxa"/>
          </w:tcPr>
          <w:p w14:paraId="0BBED396" w14:textId="1959DEA2" w:rsidR="00A17EA8" w:rsidRPr="00A17EA8" w:rsidRDefault="00A17EA8" w:rsidP="00A17EA8">
            <w:pPr>
              <w:spacing w:before="120" w:after="120"/>
              <w:rPr>
                <w:rFonts w:ascii="Arial" w:hAnsi="Arial" w:cs="Arial"/>
                <w:color w:val="000000" w:themeColor="text1"/>
                <w:sz w:val="24"/>
                <w:szCs w:val="24"/>
              </w:rPr>
            </w:pPr>
            <w:r w:rsidRPr="00A17EA8">
              <w:rPr>
                <w:rFonts w:ascii="Arial" w:hAnsi="Arial" w:cs="Arial"/>
                <w:sz w:val="24"/>
                <w:szCs w:val="24"/>
              </w:rPr>
              <w:t>Shelagh Meldrum, Chief Nursing Officer / Executive Lead for Safeguarding</w:t>
            </w:r>
          </w:p>
        </w:tc>
      </w:tr>
      <w:tr w:rsidR="00A17EA8" w:rsidRPr="00FC4F38" w14:paraId="79931467" w14:textId="77777777" w:rsidTr="00FC4F38">
        <w:tc>
          <w:tcPr>
            <w:tcW w:w="2405" w:type="dxa"/>
          </w:tcPr>
          <w:p w14:paraId="49411060" w14:textId="4F528DD5" w:rsidR="00A17EA8" w:rsidRPr="00FC4F38" w:rsidRDefault="00A17EA8" w:rsidP="00A17EA8">
            <w:pPr>
              <w:spacing w:before="120" w:after="120"/>
              <w:rPr>
                <w:rFonts w:ascii="Arial" w:hAnsi="Arial" w:cs="Arial"/>
                <w:color w:val="000000" w:themeColor="text1"/>
                <w:sz w:val="24"/>
                <w:szCs w:val="24"/>
              </w:rPr>
            </w:pPr>
            <w:r w:rsidRPr="00FC4F38">
              <w:rPr>
                <w:rFonts w:ascii="Arial" w:hAnsi="Arial" w:cs="Arial"/>
                <w:color w:val="000000" w:themeColor="text1"/>
                <w:sz w:val="24"/>
                <w:szCs w:val="24"/>
              </w:rPr>
              <w:t xml:space="preserve">Version </w:t>
            </w:r>
          </w:p>
        </w:tc>
        <w:tc>
          <w:tcPr>
            <w:tcW w:w="8051" w:type="dxa"/>
          </w:tcPr>
          <w:p w14:paraId="601DFD80" w14:textId="27BEBBFA" w:rsidR="00A17EA8" w:rsidRPr="00A17EA8" w:rsidRDefault="00A17EA8" w:rsidP="00A17EA8">
            <w:pPr>
              <w:spacing w:before="120" w:after="120"/>
              <w:rPr>
                <w:rFonts w:ascii="Arial" w:hAnsi="Arial" w:cs="Arial"/>
                <w:color w:val="000000" w:themeColor="text1"/>
                <w:sz w:val="24"/>
                <w:szCs w:val="24"/>
              </w:rPr>
            </w:pPr>
            <w:r w:rsidRPr="00A17EA8">
              <w:rPr>
                <w:rFonts w:ascii="Arial" w:hAnsi="Arial" w:cs="Arial"/>
                <w:sz w:val="24"/>
                <w:szCs w:val="24"/>
              </w:rPr>
              <w:t>1</w:t>
            </w:r>
          </w:p>
        </w:tc>
      </w:tr>
      <w:tr w:rsidR="00A17EA8" w:rsidRPr="00FC4F38" w14:paraId="271DA15C" w14:textId="77777777" w:rsidTr="00FC4F38">
        <w:tc>
          <w:tcPr>
            <w:tcW w:w="2405" w:type="dxa"/>
          </w:tcPr>
          <w:p w14:paraId="3BCC8706" w14:textId="6CD938CA" w:rsidR="00A17EA8" w:rsidRPr="00FC4F38" w:rsidRDefault="00A17EA8" w:rsidP="00A17EA8">
            <w:pPr>
              <w:spacing w:before="120" w:after="120"/>
              <w:rPr>
                <w:rFonts w:ascii="Arial" w:hAnsi="Arial" w:cs="Arial"/>
                <w:color w:val="000000" w:themeColor="text1"/>
                <w:sz w:val="24"/>
                <w:szCs w:val="24"/>
              </w:rPr>
            </w:pPr>
            <w:r w:rsidRPr="00FC4F38">
              <w:rPr>
                <w:rFonts w:ascii="Arial" w:hAnsi="Arial" w:cs="Arial"/>
                <w:color w:val="000000" w:themeColor="text1"/>
                <w:sz w:val="24"/>
                <w:szCs w:val="24"/>
              </w:rPr>
              <w:t xml:space="preserve">Date </w:t>
            </w:r>
          </w:p>
        </w:tc>
        <w:tc>
          <w:tcPr>
            <w:tcW w:w="8051" w:type="dxa"/>
          </w:tcPr>
          <w:p w14:paraId="3064D3C9" w14:textId="601DE8D3" w:rsidR="00A17EA8" w:rsidRPr="00A17EA8" w:rsidRDefault="00293501" w:rsidP="00A17EA8">
            <w:pPr>
              <w:spacing w:before="120" w:after="120"/>
              <w:rPr>
                <w:rFonts w:ascii="Arial" w:hAnsi="Arial" w:cs="Arial"/>
                <w:color w:val="000000" w:themeColor="text1"/>
                <w:sz w:val="24"/>
                <w:szCs w:val="24"/>
              </w:rPr>
            </w:pPr>
            <w:r>
              <w:rPr>
                <w:rFonts w:ascii="Arial" w:hAnsi="Arial" w:cs="Arial"/>
                <w:sz w:val="24"/>
                <w:szCs w:val="24"/>
              </w:rPr>
              <w:t>September</w:t>
            </w:r>
            <w:r w:rsidR="00A17EA8" w:rsidRPr="00A17EA8">
              <w:rPr>
                <w:rFonts w:ascii="Arial" w:hAnsi="Arial" w:cs="Arial"/>
                <w:sz w:val="24"/>
                <w:szCs w:val="24"/>
              </w:rPr>
              <w:t xml:space="preserve"> 202</w:t>
            </w:r>
            <w:r w:rsidR="00A17EA8">
              <w:rPr>
                <w:rFonts w:ascii="Arial" w:hAnsi="Arial" w:cs="Arial"/>
                <w:sz w:val="24"/>
                <w:szCs w:val="24"/>
              </w:rPr>
              <w:t>5</w:t>
            </w:r>
          </w:p>
        </w:tc>
      </w:tr>
    </w:tbl>
    <w:p w14:paraId="76AE5FC4" w14:textId="77777777" w:rsidR="00D23EEB" w:rsidRPr="00FC4F38" w:rsidRDefault="00D23EEB" w:rsidP="006324D5">
      <w:pPr>
        <w:rPr>
          <w:rFonts w:ascii="Arial" w:hAnsi="Arial" w:cs="Arial"/>
          <w:color w:val="000000" w:themeColor="text1"/>
          <w:sz w:val="28"/>
          <w:szCs w:val="28"/>
        </w:rPr>
      </w:pPr>
    </w:p>
    <w:p w14:paraId="0FCBDFC6" w14:textId="77777777" w:rsidR="00D23EEB" w:rsidRPr="00FC4F38" w:rsidRDefault="00D23EEB" w:rsidP="00D23EEB">
      <w:pPr>
        <w:jc w:val="center"/>
        <w:rPr>
          <w:rFonts w:ascii="Arial" w:hAnsi="Arial" w:cs="Arial"/>
          <w:color w:val="000000" w:themeColor="text1"/>
          <w:sz w:val="56"/>
          <w:szCs w:val="56"/>
        </w:rPr>
      </w:pPr>
    </w:p>
    <w:p w14:paraId="10ABED67" w14:textId="77777777" w:rsidR="00D23EEB" w:rsidRPr="00FC4F38" w:rsidRDefault="00D23EEB" w:rsidP="00D23EEB">
      <w:pPr>
        <w:jc w:val="center"/>
        <w:rPr>
          <w:rFonts w:ascii="Arial" w:hAnsi="Arial" w:cs="Arial"/>
          <w:color w:val="000000" w:themeColor="text1"/>
          <w:sz w:val="44"/>
          <w:szCs w:val="44"/>
        </w:rPr>
        <w:sectPr w:rsidR="00D23EEB" w:rsidRPr="00FC4F38" w:rsidSect="00D23EEB">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pPr>
    </w:p>
    <w:p w14:paraId="42725D37" w14:textId="77777777" w:rsidR="00D23EEB" w:rsidRPr="00FC4F38" w:rsidRDefault="00D23EEB" w:rsidP="00D23EEB">
      <w:pPr>
        <w:rPr>
          <w:rFonts w:ascii="Arial" w:hAnsi="Arial" w:cs="Arial"/>
          <w:i/>
          <w:iCs/>
          <w:color w:val="000000" w:themeColor="text1"/>
          <w:sz w:val="20"/>
          <w:szCs w:val="20"/>
        </w:rPr>
        <w:sectPr w:rsidR="00D23EEB" w:rsidRPr="00FC4F38" w:rsidSect="00D23EEB">
          <w:headerReference w:type="default" r:id="rId16"/>
          <w:footerReference w:type="default" r:id="rId17"/>
          <w:pgSz w:w="11906" w:h="16838"/>
          <w:pgMar w:top="720" w:right="720" w:bottom="720" w:left="720" w:header="708" w:footer="708" w:gutter="0"/>
          <w:cols w:space="708"/>
          <w:docGrid w:linePitch="360"/>
        </w:sectPr>
      </w:pPr>
    </w:p>
    <w:bookmarkStart w:id="0" w:name="_Toc197419783" w:displacedByCustomXml="next"/>
    <w:bookmarkStart w:id="1" w:name="_Toc165549156" w:displacedByCustomXml="next"/>
    <w:sdt>
      <w:sdtPr>
        <w:rPr>
          <w:rFonts w:ascii="Arial" w:hAnsi="Arial" w:cs="Arial"/>
          <w:color w:val="000000" w:themeColor="text1"/>
        </w:rPr>
        <w:id w:val="498849905"/>
        <w:docPartObj>
          <w:docPartGallery w:val="Table of Contents"/>
          <w:docPartUnique/>
        </w:docPartObj>
      </w:sdtPr>
      <w:sdtEndPr>
        <w:rPr>
          <w:b/>
          <w:bCs/>
        </w:rPr>
      </w:sdtEndPr>
      <w:sdtContent>
        <w:p w14:paraId="15BCB5AB" w14:textId="77777777" w:rsidR="00FB28DB" w:rsidRDefault="00F509F7" w:rsidP="00FB28DB">
          <w:pPr>
            <w:rPr>
              <w:noProof/>
            </w:rPr>
          </w:pPr>
          <w:r w:rsidRPr="00FB28DB">
            <w:rPr>
              <w:rStyle w:val="TitleChar"/>
              <w:color w:val="003087"/>
            </w:rPr>
            <w:t>Contents</w:t>
          </w:r>
          <w:bookmarkEnd w:id="1"/>
          <w:bookmarkEnd w:id="0"/>
          <w:r w:rsidRPr="00FC4F38">
            <w:rPr>
              <w:rFonts w:ascii="Arial" w:hAnsi="Arial" w:cs="Arial"/>
              <w:color w:val="000000" w:themeColor="text1"/>
            </w:rPr>
            <w:fldChar w:fldCharType="begin"/>
          </w:r>
          <w:r w:rsidRPr="00FC4F38">
            <w:rPr>
              <w:rFonts w:ascii="Arial" w:hAnsi="Arial" w:cs="Arial"/>
              <w:color w:val="000000" w:themeColor="text1"/>
            </w:rPr>
            <w:instrText xml:space="preserve"> TOC \o "1-3" \h \z \u </w:instrText>
          </w:r>
          <w:r w:rsidRPr="00FC4F38">
            <w:rPr>
              <w:rFonts w:ascii="Arial" w:hAnsi="Arial" w:cs="Arial"/>
              <w:color w:val="000000" w:themeColor="text1"/>
            </w:rPr>
            <w:fldChar w:fldCharType="separate"/>
          </w:r>
        </w:p>
        <w:p w14:paraId="0392205D" w14:textId="013118A3" w:rsidR="00FB28DB" w:rsidRPr="00BE4C7B" w:rsidRDefault="00FB28DB" w:rsidP="00BE4C7B">
          <w:pPr>
            <w:pStyle w:val="TOC1"/>
            <w:tabs>
              <w:tab w:val="left" w:pos="480"/>
              <w:tab w:val="right" w:leader="dot" w:pos="10456"/>
            </w:tabs>
            <w:rPr>
              <w:rFonts w:ascii="Arial" w:eastAsiaTheme="minorEastAsia" w:hAnsi="Arial" w:cs="Arial"/>
              <w:noProof/>
              <w:color w:val="000000" w:themeColor="text1"/>
              <w:sz w:val="28"/>
              <w:szCs w:val="28"/>
              <w:lang w:eastAsia="en-GB"/>
            </w:rPr>
          </w:pPr>
          <w:hyperlink w:anchor="_Toc197420056" w:history="1">
            <w:r w:rsidRPr="00BE4C7B">
              <w:rPr>
                <w:rStyle w:val="Hyperlink"/>
                <w:rFonts w:ascii="Arial" w:hAnsi="Arial" w:cs="Arial"/>
                <w:noProof/>
                <w:color w:val="000000" w:themeColor="text1"/>
                <w:sz w:val="28"/>
                <w:szCs w:val="28"/>
              </w:rPr>
              <w:t>1.</w:t>
            </w:r>
            <w:r w:rsidRPr="00BE4C7B">
              <w:rPr>
                <w:rFonts w:ascii="Arial" w:eastAsiaTheme="minorEastAsia" w:hAnsi="Arial" w:cs="Arial"/>
                <w:noProof/>
                <w:color w:val="000000" w:themeColor="text1"/>
                <w:sz w:val="28"/>
                <w:szCs w:val="28"/>
                <w:lang w:eastAsia="en-GB"/>
              </w:rPr>
              <w:tab/>
            </w:r>
            <w:r w:rsidRPr="00BE4C7B">
              <w:rPr>
                <w:rStyle w:val="Hyperlink"/>
                <w:rFonts w:ascii="Arial" w:hAnsi="Arial" w:cs="Arial"/>
                <w:noProof/>
                <w:color w:val="000000" w:themeColor="text1"/>
                <w:sz w:val="28"/>
                <w:szCs w:val="28"/>
              </w:rPr>
              <w:t>Executive Summary</w:t>
            </w:r>
            <w:r w:rsidRPr="00BE4C7B">
              <w:rPr>
                <w:rFonts w:ascii="Arial" w:hAnsi="Arial" w:cs="Arial"/>
                <w:noProof/>
                <w:webHidden/>
                <w:color w:val="000000" w:themeColor="text1"/>
                <w:sz w:val="28"/>
                <w:szCs w:val="28"/>
              </w:rPr>
              <w:tab/>
            </w:r>
            <w:r w:rsidRPr="00BE4C7B">
              <w:rPr>
                <w:rFonts w:ascii="Arial" w:hAnsi="Arial" w:cs="Arial"/>
                <w:noProof/>
                <w:webHidden/>
                <w:color w:val="000000" w:themeColor="text1"/>
                <w:sz w:val="28"/>
                <w:szCs w:val="28"/>
              </w:rPr>
              <w:fldChar w:fldCharType="begin"/>
            </w:r>
            <w:r w:rsidRPr="00BE4C7B">
              <w:rPr>
                <w:rFonts w:ascii="Arial" w:hAnsi="Arial" w:cs="Arial"/>
                <w:noProof/>
                <w:webHidden/>
                <w:color w:val="000000" w:themeColor="text1"/>
                <w:sz w:val="28"/>
                <w:szCs w:val="28"/>
              </w:rPr>
              <w:instrText xml:space="preserve"> PAGEREF _Toc197420056 \h </w:instrText>
            </w:r>
            <w:r w:rsidRPr="00BE4C7B">
              <w:rPr>
                <w:rFonts w:ascii="Arial" w:hAnsi="Arial" w:cs="Arial"/>
                <w:noProof/>
                <w:webHidden/>
                <w:color w:val="000000" w:themeColor="text1"/>
                <w:sz w:val="28"/>
                <w:szCs w:val="28"/>
              </w:rPr>
            </w:r>
            <w:r w:rsidRPr="00BE4C7B">
              <w:rPr>
                <w:rFonts w:ascii="Arial" w:hAnsi="Arial" w:cs="Arial"/>
                <w:noProof/>
                <w:webHidden/>
                <w:color w:val="000000" w:themeColor="text1"/>
                <w:sz w:val="28"/>
                <w:szCs w:val="28"/>
              </w:rPr>
              <w:fldChar w:fldCharType="separate"/>
            </w:r>
            <w:r w:rsidRPr="00BE4C7B">
              <w:rPr>
                <w:rFonts w:ascii="Arial" w:hAnsi="Arial" w:cs="Arial"/>
                <w:noProof/>
                <w:webHidden/>
                <w:color w:val="000000" w:themeColor="text1"/>
                <w:sz w:val="28"/>
                <w:szCs w:val="28"/>
              </w:rPr>
              <w:t>1</w:t>
            </w:r>
            <w:r w:rsidRPr="00BE4C7B">
              <w:rPr>
                <w:rFonts w:ascii="Arial" w:hAnsi="Arial" w:cs="Arial"/>
                <w:noProof/>
                <w:webHidden/>
                <w:color w:val="000000" w:themeColor="text1"/>
                <w:sz w:val="28"/>
                <w:szCs w:val="28"/>
              </w:rPr>
              <w:fldChar w:fldCharType="end"/>
            </w:r>
          </w:hyperlink>
        </w:p>
        <w:p w14:paraId="17F04EF4" w14:textId="18DB4FE4" w:rsidR="00FB28DB" w:rsidRPr="00BE4C7B" w:rsidRDefault="00FB28DB" w:rsidP="00BE4C7B">
          <w:pPr>
            <w:pStyle w:val="TOC1"/>
            <w:tabs>
              <w:tab w:val="left" w:pos="480"/>
              <w:tab w:val="right" w:leader="dot" w:pos="10456"/>
            </w:tabs>
            <w:rPr>
              <w:rFonts w:ascii="Arial" w:eastAsiaTheme="minorEastAsia" w:hAnsi="Arial" w:cs="Arial"/>
              <w:noProof/>
              <w:color w:val="000000" w:themeColor="text1"/>
              <w:sz w:val="28"/>
              <w:szCs w:val="28"/>
              <w:lang w:eastAsia="en-GB"/>
            </w:rPr>
          </w:pPr>
          <w:hyperlink w:anchor="_Toc197420057" w:history="1">
            <w:r w:rsidRPr="00BE4C7B">
              <w:rPr>
                <w:rStyle w:val="Hyperlink"/>
                <w:rFonts w:ascii="Arial" w:hAnsi="Arial" w:cs="Arial"/>
                <w:noProof/>
                <w:color w:val="000000" w:themeColor="text1"/>
                <w:sz w:val="28"/>
                <w:szCs w:val="28"/>
              </w:rPr>
              <w:t>2.</w:t>
            </w:r>
            <w:r w:rsidRPr="00BE4C7B">
              <w:rPr>
                <w:rFonts w:ascii="Arial" w:eastAsiaTheme="minorEastAsia" w:hAnsi="Arial" w:cs="Arial"/>
                <w:noProof/>
                <w:color w:val="000000" w:themeColor="text1"/>
                <w:sz w:val="28"/>
                <w:szCs w:val="28"/>
                <w:lang w:eastAsia="en-GB"/>
              </w:rPr>
              <w:tab/>
            </w:r>
            <w:r w:rsidRPr="00BE4C7B">
              <w:rPr>
                <w:rStyle w:val="Hyperlink"/>
                <w:rFonts w:ascii="Arial" w:hAnsi="Arial" w:cs="Arial"/>
                <w:noProof/>
                <w:color w:val="000000" w:themeColor="text1"/>
                <w:sz w:val="28"/>
                <w:szCs w:val="28"/>
              </w:rPr>
              <w:t>Introduction</w:t>
            </w:r>
            <w:r w:rsidRPr="00BE4C7B">
              <w:rPr>
                <w:rFonts w:ascii="Arial" w:hAnsi="Arial" w:cs="Arial"/>
                <w:noProof/>
                <w:webHidden/>
                <w:color w:val="000000" w:themeColor="text1"/>
                <w:sz w:val="28"/>
                <w:szCs w:val="28"/>
              </w:rPr>
              <w:tab/>
            </w:r>
            <w:r w:rsidRPr="00BE4C7B">
              <w:rPr>
                <w:rFonts w:ascii="Arial" w:hAnsi="Arial" w:cs="Arial"/>
                <w:noProof/>
                <w:webHidden/>
                <w:color w:val="000000" w:themeColor="text1"/>
                <w:sz w:val="28"/>
                <w:szCs w:val="28"/>
              </w:rPr>
              <w:fldChar w:fldCharType="begin"/>
            </w:r>
            <w:r w:rsidRPr="00BE4C7B">
              <w:rPr>
                <w:rFonts w:ascii="Arial" w:hAnsi="Arial" w:cs="Arial"/>
                <w:noProof/>
                <w:webHidden/>
                <w:color w:val="000000" w:themeColor="text1"/>
                <w:sz w:val="28"/>
                <w:szCs w:val="28"/>
              </w:rPr>
              <w:instrText xml:space="preserve"> PAGEREF _Toc197420057 \h </w:instrText>
            </w:r>
            <w:r w:rsidRPr="00BE4C7B">
              <w:rPr>
                <w:rFonts w:ascii="Arial" w:hAnsi="Arial" w:cs="Arial"/>
                <w:noProof/>
                <w:webHidden/>
                <w:color w:val="000000" w:themeColor="text1"/>
                <w:sz w:val="28"/>
                <w:szCs w:val="28"/>
              </w:rPr>
            </w:r>
            <w:r w:rsidRPr="00BE4C7B">
              <w:rPr>
                <w:rFonts w:ascii="Arial" w:hAnsi="Arial" w:cs="Arial"/>
                <w:noProof/>
                <w:webHidden/>
                <w:color w:val="000000" w:themeColor="text1"/>
                <w:sz w:val="28"/>
                <w:szCs w:val="28"/>
              </w:rPr>
              <w:fldChar w:fldCharType="separate"/>
            </w:r>
            <w:r w:rsidRPr="00BE4C7B">
              <w:rPr>
                <w:rFonts w:ascii="Arial" w:hAnsi="Arial" w:cs="Arial"/>
                <w:noProof/>
                <w:webHidden/>
                <w:color w:val="000000" w:themeColor="text1"/>
                <w:sz w:val="28"/>
                <w:szCs w:val="28"/>
              </w:rPr>
              <w:t>2</w:t>
            </w:r>
            <w:r w:rsidRPr="00BE4C7B">
              <w:rPr>
                <w:rFonts w:ascii="Arial" w:hAnsi="Arial" w:cs="Arial"/>
                <w:noProof/>
                <w:webHidden/>
                <w:color w:val="000000" w:themeColor="text1"/>
                <w:sz w:val="28"/>
                <w:szCs w:val="28"/>
              </w:rPr>
              <w:fldChar w:fldCharType="end"/>
            </w:r>
          </w:hyperlink>
        </w:p>
        <w:p w14:paraId="79119ED5" w14:textId="07CE7AF8" w:rsidR="00FB28DB" w:rsidRPr="00BE4C7B" w:rsidRDefault="00FB28DB" w:rsidP="00BE4C7B">
          <w:pPr>
            <w:pStyle w:val="TOC1"/>
            <w:tabs>
              <w:tab w:val="left" w:pos="480"/>
              <w:tab w:val="right" w:leader="dot" w:pos="10456"/>
            </w:tabs>
            <w:rPr>
              <w:rFonts w:ascii="Arial" w:eastAsiaTheme="minorEastAsia" w:hAnsi="Arial" w:cs="Arial"/>
              <w:noProof/>
              <w:color w:val="000000" w:themeColor="text1"/>
              <w:sz w:val="28"/>
              <w:szCs w:val="28"/>
              <w:lang w:eastAsia="en-GB"/>
            </w:rPr>
          </w:pPr>
          <w:hyperlink w:anchor="_Toc197420058" w:history="1">
            <w:r w:rsidRPr="00BE4C7B">
              <w:rPr>
                <w:rStyle w:val="Hyperlink"/>
                <w:rFonts w:ascii="Arial" w:hAnsi="Arial" w:cs="Arial"/>
                <w:noProof/>
                <w:color w:val="000000" w:themeColor="text1"/>
                <w:sz w:val="28"/>
                <w:szCs w:val="28"/>
              </w:rPr>
              <w:t>3.</w:t>
            </w:r>
            <w:r w:rsidRPr="00BE4C7B">
              <w:rPr>
                <w:rFonts w:ascii="Arial" w:eastAsiaTheme="minorEastAsia" w:hAnsi="Arial" w:cs="Arial"/>
                <w:noProof/>
                <w:color w:val="000000" w:themeColor="text1"/>
                <w:sz w:val="28"/>
                <w:szCs w:val="28"/>
                <w:lang w:eastAsia="en-GB"/>
              </w:rPr>
              <w:tab/>
            </w:r>
            <w:r w:rsidR="002A5370" w:rsidRPr="00BE4C7B">
              <w:rPr>
                <w:rStyle w:val="Hyperlink"/>
                <w:rFonts w:ascii="Arial" w:hAnsi="Arial" w:cs="Arial"/>
                <w:noProof/>
                <w:color w:val="000000" w:themeColor="text1"/>
                <w:sz w:val="28"/>
                <w:szCs w:val="28"/>
              </w:rPr>
              <w:t>Statutory Responsibilities</w:t>
            </w:r>
            <w:r w:rsidRPr="00BE4C7B">
              <w:rPr>
                <w:rFonts w:ascii="Arial" w:hAnsi="Arial" w:cs="Arial"/>
                <w:noProof/>
                <w:webHidden/>
                <w:color w:val="000000" w:themeColor="text1"/>
                <w:sz w:val="28"/>
                <w:szCs w:val="28"/>
              </w:rPr>
              <w:tab/>
            </w:r>
            <w:r w:rsidRPr="00BE4C7B">
              <w:rPr>
                <w:rFonts w:ascii="Arial" w:hAnsi="Arial" w:cs="Arial"/>
                <w:noProof/>
                <w:webHidden/>
                <w:color w:val="000000" w:themeColor="text1"/>
                <w:sz w:val="28"/>
                <w:szCs w:val="28"/>
              </w:rPr>
              <w:fldChar w:fldCharType="begin"/>
            </w:r>
            <w:r w:rsidRPr="00BE4C7B">
              <w:rPr>
                <w:rFonts w:ascii="Arial" w:hAnsi="Arial" w:cs="Arial"/>
                <w:noProof/>
                <w:webHidden/>
                <w:color w:val="000000" w:themeColor="text1"/>
                <w:sz w:val="28"/>
                <w:szCs w:val="28"/>
              </w:rPr>
              <w:instrText xml:space="preserve"> PAGEREF _Toc197420058 \h </w:instrText>
            </w:r>
            <w:r w:rsidRPr="00BE4C7B">
              <w:rPr>
                <w:rFonts w:ascii="Arial" w:hAnsi="Arial" w:cs="Arial"/>
                <w:noProof/>
                <w:webHidden/>
                <w:color w:val="000000" w:themeColor="text1"/>
                <w:sz w:val="28"/>
                <w:szCs w:val="28"/>
              </w:rPr>
            </w:r>
            <w:r w:rsidRPr="00BE4C7B">
              <w:rPr>
                <w:rFonts w:ascii="Arial" w:hAnsi="Arial" w:cs="Arial"/>
                <w:noProof/>
                <w:webHidden/>
                <w:color w:val="000000" w:themeColor="text1"/>
                <w:sz w:val="28"/>
                <w:szCs w:val="28"/>
              </w:rPr>
              <w:fldChar w:fldCharType="separate"/>
            </w:r>
            <w:r w:rsidRPr="00BE4C7B">
              <w:rPr>
                <w:rFonts w:ascii="Arial" w:hAnsi="Arial" w:cs="Arial"/>
                <w:noProof/>
                <w:webHidden/>
                <w:color w:val="000000" w:themeColor="text1"/>
                <w:sz w:val="28"/>
                <w:szCs w:val="28"/>
              </w:rPr>
              <w:t>2</w:t>
            </w:r>
            <w:r w:rsidRPr="00BE4C7B">
              <w:rPr>
                <w:rFonts w:ascii="Arial" w:hAnsi="Arial" w:cs="Arial"/>
                <w:noProof/>
                <w:webHidden/>
                <w:color w:val="000000" w:themeColor="text1"/>
                <w:sz w:val="28"/>
                <w:szCs w:val="28"/>
              </w:rPr>
              <w:fldChar w:fldCharType="end"/>
            </w:r>
          </w:hyperlink>
        </w:p>
        <w:p w14:paraId="34075A6C" w14:textId="00C7A6E7" w:rsidR="00FB28DB" w:rsidRPr="00BE4C7B" w:rsidRDefault="00FB28DB" w:rsidP="00BE4C7B">
          <w:pPr>
            <w:pStyle w:val="TOC1"/>
            <w:tabs>
              <w:tab w:val="left" w:pos="480"/>
              <w:tab w:val="right" w:leader="dot" w:pos="10456"/>
            </w:tabs>
            <w:rPr>
              <w:rFonts w:ascii="Arial" w:eastAsiaTheme="minorEastAsia" w:hAnsi="Arial" w:cs="Arial"/>
              <w:noProof/>
              <w:color w:val="000000" w:themeColor="text1"/>
              <w:sz w:val="28"/>
              <w:szCs w:val="28"/>
              <w:lang w:eastAsia="en-GB"/>
            </w:rPr>
          </w:pPr>
          <w:hyperlink w:anchor="_Toc197420059" w:history="1">
            <w:r w:rsidRPr="00BE4C7B">
              <w:rPr>
                <w:rStyle w:val="Hyperlink"/>
                <w:rFonts w:ascii="Arial" w:hAnsi="Arial" w:cs="Arial"/>
                <w:noProof/>
                <w:color w:val="000000" w:themeColor="text1"/>
                <w:sz w:val="28"/>
                <w:szCs w:val="28"/>
              </w:rPr>
              <w:t>4.</w:t>
            </w:r>
            <w:r w:rsidRPr="00BE4C7B">
              <w:rPr>
                <w:rFonts w:ascii="Arial" w:eastAsiaTheme="minorEastAsia" w:hAnsi="Arial" w:cs="Arial"/>
                <w:noProof/>
                <w:color w:val="000000" w:themeColor="text1"/>
                <w:sz w:val="28"/>
                <w:szCs w:val="28"/>
                <w:lang w:eastAsia="en-GB"/>
              </w:rPr>
              <w:tab/>
            </w:r>
            <w:r w:rsidR="002A5370" w:rsidRPr="00BE4C7B">
              <w:rPr>
                <w:rFonts w:ascii="Arial" w:eastAsiaTheme="minorEastAsia" w:hAnsi="Arial" w:cs="Arial"/>
                <w:noProof/>
                <w:color w:val="000000" w:themeColor="text1"/>
                <w:sz w:val="28"/>
                <w:szCs w:val="28"/>
                <w:lang w:eastAsia="en-GB"/>
              </w:rPr>
              <w:t>Progress against 2024/25 priorities</w:t>
            </w:r>
            <w:r w:rsidRPr="00BE4C7B">
              <w:rPr>
                <w:rFonts w:ascii="Arial" w:hAnsi="Arial" w:cs="Arial"/>
                <w:noProof/>
                <w:webHidden/>
                <w:color w:val="000000" w:themeColor="text1"/>
                <w:sz w:val="28"/>
                <w:szCs w:val="28"/>
              </w:rPr>
              <w:tab/>
            </w:r>
            <w:r w:rsidRPr="00BE4C7B">
              <w:rPr>
                <w:rFonts w:ascii="Arial" w:hAnsi="Arial" w:cs="Arial"/>
                <w:noProof/>
                <w:webHidden/>
                <w:color w:val="000000" w:themeColor="text1"/>
                <w:sz w:val="28"/>
                <w:szCs w:val="28"/>
              </w:rPr>
              <w:fldChar w:fldCharType="begin"/>
            </w:r>
            <w:r w:rsidRPr="00BE4C7B">
              <w:rPr>
                <w:rFonts w:ascii="Arial" w:hAnsi="Arial" w:cs="Arial"/>
                <w:noProof/>
                <w:webHidden/>
                <w:color w:val="000000" w:themeColor="text1"/>
                <w:sz w:val="28"/>
                <w:szCs w:val="28"/>
              </w:rPr>
              <w:instrText xml:space="preserve"> PAGEREF _Toc197420059 \h </w:instrText>
            </w:r>
            <w:r w:rsidRPr="00BE4C7B">
              <w:rPr>
                <w:rFonts w:ascii="Arial" w:hAnsi="Arial" w:cs="Arial"/>
                <w:noProof/>
                <w:webHidden/>
                <w:color w:val="000000" w:themeColor="text1"/>
                <w:sz w:val="28"/>
                <w:szCs w:val="28"/>
              </w:rPr>
            </w:r>
            <w:r w:rsidRPr="00BE4C7B">
              <w:rPr>
                <w:rFonts w:ascii="Arial" w:hAnsi="Arial" w:cs="Arial"/>
                <w:noProof/>
                <w:webHidden/>
                <w:color w:val="000000" w:themeColor="text1"/>
                <w:sz w:val="28"/>
                <w:szCs w:val="28"/>
              </w:rPr>
              <w:fldChar w:fldCharType="separate"/>
            </w:r>
            <w:r w:rsidRPr="00BE4C7B">
              <w:rPr>
                <w:rFonts w:ascii="Arial" w:hAnsi="Arial" w:cs="Arial"/>
                <w:noProof/>
                <w:webHidden/>
                <w:color w:val="000000" w:themeColor="text1"/>
                <w:sz w:val="28"/>
                <w:szCs w:val="28"/>
              </w:rPr>
              <w:t>2</w:t>
            </w:r>
            <w:r w:rsidRPr="00BE4C7B">
              <w:rPr>
                <w:rFonts w:ascii="Arial" w:hAnsi="Arial" w:cs="Arial"/>
                <w:noProof/>
                <w:webHidden/>
                <w:color w:val="000000" w:themeColor="text1"/>
                <w:sz w:val="28"/>
                <w:szCs w:val="28"/>
              </w:rPr>
              <w:fldChar w:fldCharType="end"/>
            </w:r>
          </w:hyperlink>
        </w:p>
        <w:p w14:paraId="1924C39E" w14:textId="51481DBF" w:rsidR="00FB28DB" w:rsidRPr="00BE4C7B" w:rsidRDefault="00FB28DB" w:rsidP="00BE4C7B">
          <w:pPr>
            <w:pStyle w:val="TOC1"/>
            <w:tabs>
              <w:tab w:val="left" w:pos="480"/>
              <w:tab w:val="right" w:leader="dot" w:pos="10456"/>
            </w:tabs>
            <w:rPr>
              <w:rFonts w:ascii="Arial" w:eastAsiaTheme="minorEastAsia" w:hAnsi="Arial" w:cs="Arial"/>
              <w:noProof/>
              <w:color w:val="000000" w:themeColor="text1"/>
              <w:sz w:val="28"/>
              <w:szCs w:val="28"/>
              <w:lang w:eastAsia="en-GB"/>
            </w:rPr>
          </w:pPr>
          <w:hyperlink w:anchor="_Toc197420060" w:history="1">
            <w:r w:rsidRPr="00BE4C7B">
              <w:rPr>
                <w:rStyle w:val="Hyperlink"/>
                <w:rFonts w:ascii="Arial" w:hAnsi="Arial" w:cs="Arial"/>
                <w:noProof/>
                <w:color w:val="000000" w:themeColor="text1"/>
                <w:sz w:val="28"/>
                <w:szCs w:val="28"/>
              </w:rPr>
              <w:t>5.</w:t>
            </w:r>
            <w:r w:rsidRPr="00BE4C7B">
              <w:rPr>
                <w:rFonts w:ascii="Arial" w:eastAsiaTheme="minorEastAsia" w:hAnsi="Arial" w:cs="Arial"/>
                <w:noProof/>
                <w:color w:val="000000" w:themeColor="text1"/>
                <w:sz w:val="28"/>
                <w:szCs w:val="28"/>
                <w:lang w:eastAsia="en-GB"/>
              </w:rPr>
              <w:tab/>
            </w:r>
            <w:r w:rsidR="002A5370" w:rsidRPr="00BE4C7B">
              <w:rPr>
                <w:rFonts w:ascii="Arial" w:eastAsiaTheme="minorEastAsia" w:hAnsi="Arial" w:cs="Arial"/>
                <w:noProof/>
                <w:color w:val="000000" w:themeColor="text1"/>
                <w:sz w:val="28"/>
                <w:szCs w:val="28"/>
                <w:lang w:eastAsia="en-GB"/>
              </w:rPr>
              <w:t>Ambitions for 2025/26</w:t>
            </w:r>
            <w:r w:rsidRPr="00BE4C7B">
              <w:rPr>
                <w:rFonts w:ascii="Arial" w:hAnsi="Arial" w:cs="Arial"/>
                <w:noProof/>
                <w:webHidden/>
                <w:color w:val="000000" w:themeColor="text1"/>
                <w:sz w:val="28"/>
                <w:szCs w:val="28"/>
              </w:rPr>
              <w:tab/>
            </w:r>
            <w:r w:rsidRPr="00BE4C7B">
              <w:rPr>
                <w:rFonts w:ascii="Arial" w:hAnsi="Arial" w:cs="Arial"/>
                <w:noProof/>
                <w:webHidden/>
                <w:color w:val="000000" w:themeColor="text1"/>
                <w:sz w:val="28"/>
                <w:szCs w:val="28"/>
              </w:rPr>
              <w:fldChar w:fldCharType="begin"/>
            </w:r>
            <w:r w:rsidRPr="00BE4C7B">
              <w:rPr>
                <w:rFonts w:ascii="Arial" w:hAnsi="Arial" w:cs="Arial"/>
                <w:noProof/>
                <w:webHidden/>
                <w:color w:val="000000" w:themeColor="text1"/>
                <w:sz w:val="28"/>
                <w:szCs w:val="28"/>
              </w:rPr>
              <w:instrText xml:space="preserve"> PAGEREF _Toc197420060 \h </w:instrText>
            </w:r>
            <w:r w:rsidRPr="00BE4C7B">
              <w:rPr>
                <w:rFonts w:ascii="Arial" w:hAnsi="Arial" w:cs="Arial"/>
                <w:noProof/>
                <w:webHidden/>
                <w:color w:val="000000" w:themeColor="text1"/>
                <w:sz w:val="28"/>
                <w:szCs w:val="28"/>
              </w:rPr>
            </w:r>
            <w:r w:rsidRPr="00BE4C7B">
              <w:rPr>
                <w:rFonts w:ascii="Arial" w:hAnsi="Arial" w:cs="Arial"/>
                <w:noProof/>
                <w:webHidden/>
                <w:color w:val="000000" w:themeColor="text1"/>
                <w:sz w:val="28"/>
                <w:szCs w:val="28"/>
              </w:rPr>
              <w:fldChar w:fldCharType="separate"/>
            </w:r>
            <w:r w:rsidRPr="00BE4C7B">
              <w:rPr>
                <w:rFonts w:ascii="Arial" w:hAnsi="Arial" w:cs="Arial"/>
                <w:noProof/>
                <w:webHidden/>
                <w:color w:val="000000" w:themeColor="text1"/>
                <w:sz w:val="28"/>
                <w:szCs w:val="28"/>
              </w:rPr>
              <w:t>2</w:t>
            </w:r>
            <w:r w:rsidRPr="00BE4C7B">
              <w:rPr>
                <w:rFonts w:ascii="Arial" w:hAnsi="Arial" w:cs="Arial"/>
                <w:noProof/>
                <w:webHidden/>
                <w:color w:val="000000" w:themeColor="text1"/>
                <w:sz w:val="28"/>
                <w:szCs w:val="28"/>
              </w:rPr>
              <w:fldChar w:fldCharType="end"/>
            </w:r>
          </w:hyperlink>
        </w:p>
        <w:p w14:paraId="32714AD5" w14:textId="2858908E" w:rsidR="00FB28DB" w:rsidRPr="00BE4C7B" w:rsidRDefault="00FB28DB" w:rsidP="00BE4C7B">
          <w:pPr>
            <w:pStyle w:val="TOC1"/>
            <w:tabs>
              <w:tab w:val="left" w:pos="480"/>
              <w:tab w:val="right" w:leader="dot" w:pos="10456"/>
            </w:tabs>
            <w:rPr>
              <w:rFonts w:ascii="Arial" w:eastAsiaTheme="minorEastAsia" w:hAnsi="Arial" w:cs="Arial"/>
              <w:noProof/>
              <w:color w:val="000000" w:themeColor="text1"/>
              <w:sz w:val="28"/>
              <w:szCs w:val="28"/>
              <w:lang w:eastAsia="en-GB"/>
            </w:rPr>
          </w:pPr>
          <w:hyperlink w:anchor="_Toc197420061" w:history="1">
            <w:r w:rsidRPr="00BE4C7B">
              <w:rPr>
                <w:rStyle w:val="Hyperlink"/>
                <w:rFonts w:ascii="Arial" w:hAnsi="Arial" w:cs="Arial"/>
                <w:noProof/>
                <w:color w:val="000000" w:themeColor="text1"/>
                <w:sz w:val="28"/>
                <w:szCs w:val="28"/>
              </w:rPr>
              <w:t>6.</w:t>
            </w:r>
            <w:r w:rsidRPr="00BE4C7B">
              <w:rPr>
                <w:rFonts w:ascii="Arial" w:eastAsiaTheme="minorEastAsia" w:hAnsi="Arial" w:cs="Arial"/>
                <w:noProof/>
                <w:color w:val="000000" w:themeColor="text1"/>
                <w:sz w:val="28"/>
                <w:szCs w:val="28"/>
                <w:lang w:eastAsia="en-GB"/>
              </w:rPr>
              <w:tab/>
            </w:r>
            <w:r w:rsidR="002A5370" w:rsidRPr="00BE4C7B">
              <w:rPr>
                <w:rFonts w:ascii="Arial" w:eastAsiaTheme="minorEastAsia" w:hAnsi="Arial" w:cs="Arial"/>
                <w:noProof/>
                <w:color w:val="000000" w:themeColor="text1"/>
                <w:sz w:val="28"/>
                <w:szCs w:val="28"/>
                <w:lang w:eastAsia="en-GB"/>
              </w:rPr>
              <w:t>Conclusion</w:t>
            </w:r>
            <w:r w:rsidRPr="00BE4C7B">
              <w:rPr>
                <w:rFonts w:ascii="Arial" w:hAnsi="Arial" w:cs="Arial"/>
                <w:noProof/>
                <w:webHidden/>
                <w:color w:val="000000" w:themeColor="text1"/>
                <w:sz w:val="28"/>
                <w:szCs w:val="28"/>
              </w:rPr>
              <w:tab/>
            </w:r>
            <w:r w:rsidRPr="00BE4C7B">
              <w:rPr>
                <w:rFonts w:ascii="Arial" w:hAnsi="Arial" w:cs="Arial"/>
                <w:noProof/>
                <w:webHidden/>
                <w:color w:val="000000" w:themeColor="text1"/>
                <w:sz w:val="28"/>
                <w:szCs w:val="28"/>
              </w:rPr>
              <w:fldChar w:fldCharType="begin"/>
            </w:r>
            <w:r w:rsidRPr="00BE4C7B">
              <w:rPr>
                <w:rFonts w:ascii="Arial" w:hAnsi="Arial" w:cs="Arial"/>
                <w:noProof/>
                <w:webHidden/>
                <w:color w:val="000000" w:themeColor="text1"/>
                <w:sz w:val="28"/>
                <w:szCs w:val="28"/>
              </w:rPr>
              <w:instrText xml:space="preserve"> PAGEREF _Toc197420061 \h </w:instrText>
            </w:r>
            <w:r w:rsidRPr="00BE4C7B">
              <w:rPr>
                <w:rFonts w:ascii="Arial" w:hAnsi="Arial" w:cs="Arial"/>
                <w:noProof/>
                <w:webHidden/>
                <w:color w:val="000000" w:themeColor="text1"/>
                <w:sz w:val="28"/>
                <w:szCs w:val="28"/>
              </w:rPr>
            </w:r>
            <w:r w:rsidRPr="00BE4C7B">
              <w:rPr>
                <w:rFonts w:ascii="Arial" w:hAnsi="Arial" w:cs="Arial"/>
                <w:noProof/>
                <w:webHidden/>
                <w:color w:val="000000" w:themeColor="text1"/>
                <w:sz w:val="28"/>
                <w:szCs w:val="28"/>
              </w:rPr>
              <w:fldChar w:fldCharType="separate"/>
            </w:r>
            <w:r w:rsidRPr="00BE4C7B">
              <w:rPr>
                <w:rFonts w:ascii="Arial" w:hAnsi="Arial" w:cs="Arial"/>
                <w:noProof/>
                <w:webHidden/>
                <w:color w:val="000000" w:themeColor="text1"/>
                <w:sz w:val="28"/>
                <w:szCs w:val="28"/>
              </w:rPr>
              <w:t>2</w:t>
            </w:r>
            <w:r w:rsidRPr="00BE4C7B">
              <w:rPr>
                <w:rFonts w:ascii="Arial" w:hAnsi="Arial" w:cs="Arial"/>
                <w:noProof/>
                <w:webHidden/>
                <w:color w:val="000000" w:themeColor="text1"/>
                <w:sz w:val="28"/>
                <w:szCs w:val="28"/>
              </w:rPr>
              <w:fldChar w:fldCharType="end"/>
            </w:r>
          </w:hyperlink>
        </w:p>
        <w:p w14:paraId="6CD572FC" w14:textId="13F7A287" w:rsidR="00F509F7" w:rsidRPr="00FC4F38" w:rsidRDefault="00F509F7" w:rsidP="00FB28DB">
          <w:pPr>
            <w:rPr>
              <w:rFonts w:ascii="Arial" w:hAnsi="Arial" w:cs="Arial"/>
              <w:color w:val="000000" w:themeColor="text1"/>
            </w:rPr>
          </w:pPr>
          <w:r w:rsidRPr="00FC4F38">
            <w:rPr>
              <w:rFonts w:ascii="Arial" w:hAnsi="Arial" w:cs="Arial"/>
              <w:b/>
              <w:bCs/>
              <w:color w:val="000000" w:themeColor="text1"/>
            </w:rPr>
            <w:fldChar w:fldCharType="end"/>
          </w:r>
        </w:p>
      </w:sdtContent>
    </w:sdt>
    <w:p w14:paraId="1CCDAC04" w14:textId="77777777" w:rsidR="00D23EEB" w:rsidRPr="00FC4F38" w:rsidRDefault="00D23EEB" w:rsidP="00D23EEB">
      <w:pPr>
        <w:rPr>
          <w:rFonts w:ascii="Arial" w:hAnsi="Arial" w:cs="Arial"/>
          <w:color w:val="000000" w:themeColor="text1"/>
          <w:sz w:val="32"/>
          <w:szCs w:val="32"/>
        </w:rPr>
        <w:sectPr w:rsidR="00D23EEB" w:rsidRPr="00FC4F38" w:rsidSect="00D23EEB">
          <w:headerReference w:type="default" r:id="rId18"/>
          <w:footerReference w:type="default" r:id="rId19"/>
          <w:pgSz w:w="11906" w:h="16838"/>
          <w:pgMar w:top="720" w:right="720" w:bottom="720" w:left="720" w:header="708" w:footer="708" w:gutter="0"/>
          <w:cols w:space="708"/>
          <w:docGrid w:linePitch="360"/>
        </w:sectPr>
      </w:pPr>
    </w:p>
    <w:p w14:paraId="33509228" w14:textId="34D86AC7" w:rsidR="00DD0DF9" w:rsidRPr="00B06E27" w:rsidRDefault="00D23EEB" w:rsidP="00DD0DF9">
      <w:pPr>
        <w:pStyle w:val="Heading1"/>
        <w:rPr>
          <w:color w:val="003087"/>
        </w:rPr>
      </w:pPr>
      <w:bookmarkStart w:id="2" w:name="_Toc197420056"/>
      <w:r w:rsidRPr="00FB28DB">
        <w:rPr>
          <w:color w:val="003087"/>
        </w:rPr>
        <w:lastRenderedPageBreak/>
        <w:t>Executive Summary</w:t>
      </w:r>
      <w:bookmarkEnd w:id="2"/>
    </w:p>
    <w:p w14:paraId="095A216A" w14:textId="78646C9A" w:rsidR="00FC4F38" w:rsidRDefault="00B06E27" w:rsidP="0082551C">
      <w:pPr>
        <w:spacing w:after="0" w:line="240" w:lineRule="auto"/>
        <w:rPr>
          <w:rFonts w:ascii="Arial" w:hAnsi="Arial" w:cs="Arial"/>
          <w:color w:val="000000" w:themeColor="text1"/>
          <w:sz w:val="24"/>
          <w:szCs w:val="24"/>
        </w:rPr>
      </w:pPr>
      <w:r w:rsidRPr="0082551C">
        <w:rPr>
          <w:rFonts w:ascii="Arial" w:hAnsi="Arial" w:cs="Arial"/>
          <w:color w:val="000000" w:themeColor="text1"/>
          <w:sz w:val="24"/>
          <w:szCs w:val="24"/>
        </w:rPr>
        <w:t>The safeguarding of children, young people and adults who are at risk is a fundamental obligation for everyone who works in the NHS and its partner agencies.</w:t>
      </w:r>
      <w:r w:rsidR="0082551C">
        <w:rPr>
          <w:rFonts w:ascii="Arial" w:hAnsi="Arial" w:cs="Arial"/>
          <w:color w:val="000000" w:themeColor="text1"/>
          <w:sz w:val="24"/>
          <w:szCs w:val="24"/>
        </w:rPr>
        <w:t xml:space="preserve"> </w:t>
      </w:r>
      <w:r w:rsidRPr="0082551C">
        <w:rPr>
          <w:rFonts w:ascii="Arial" w:hAnsi="Arial" w:cs="Arial"/>
          <w:color w:val="000000" w:themeColor="text1"/>
          <w:sz w:val="24"/>
          <w:szCs w:val="24"/>
        </w:rPr>
        <w:t>2024</w:t>
      </w:r>
      <w:r w:rsidR="002A5370" w:rsidRPr="0082551C">
        <w:rPr>
          <w:rFonts w:ascii="Arial" w:hAnsi="Arial" w:cs="Arial"/>
          <w:color w:val="000000" w:themeColor="text1"/>
          <w:sz w:val="24"/>
          <w:szCs w:val="24"/>
        </w:rPr>
        <w:t xml:space="preserve">/2025 </w:t>
      </w:r>
      <w:r w:rsidRPr="0082551C">
        <w:rPr>
          <w:rFonts w:ascii="Arial" w:hAnsi="Arial" w:cs="Arial"/>
          <w:color w:val="000000" w:themeColor="text1"/>
          <w:sz w:val="24"/>
          <w:szCs w:val="24"/>
        </w:rPr>
        <w:t xml:space="preserve">has seen significant changes across our healthcare system </w:t>
      </w:r>
      <w:r w:rsidR="002A5370" w:rsidRPr="0082551C">
        <w:rPr>
          <w:rFonts w:ascii="Arial" w:hAnsi="Arial" w:cs="Arial"/>
          <w:color w:val="000000" w:themeColor="text1"/>
          <w:sz w:val="24"/>
          <w:szCs w:val="24"/>
        </w:rPr>
        <w:t>and across the wider safeguarding system, the impact of which is outlined within this report.</w:t>
      </w:r>
    </w:p>
    <w:p w14:paraId="386AB98C" w14:textId="77777777" w:rsidR="0082551C" w:rsidRPr="0082551C" w:rsidRDefault="0082551C" w:rsidP="0082551C">
      <w:pPr>
        <w:spacing w:after="0" w:line="240" w:lineRule="auto"/>
        <w:rPr>
          <w:rFonts w:ascii="Arial" w:hAnsi="Arial" w:cs="Arial"/>
          <w:color w:val="FF0000"/>
          <w:sz w:val="24"/>
          <w:szCs w:val="24"/>
        </w:rPr>
      </w:pPr>
    </w:p>
    <w:p w14:paraId="7C952636" w14:textId="02F8E70A" w:rsidR="00B06E27" w:rsidRDefault="00B06E27" w:rsidP="0082551C">
      <w:pPr>
        <w:spacing w:after="0" w:line="240" w:lineRule="auto"/>
        <w:rPr>
          <w:rFonts w:ascii="Arial" w:hAnsi="Arial" w:cs="Arial"/>
          <w:color w:val="000000" w:themeColor="text1"/>
          <w:sz w:val="24"/>
          <w:szCs w:val="24"/>
        </w:rPr>
      </w:pPr>
      <w:r w:rsidRPr="0082551C">
        <w:rPr>
          <w:rFonts w:ascii="Arial" w:hAnsi="Arial" w:cs="Arial"/>
          <w:color w:val="000000" w:themeColor="text1"/>
          <w:sz w:val="24"/>
          <w:szCs w:val="24"/>
        </w:rPr>
        <w:t xml:space="preserve">As this report </w:t>
      </w:r>
      <w:r w:rsidR="002A5370" w:rsidRPr="0082551C">
        <w:rPr>
          <w:rFonts w:ascii="Arial" w:hAnsi="Arial" w:cs="Arial"/>
          <w:color w:val="000000" w:themeColor="text1"/>
          <w:sz w:val="24"/>
          <w:szCs w:val="24"/>
        </w:rPr>
        <w:t>was</w:t>
      </w:r>
      <w:r w:rsidRPr="0082551C">
        <w:rPr>
          <w:rFonts w:ascii="Arial" w:hAnsi="Arial" w:cs="Arial"/>
          <w:color w:val="000000" w:themeColor="text1"/>
          <w:sz w:val="24"/>
          <w:szCs w:val="24"/>
        </w:rPr>
        <w:t xml:space="preserve"> being written consideration ha</w:t>
      </w:r>
      <w:r w:rsidR="002A5370" w:rsidRPr="0082551C">
        <w:rPr>
          <w:rFonts w:ascii="Arial" w:hAnsi="Arial" w:cs="Arial"/>
          <w:color w:val="000000" w:themeColor="text1"/>
          <w:sz w:val="24"/>
          <w:szCs w:val="24"/>
        </w:rPr>
        <w:t>d</w:t>
      </w:r>
      <w:r w:rsidRPr="0082551C">
        <w:rPr>
          <w:rFonts w:ascii="Arial" w:hAnsi="Arial" w:cs="Arial"/>
          <w:color w:val="000000" w:themeColor="text1"/>
          <w:sz w:val="24"/>
          <w:szCs w:val="24"/>
        </w:rPr>
        <w:t xml:space="preserve"> to be given to the implementation of the Children’s Social Care Reforms, the impact of Working Together to Safeguard Children published in December 2023, government strategy and revised legislation for multi-agency safeguarding arrangements.</w:t>
      </w:r>
    </w:p>
    <w:p w14:paraId="3B2FFE84" w14:textId="77777777" w:rsidR="0082551C" w:rsidRPr="0082551C" w:rsidRDefault="0082551C" w:rsidP="0082551C">
      <w:pPr>
        <w:spacing w:after="0" w:line="240" w:lineRule="auto"/>
        <w:rPr>
          <w:rFonts w:ascii="Arial" w:hAnsi="Arial" w:cs="Arial"/>
          <w:color w:val="000000" w:themeColor="text1"/>
          <w:sz w:val="24"/>
          <w:szCs w:val="24"/>
        </w:rPr>
      </w:pPr>
    </w:p>
    <w:p w14:paraId="4462058F" w14:textId="18F569DE" w:rsidR="0082551C" w:rsidRPr="0082551C" w:rsidRDefault="0082551C" w:rsidP="0082551C">
      <w:pPr>
        <w:spacing w:after="0" w:line="240" w:lineRule="auto"/>
        <w:rPr>
          <w:rFonts w:ascii="Arial" w:hAnsi="Arial" w:cs="Arial"/>
          <w:sz w:val="24"/>
          <w:szCs w:val="24"/>
        </w:rPr>
      </w:pPr>
      <w:r w:rsidRPr="0082551C">
        <w:rPr>
          <w:rFonts w:ascii="Arial" w:hAnsi="Arial" w:cs="Arial"/>
          <w:sz w:val="24"/>
          <w:szCs w:val="24"/>
        </w:rPr>
        <w:t>This report relates to the work of the Safeguarding Children Team in the ICB and the following:</w:t>
      </w:r>
    </w:p>
    <w:p w14:paraId="7F7C10EB" w14:textId="2A48D49F" w:rsidR="0082551C" w:rsidRPr="0082551C" w:rsidRDefault="0082551C" w:rsidP="0082551C">
      <w:pPr>
        <w:numPr>
          <w:ilvl w:val="0"/>
          <w:numId w:val="23"/>
        </w:numPr>
        <w:spacing w:after="0" w:line="240" w:lineRule="auto"/>
        <w:rPr>
          <w:rFonts w:ascii="Arial" w:hAnsi="Arial" w:cs="Arial"/>
          <w:sz w:val="24"/>
          <w:szCs w:val="24"/>
        </w:rPr>
      </w:pPr>
      <w:r w:rsidRPr="0082551C">
        <w:rPr>
          <w:rFonts w:ascii="Arial" w:hAnsi="Arial" w:cs="Arial"/>
          <w:sz w:val="24"/>
          <w:szCs w:val="24"/>
        </w:rPr>
        <w:t>Details the arrangements in place to safeguard children within Somerset and the services commissioned by NHS Somerset (ICB).</w:t>
      </w:r>
    </w:p>
    <w:p w14:paraId="55A1FCA2" w14:textId="55098D96" w:rsidR="0082551C" w:rsidRPr="0082551C" w:rsidRDefault="0082551C" w:rsidP="0082551C">
      <w:pPr>
        <w:numPr>
          <w:ilvl w:val="0"/>
          <w:numId w:val="23"/>
        </w:numPr>
        <w:spacing w:after="0" w:line="240" w:lineRule="auto"/>
        <w:rPr>
          <w:rFonts w:ascii="Arial" w:hAnsi="Arial" w:cs="Arial"/>
          <w:sz w:val="24"/>
          <w:szCs w:val="24"/>
        </w:rPr>
      </w:pPr>
      <w:r w:rsidRPr="0082551C">
        <w:rPr>
          <w:rFonts w:ascii="Arial" w:hAnsi="Arial" w:cs="Arial"/>
          <w:sz w:val="24"/>
          <w:szCs w:val="24"/>
        </w:rPr>
        <w:t>Sets out the context for safeguarding children arrangements in the Somerset ICB.</w:t>
      </w:r>
    </w:p>
    <w:p w14:paraId="4265B708" w14:textId="584DC1FB" w:rsidR="0082551C" w:rsidRPr="0082551C" w:rsidRDefault="0082551C" w:rsidP="0082551C">
      <w:pPr>
        <w:numPr>
          <w:ilvl w:val="0"/>
          <w:numId w:val="23"/>
        </w:numPr>
        <w:spacing w:after="0" w:line="240" w:lineRule="auto"/>
        <w:rPr>
          <w:rFonts w:ascii="Arial" w:hAnsi="Arial" w:cs="Arial"/>
          <w:sz w:val="24"/>
          <w:szCs w:val="24"/>
        </w:rPr>
      </w:pPr>
      <w:r w:rsidRPr="0082551C">
        <w:rPr>
          <w:rFonts w:ascii="Arial" w:hAnsi="Arial" w:cs="Arial"/>
          <w:sz w:val="24"/>
          <w:szCs w:val="24"/>
        </w:rPr>
        <w:t>Demonstrates how the ICB is fulfilling the statutory safeguarding children responsibilities.</w:t>
      </w:r>
    </w:p>
    <w:p w14:paraId="532B8220" w14:textId="7978B915" w:rsidR="0082551C" w:rsidRPr="0082551C" w:rsidRDefault="0082551C" w:rsidP="0082551C">
      <w:pPr>
        <w:numPr>
          <w:ilvl w:val="0"/>
          <w:numId w:val="23"/>
        </w:numPr>
        <w:spacing w:after="0" w:line="240" w:lineRule="auto"/>
        <w:rPr>
          <w:rFonts w:ascii="Arial" w:hAnsi="Arial" w:cs="Arial"/>
          <w:sz w:val="24"/>
          <w:szCs w:val="24"/>
        </w:rPr>
      </w:pPr>
      <w:r w:rsidRPr="0082551C">
        <w:rPr>
          <w:rFonts w:ascii="Arial" w:hAnsi="Arial" w:cs="Arial"/>
          <w:sz w:val="24"/>
          <w:szCs w:val="24"/>
        </w:rPr>
        <w:t>Reports on governance and accountability arrangements within the ICB, and the ICB</w:t>
      </w:r>
      <w:r>
        <w:rPr>
          <w:rFonts w:ascii="Arial" w:hAnsi="Arial" w:cs="Arial"/>
          <w:sz w:val="24"/>
          <w:szCs w:val="24"/>
        </w:rPr>
        <w:t>’s</w:t>
      </w:r>
      <w:r w:rsidRPr="0082551C">
        <w:rPr>
          <w:rFonts w:ascii="Arial" w:hAnsi="Arial" w:cs="Arial"/>
          <w:sz w:val="24"/>
          <w:szCs w:val="24"/>
        </w:rPr>
        <w:t xml:space="preserve"> role in the</w:t>
      </w:r>
      <w:r>
        <w:rPr>
          <w:rFonts w:ascii="Arial" w:hAnsi="Arial" w:cs="Arial"/>
          <w:sz w:val="24"/>
          <w:szCs w:val="24"/>
        </w:rPr>
        <w:t xml:space="preserve"> local and regional</w:t>
      </w:r>
      <w:r w:rsidRPr="0082551C">
        <w:rPr>
          <w:rFonts w:ascii="Arial" w:hAnsi="Arial" w:cs="Arial"/>
          <w:sz w:val="24"/>
          <w:szCs w:val="24"/>
        </w:rPr>
        <w:t xml:space="preserve"> </w:t>
      </w:r>
      <w:r>
        <w:rPr>
          <w:rFonts w:ascii="Arial" w:hAnsi="Arial" w:cs="Arial"/>
          <w:sz w:val="24"/>
          <w:szCs w:val="24"/>
        </w:rPr>
        <w:t>statutory</w:t>
      </w:r>
      <w:r w:rsidRPr="0082551C">
        <w:rPr>
          <w:rFonts w:ascii="Arial" w:hAnsi="Arial" w:cs="Arial"/>
          <w:sz w:val="24"/>
          <w:szCs w:val="24"/>
        </w:rPr>
        <w:t xml:space="preserve"> Safeguarding Partnership</w:t>
      </w:r>
      <w:r>
        <w:rPr>
          <w:rFonts w:ascii="Arial" w:hAnsi="Arial" w:cs="Arial"/>
          <w:sz w:val="24"/>
          <w:szCs w:val="24"/>
        </w:rPr>
        <w:t xml:space="preserve">s </w:t>
      </w:r>
      <w:r w:rsidRPr="0082551C">
        <w:rPr>
          <w:rFonts w:ascii="Arial" w:hAnsi="Arial" w:cs="Arial"/>
          <w:sz w:val="24"/>
          <w:szCs w:val="24"/>
        </w:rPr>
        <w:t xml:space="preserve">and </w:t>
      </w:r>
      <w:r>
        <w:rPr>
          <w:rFonts w:ascii="Arial" w:hAnsi="Arial" w:cs="Arial"/>
          <w:sz w:val="24"/>
          <w:szCs w:val="24"/>
        </w:rPr>
        <w:t>their</w:t>
      </w:r>
      <w:r w:rsidRPr="0082551C">
        <w:rPr>
          <w:rFonts w:ascii="Arial" w:hAnsi="Arial" w:cs="Arial"/>
          <w:sz w:val="24"/>
          <w:szCs w:val="24"/>
        </w:rPr>
        <w:t xml:space="preserve"> subgroups.</w:t>
      </w:r>
    </w:p>
    <w:p w14:paraId="472BE5C2" w14:textId="77777777" w:rsidR="0082551C" w:rsidRPr="0082551C" w:rsidRDefault="0082551C" w:rsidP="0082551C">
      <w:pPr>
        <w:numPr>
          <w:ilvl w:val="0"/>
          <w:numId w:val="23"/>
        </w:numPr>
        <w:spacing w:after="0" w:line="240" w:lineRule="auto"/>
        <w:rPr>
          <w:rFonts w:ascii="Arial" w:hAnsi="Arial" w:cs="Arial"/>
          <w:sz w:val="24"/>
          <w:szCs w:val="24"/>
        </w:rPr>
      </w:pPr>
      <w:r w:rsidRPr="0082551C">
        <w:rPr>
          <w:rFonts w:ascii="Arial" w:hAnsi="Arial" w:cs="Arial"/>
          <w:sz w:val="24"/>
          <w:szCs w:val="24"/>
        </w:rPr>
        <w:t>Highlights achievements and identifies current safeguarding children risks in provision within health services.</w:t>
      </w:r>
    </w:p>
    <w:p w14:paraId="6F420D01" w14:textId="177BE157" w:rsidR="0082551C" w:rsidRDefault="0082551C" w:rsidP="0082551C">
      <w:pPr>
        <w:numPr>
          <w:ilvl w:val="0"/>
          <w:numId w:val="23"/>
        </w:numPr>
        <w:spacing w:after="0" w:line="240" w:lineRule="auto"/>
        <w:rPr>
          <w:rFonts w:ascii="Arial" w:hAnsi="Arial" w:cs="Arial"/>
          <w:sz w:val="24"/>
          <w:szCs w:val="24"/>
        </w:rPr>
      </w:pPr>
      <w:r w:rsidRPr="0082551C">
        <w:rPr>
          <w:rFonts w:ascii="Arial" w:hAnsi="Arial" w:cs="Arial"/>
          <w:sz w:val="24"/>
          <w:szCs w:val="24"/>
        </w:rPr>
        <w:t xml:space="preserve">Provides assurance </w:t>
      </w:r>
      <w:r w:rsidR="00205A70">
        <w:rPr>
          <w:rFonts w:ascii="Arial" w:hAnsi="Arial" w:cs="Arial"/>
          <w:sz w:val="24"/>
          <w:szCs w:val="24"/>
        </w:rPr>
        <w:t>on the progress of</w:t>
      </w:r>
      <w:r w:rsidRPr="0082551C">
        <w:rPr>
          <w:rFonts w:ascii="Arial" w:hAnsi="Arial" w:cs="Arial"/>
          <w:sz w:val="24"/>
          <w:szCs w:val="24"/>
        </w:rPr>
        <w:t xml:space="preserve"> the safeguarding children 202</w:t>
      </w:r>
      <w:r>
        <w:rPr>
          <w:rFonts w:ascii="Arial" w:hAnsi="Arial" w:cs="Arial"/>
          <w:sz w:val="24"/>
          <w:szCs w:val="24"/>
        </w:rPr>
        <w:t>4</w:t>
      </w:r>
      <w:r w:rsidRPr="0082551C">
        <w:rPr>
          <w:rFonts w:ascii="Arial" w:hAnsi="Arial" w:cs="Arial"/>
          <w:sz w:val="24"/>
          <w:szCs w:val="24"/>
        </w:rPr>
        <w:t>/202</w:t>
      </w:r>
      <w:r>
        <w:rPr>
          <w:rFonts w:ascii="Arial" w:hAnsi="Arial" w:cs="Arial"/>
          <w:sz w:val="24"/>
          <w:szCs w:val="24"/>
        </w:rPr>
        <w:t>5</w:t>
      </w:r>
      <w:r w:rsidRPr="0082551C">
        <w:rPr>
          <w:rFonts w:ascii="Arial" w:hAnsi="Arial" w:cs="Arial"/>
          <w:sz w:val="24"/>
          <w:szCs w:val="24"/>
        </w:rPr>
        <w:t xml:space="preserve"> objectives.  </w:t>
      </w:r>
    </w:p>
    <w:p w14:paraId="6C85696E" w14:textId="5D285497" w:rsidR="0082551C" w:rsidRPr="0082551C" w:rsidRDefault="0082551C" w:rsidP="0082551C">
      <w:pPr>
        <w:numPr>
          <w:ilvl w:val="0"/>
          <w:numId w:val="23"/>
        </w:numPr>
        <w:spacing w:after="0" w:line="240" w:lineRule="auto"/>
        <w:rPr>
          <w:rFonts w:ascii="Arial" w:hAnsi="Arial" w:cs="Arial"/>
          <w:sz w:val="24"/>
          <w:szCs w:val="24"/>
        </w:rPr>
      </w:pPr>
      <w:r w:rsidRPr="0082551C">
        <w:rPr>
          <w:rFonts w:ascii="Arial" w:hAnsi="Arial" w:cs="Arial"/>
          <w:sz w:val="24"/>
          <w:szCs w:val="24"/>
        </w:rPr>
        <w:t xml:space="preserve">Identifies the ICBs safeguarding children </w:t>
      </w:r>
      <w:r>
        <w:rPr>
          <w:rFonts w:ascii="Arial" w:hAnsi="Arial" w:cs="Arial"/>
          <w:sz w:val="24"/>
          <w:szCs w:val="24"/>
        </w:rPr>
        <w:t xml:space="preserve">ambitions for </w:t>
      </w:r>
      <w:r w:rsidRPr="0082551C">
        <w:rPr>
          <w:rFonts w:ascii="Arial" w:hAnsi="Arial" w:cs="Arial"/>
          <w:sz w:val="24"/>
          <w:szCs w:val="24"/>
        </w:rPr>
        <w:t>202</w:t>
      </w:r>
      <w:r>
        <w:rPr>
          <w:rFonts w:ascii="Arial" w:hAnsi="Arial" w:cs="Arial"/>
          <w:sz w:val="24"/>
          <w:szCs w:val="24"/>
        </w:rPr>
        <w:t>5</w:t>
      </w:r>
      <w:r w:rsidRPr="0082551C">
        <w:rPr>
          <w:rFonts w:ascii="Arial" w:hAnsi="Arial" w:cs="Arial"/>
          <w:sz w:val="24"/>
          <w:szCs w:val="24"/>
        </w:rPr>
        <w:t>/202</w:t>
      </w:r>
      <w:r>
        <w:rPr>
          <w:rFonts w:ascii="Arial" w:hAnsi="Arial" w:cs="Arial"/>
          <w:sz w:val="24"/>
          <w:szCs w:val="24"/>
        </w:rPr>
        <w:t>6</w:t>
      </w:r>
      <w:r w:rsidRPr="0082551C">
        <w:rPr>
          <w:rFonts w:ascii="Arial" w:hAnsi="Arial" w:cs="Arial"/>
          <w:sz w:val="24"/>
          <w:szCs w:val="24"/>
        </w:rPr>
        <w:t>.</w:t>
      </w:r>
    </w:p>
    <w:p w14:paraId="4E082272" w14:textId="77777777" w:rsidR="002A5370" w:rsidRDefault="002A5370" w:rsidP="00B06E27">
      <w:pPr>
        <w:rPr>
          <w:rFonts w:ascii="Arial" w:hAnsi="Arial" w:cs="Arial"/>
          <w:color w:val="000000" w:themeColor="text1"/>
          <w:sz w:val="24"/>
          <w:szCs w:val="24"/>
        </w:rPr>
      </w:pPr>
    </w:p>
    <w:p w14:paraId="122352D2" w14:textId="21AEDA9D" w:rsidR="0082551C" w:rsidRPr="00FC4F38" w:rsidRDefault="0082551C" w:rsidP="0082551C">
      <w:pPr>
        <w:rPr>
          <w:rFonts w:ascii="Arial" w:hAnsi="Arial" w:cs="Arial"/>
          <w:color w:val="000000" w:themeColor="text1"/>
          <w:sz w:val="24"/>
          <w:szCs w:val="24"/>
        </w:rPr>
      </w:pPr>
      <w:r w:rsidRPr="0082551C">
        <w:rPr>
          <w:rFonts w:ascii="Arial" w:hAnsi="Arial" w:cs="Arial"/>
          <w:color w:val="000000" w:themeColor="text1"/>
          <w:sz w:val="24"/>
          <w:szCs w:val="24"/>
        </w:rPr>
        <w:t xml:space="preserve">The NHS Somerset Integrated Care Board is asked to note the content of this report, </w:t>
      </w:r>
      <w:r w:rsidR="00F172BB">
        <w:rPr>
          <w:rFonts w:ascii="Arial" w:hAnsi="Arial" w:cs="Arial"/>
          <w:color w:val="000000" w:themeColor="text1"/>
          <w:sz w:val="24"/>
          <w:szCs w:val="24"/>
        </w:rPr>
        <w:t xml:space="preserve">which </w:t>
      </w:r>
      <w:r w:rsidRPr="0082551C">
        <w:rPr>
          <w:rFonts w:ascii="Arial" w:hAnsi="Arial" w:cs="Arial"/>
          <w:color w:val="000000" w:themeColor="text1"/>
          <w:sz w:val="24"/>
          <w:szCs w:val="24"/>
        </w:rPr>
        <w:t>will then be considered by the Somerset Safeguarding Child Partnership.</w:t>
      </w:r>
    </w:p>
    <w:p w14:paraId="20ECFFA2" w14:textId="77777777" w:rsidR="00DD0DF9" w:rsidRPr="00FC4F38" w:rsidRDefault="00DD0DF9" w:rsidP="00DD0DF9">
      <w:pPr>
        <w:rPr>
          <w:rFonts w:ascii="Arial" w:hAnsi="Arial" w:cs="Arial"/>
          <w:color w:val="000000" w:themeColor="text1"/>
          <w:sz w:val="24"/>
          <w:szCs w:val="24"/>
        </w:rPr>
      </w:pPr>
    </w:p>
    <w:p w14:paraId="530C2971" w14:textId="77777777" w:rsidR="00FC4F38" w:rsidRDefault="00FC4F38" w:rsidP="00DD0DF9">
      <w:pPr>
        <w:rPr>
          <w:rFonts w:ascii="Arial" w:hAnsi="Arial" w:cs="Arial"/>
          <w:color w:val="000000" w:themeColor="text1"/>
        </w:rPr>
      </w:pPr>
    </w:p>
    <w:p w14:paraId="2892BDB5" w14:textId="77777777" w:rsidR="00016751" w:rsidRPr="00016751" w:rsidRDefault="00016751" w:rsidP="00016751">
      <w:pPr>
        <w:rPr>
          <w:rFonts w:ascii="Arial" w:hAnsi="Arial" w:cs="Arial"/>
        </w:rPr>
      </w:pPr>
    </w:p>
    <w:p w14:paraId="16E6665D" w14:textId="77777777" w:rsidR="00016751" w:rsidRPr="00016751" w:rsidRDefault="00016751" w:rsidP="00016751">
      <w:pPr>
        <w:rPr>
          <w:rFonts w:ascii="Arial" w:hAnsi="Arial" w:cs="Arial"/>
        </w:rPr>
      </w:pPr>
    </w:p>
    <w:p w14:paraId="1A6E77DF" w14:textId="77777777" w:rsidR="00016751" w:rsidRPr="00016751" w:rsidRDefault="00016751" w:rsidP="00016751">
      <w:pPr>
        <w:rPr>
          <w:rFonts w:ascii="Arial" w:hAnsi="Arial" w:cs="Arial"/>
        </w:rPr>
      </w:pPr>
    </w:p>
    <w:p w14:paraId="6BE216F5" w14:textId="77777777" w:rsidR="00016751" w:rsidRPr="00016751" w:rsidRDefault="00016751" w:rsidP="00016751">
      <w:pPr>
        <w:rPr>
          <w:rFonts w:ascii="Arial" w:hAnsi="Arial" w:cs="Arial"/>
        </w:rPr>
      </w:pPr>
    </w:p>
    <w:p w14:paraId="649F948D" w14:textId="77777777" w:rsidR="00016751" w:rsidRPr="00016751" w:rsidRDefault="00016751" w:rsidP="00016751">
      <w:pPr>
        <w:rPr>
          <w:rFonts w:ascii="Arial" w:hAnsi="Arial" w:cs="Arial"/>
        </w:rPr>
      </w:pPr>
    </w:p>
    <w:p w14:paraId="44827D92" w14:textId="77777777" w:rsidR="00016751" w:rsidRPr="00016751" w:rsidRDefault="00016751" w:rsidP="00016751">
      <w:pPr>
        <w:rPr>
          <w:rFonts w:ascii="Arial" w:hAnsi="Arial" w:cs="Arial"/>
        </w:rPr>
      </w:pPr>
    </w:p>
    <w:p w14:paraId="0467066B" w14:textId="77777777" w:rsidR="00016751" w:rsidRPr="00016751" w:rsidRDefault="00016751" w:rsidP="00016751">
      <w:pPr>
        <w:rPr>
          <w:rFonts w:ascii="Arial" w:hAnsi="Arial" w:cs="Arial"/>
        </w:rPr>
      </w:pPr>
    </w:p>
    <w:p w14:paraId="390BAFC0" w14:textId="77777777" w:rsidR="00016751" w:rsidRPr="00016751" w:rsidRDefault="00016751" w:rsidP="00016751">
      <w:pPr>
        <w:rPr>
          <w:rFonts w:ascii="Arial" w:hAnsi="Arial" w:cs="Arial"/>
        </w:rPr>
      </w:pPr>
    </w:p>
    <w:p w14:paraId="2349D05F" w14:textId="77777777" w:rsidR="00016751" w:rsidRPr="00016751" w:rsidRDefault="00016751" w:rsidP="00016751">
      <w:pPr>
        <w:rPr>
          <w:rFonts w:ascii="Arial" w:hAnsi="Arial" w:cs="Arial"/>
        </w:rPr>
      </w:pPr>
    </w:p>
    <w:p w14:paraId="5C18A39C" w14:textId="77777777" w:rsidR="00016751" w:rsidRPr="00016751" w:rsidRDefault="00016751" w:rsidP="00016751">
      <w:pPr>
        <w:rPr>
          <w:rFonts w:ascii="Arial" w:hAnsi="Arial" w:cs="Arial"/>
        </w:rPr>
      </w:pPr>
    </w:p>
    <w:p w14:paraId="749A4000" w14:textId="77777777" w:rsidR="00016751" w:rsidRPr="00016751" w:rsidRDefault="00016751" w:rsidP="00016751">
      <w:pPr>
        <w:rPr>
          <w:rFonts w:ascii="Arial" w:hAnsi="Arial" w:cs="Arial"/>
        </w:rPr>
      </w:pPr>
    </w:p>
    <w:p w14:paraId="09DC6BA5" w14:textId="77777777" w:rsidR="00016751" w:rsidRPr="00016751" w:rsidRDefault="00016751" w:rsidP="00016751">
      <w:pPr>
        <w:rPr>
          <w:rFonts w:ascii="Arial" w:hAnsi="Arial" w:cs="Arial"/>
        </w:rPr>
      </w:pPr>
    </w:p>
    <w:p w14:paraId="51D32EFC" w14:textId="1629F076" w:rsidR="00016751" w:rsidRDefault="00016751" w:rsidP="00016751">
      <w:pPr>
        <w:tabs>
          <w:tab w:val="left" w:pos="6225"/>
        </w:tabs>
        <w:rPr>
          <w:rFonts w:ascii="Arial" w:hAnsi="Arial" w:cs="Arial"/>
          <w:color w:val="000000" w:themeColor="text1"/>
        </w:rPr>
      </w:pPr>
      <w:r>
        <w:rPr>
          <w:rFonts w:ascii="Arial" w:hAnsi="Arial" w:cs="Arial"/>
          <w:color w:val="000000" w:themeColor="text1"/>
        </w:rPr>
        <w:tab/>
      </w:r>
    </w:p>
    <w:p w14:paraId="50B08FF3" w14:textId="56124690" w:rsidR="00016751" w:rsidRPr="00016751" w:rsidRDefault="00016751" w:rsidP="00016751">
      <w:pPr>
        <w:tabs>
          <w:tab w:val="left" w:pos="6225"/>
        </w:tabs>
        <w:rPr>
          <w:rFonts w:ascii="Arial" w:hAnsi="Arial" w:cs="Arial"/>
        </w:rPr>
        <w:sectPr w:rsidR="00016751" w:rsidRPr="00016751" w:rsidSect="00F509F7">
          <w:footerReference w:type="default" r:id="rId20"/>
          <w:pgSz w:w="11906" w:h="16838"/>
          <w:pgMar w:top="720" w:right="720" w:bottom="720" w:left="720" w:header="708" w:footer="708" w:gutter="0"/>
          <w:pgNumType w:start="1"/>
          <w:cols w:space="708"/>
          <w:docGrid w:linePitch="360"/>
        </w:sectPr>
      </w:pPr>
      <w:r>
        <w:rPr>
          <w:rFonts w:ascii="Arial" w:hAnsi="Arial" w:cs="Arial"/>
        </w:rPr>
        <w:lastRenderedPageBreak/>
        <w:tab/>
      </w:r>
    </w:p>
    <w:p w14:paraId="5412B461" w14:textId="496962CF" w:rsidR="00A17EA8" w:rsidRPr="00A17EA8" w:rsidRDefault="00D23EEB" w:rsidP="00A17EA8">
      <w:pPr>
        <w:pStyle w:val="Heading1"/>
        <w:rPr>
          <w:color w:val="003087"/>
        </w:rPr>
      </w:pPr>
      <w:bookmarkStart w:id="3" w:name="_Toc197420057"/>
      <w:r w:rsidRPr="00FB28DB">
        <w:rPr>
          <w:color w:val="003087"/>
        </w:rPr>
        <w:lastRenderedPageBreak/>
        <w:t>Introduction</w:t>
      </w:r>
      <w:bookmarkEnd w:id="3"/>
    </w:p>
    <w:p w14:paraId="09ED08A7" w14:textId="5233E23D" w:rsidR="0046733C" w:rsidRPr="00444034" w:rsidRDefault="0046733C" w:rsidP="00444034">
      <w:pPr>
        <w:pStyle w:val="ListParagraph"/>
        <w:numPr>
          <w:ilvl w:val="1"/>
          <w:numId w:val="21"/>
        </w:numPr>
        <w:spacing w:after="0" w:line="240" w:lineRule="auto"/>
        <w:ind w:left="709" w:hanging="709"/>
        <w:rPr>
          <w:rFonts w:ascii="Arial" w:eastAsia="Times New Roman" w:hAnsi="Arial" w:cs="Arial"/>
          <w:kern w:val="0"/>
          <w:sz w:val="24"/>
          <w:szCs w:val="24"/>
          <w14:ligatures w14:val="none"/>
        </w:rPr>
      </w:pPr>
      <w:r w:rsidRPr="00444034">
        <w:rPr>
          <w:rFonts w:ascii="Arial" w:eastAsia="Times New Roman" w:hAnsi="Arial" w:cs="Arial"/>
          <w:kern w:val="0"/>
          <w:sz w:val="24"/>
          <w:szCs w:val="24"/>
          <w14:ligatures w14:val="none"/>
        </w:rPr>
        <w:t xml:space="preserve">This report covers the period of 1st April 2024 to 31st March 2025 and provides assurance to the NHS Somerset Integrated Care Board (Hereafter referred to as ‘the ICB’) and members of the public that the ICB has fulfilled its statutory responsibilities to safeguard and promote the welfare of children. </w:t>
      </w:r>
    </w:p>
    <w:p w14:paraId="6571B446" w14:textId="77777777" w:rsidR="0046733C" w:rsidRPr="00B06E27" w:rsidRDefault="0046733C" w:rsidP="00444034">
      <w:pPr>
        <w:pStyle w:val="ListParagraph"/>
        <w:spacing w:after="0" w:line="240" w:lineRule="auto"/>
        <w:ind w:left="709" w:hanging="709"/>
        <w:rPr>
          <w:rFonts w:ascii="Arial" w:eastAsia="Times New Roman" w:hAnsi="Arial" w:cs="Arial"/>
          <w:kern w:val="0"/>
          <w:sz w:val="24"/>
          <w:szCs w:val="24"/>
          <w14:ligatures w14:val="none"/>
        </w:rPr>
      </w:pPr>
    </w:p>
    <w:p w14:paraId="7775AD3E" w14:textId="4C0589E2" w:rsidR="00B74CA7" w:rsidRPr="008E02CC" w:rsidRDefault="0046733C" w:rsidP="00444034">
      <w:pPr>
        <w:pStyle w:val="ListParagraph"/>
        <w:numPr>
          <w:ilvl w:val="1"/>
          <w:numId w:val="21"/>
        </w:numPr>
        <w:spacing w:after="0" w:line="240" w:lineRule="auto"/>
        <w:ind w:left="709" w:hanging="709"/>
        <w:rPr>
          <w:rFonts w:ascii="Arial" w:eastAsia="Times New Roman" w:hAnsi="Arial" w:cs="Arial"/>
          <w:kern w:val="0"/>
          <w:sz w:val="24"/>
          <w:szCs w:val="24"/>
          <w14:ligatures w14:val="none"/>
        </w:rPr>
      </w:pPr>
      <w:r w:rsidRPr="008E02CC">
        <w:rPr>
          <w:rFonts w:ascii="Arial" w:eastAsia="Times New Roman" w:hAnsi="Arial" w:cs="Arial"/>
          <w:kern w:val="0"/>
          <w:sz w:val="24"/>
          <w:szCs w:val="24"/>
          <w14:ligatures w14:val="none"/>
        </w:rPr>
        <w:t>The narrative throughout this report gives an overview and summary of assurance against our statutory safeguarding children functions and the shared local priorities of safeguarding partners. This report will conclude by looking forward to the year ahead identifying ambitions for 2025</w:t>
      </w:r>
      <w:r w:rsidR="00F172BB">
        <w:rPr>
          <w:rFonts w:ascii="Arial" w:eastAsia="Times New Roman" w:hAnsi="Arial" w:cs="Arial"/>
          <w:kern w:val="0"/>
          <w:sz w:val="24"/>
          <w:szCs w:val="24"/>
          <w14:ligatures w14:val="none"/>
        </w:rPr>
        <w:t>/</w:t>
      </w:r>
      <w:r w:rsidRPr="008E02CC">
        <w:rPr>
          <w:rFonts w:ascii="Arial" w:eastAsia="Times New Roman" w:hAnsi="Arial" w:cs="Arial"/>
          <w:kern w:val="0"/>
          <w:sz w:val="24"/>
          <w:szCs w:val="24"/>
          <w14:ligatures w14:val="none"/>
        </w:rPr>
        <w:t>2026.</w:t>
      </w:r>
    </w:p>
    <w:p w14:paraId="26FC8F21" w14:textId="77777777" w:rsidR="00D50031" w:rsidRPr="00D50031" w:rsidRDefault="00D50031" w:rsidP="00444034">
      <w:pPr>
        <w:pStyle w:val="ListParagraph"/>
        <w:ind w:left="709" w:hanging="709"/>
        <w:rPr>
          <w:rFonts w:ascii="Arial" w:eastAsia="Times New Roman" w:hAnsi="Arial" w:cs="Arial"/>
          <w:kern w:val="0"/>
          <w:sz w:val="24"/>
          <w:szCs w:val="24"/>
          <w14:ligatures w14:val="none"/>
        </w:rPr>
      </w:pPr>
    </w:p>
    <w:p w14:paraId="6C8BED9B" w14:textId="2EC88A0C" w:rsidR="00D50031" w:rsidRPr="008E02CC" w:rsidRDefault="00D50031" w:rsidP="00444034">
      <w:pPr>
        <w:pStyle w:val="ListParagraph"/>
        <w:numPr>
          <w:ilvl w:val="1"/>
          <w:numId w:val="21"/>
        </w:numPr>
        <w:spacing w:after="0" w:line="240" w:lineRule="auto"/>
        <w:ind w:left="709" w:hanging="709"/>
        <w:rPr>
          <w:rFonts w:ascii="Arial" w:eastAsia="Times New Roman" w:hAnsi="Arial" w:cs="Arial"/>
          <w:kern w:val="0"/>
          <w:sz w:val="24"/>
          <w:szCs w:val="24"/>
          <w14:ligatures w14:val="none"/>
        </w:rPr>
      </w:pPr>
      <w:r w:rsidRPr="008E02CC">
        <w:rPr>
          <w:rFonts w:ascii="Arial" w:eastAsia="Times New Roman" w:hAnsi="Arial" w:cs="Arial"/>
          <w:kern w:val="0"/>
          <w:sz w:val="24"/>
          <w:szCs w:val="24"/>
          <w14:ligatures w14:val="none"/>
        </w:rPr>
        <w:t xml:space="preserve">As this report is being written consideration </w:t>
      </w:r>
      <w:r w:rsidR="00205A70">
        <w:rPr>
          <w:rFonts w:ascii="Arial" w:eastAsia="Times New Roman" w:hAnsi="Arial" w:cs="Arial"/>
          <w:kern w:val="0"/>
          <w:sz w:val="24"/>
          <w:szCs w:val="24"/>
          <w14:ligatures w14:val="none"/>
        </w:rPr>
        <w:t>was</w:t>
      </w:r>
      <w:r w:rsidRPr="008E02CC">
        <w:rPr>
          <w:rFonts w:ascii="Arial" w:eastAsia="Times New Roman" w:hAnsi="Arial" w:cs="Arial"/>
          <w:kern w:val="0"/>
          <w:sz w:val="24"/>
          <w:szCs w:val="24"/>
          <w14:ligatures w14:val="none"/>
        </w:rPr>
        <w:t xml:space="preserve"> given to the implementation and impact of the following:</w:t>
      </w:r>
    </w:p>
    <w:p w14:paraId="4F27553C" w14:textId="77777777" w:rsidR="00D50031" w:rsidRPr="00D50031" w:rsidRDefault="00D50031" w:rsidP="00D50031">
      <w:pPr>
        <w:pStyle w:val="ListParagraph"/>
        <w:rPr>
          <w:rFonts w:ascii="Arial" w:eastAsia="Times New Roman" w:hAnsi="Arial" w:cs="Arial"/>
          <w:kern w:val="0"/>
          <w:sz w:val="24"/>
          <w:szCs w:val="24"/>
          <w14:ligatures w14:val="none"/>
        </w:rPr>
      </w:pPr>
    </w:p>
    <w:p w14:paraId="569D87F7" w14:textId="7D374C76" w:rsidR="00D50031" w:rsidRPr="00444034" w:rsidRDefault="00D50031" w:rsidP="00444034">
      <w:pPr>
        <w:pStyle w:val="ListParagraph"/>
        <w:numPr>
          <w:ilvl w:val="2"/>
          <w:numId w:val="12"/>
        </w:numPr>
        <w:tabs>
          <w:tab w:val="left" w:pos="1134"/>
        </w:tabs>
        <w:spacing w:after="0" w:line="240" w:lineRule="auto"/>
        <w:ind w:left="1134" w:hanging="425"/>
        <w:contextualSpacing w:val="0"/>
        <w:rPr>
          <w:rFonts w:ascii="Arial" w:eastAsia="Calibri" w:hAnsi="Arial" w:cs="Arial"/>
          <w:bCs/>
          <w:color w:val="000000" w:themeColor="text1"/>
          <w:sz w:val="24"/>
          <w:szCs w:val="24"/>
        </w:rPr>
      </w:pPr>
      <w:r w:rsidRPr="00444034">
        <w:rPr>
          <w:rFonts w:ascii="Arial" w:eastAsia="Calibri" w:hAnsi="Arial" w:cs="Arial"/>
          <w:bCs/>
          <w:color w:val="000000" w:themeColor="text1"/>
          <w:sz w:val="24"/>
          <w:szCs w:val="24"/>
        </w:rPr>
        <w:t xml:space="preserve">The Children’s Social Care </w:t>
      </w:r>
      <w:r w:rsidR="007928B5" w:rsidRPr="00444034">
        <w:rPr>
          <w:rFonts w:ascii="Arial" w:eastAsia="Calibri" w:hAnsi="Arial" w:cs="Arial"/>
          <w:bCs/>
          <w:color w:val="000000" w:themeColor="text1"/>
          <w:sz w:val="24"/>
          <w:szCs w:val="24"/>
        </w:rPr>
        <w:t>N</w:t>
      </w:r>
      <w:r w:rsidRPr="00444034">
        <w:rPr>
          <w:rFonts w:ascii="Arial" w:eastAsia="Calibri" w:hAnsi="Arial" w:cs="Arial"/>
          <w:bCs/>
          <w:color w:val="000000" w:themeColor="text1"/>
          <w:sz w:val="24"/>
          <w:szCs w:val="24"/>
        </w:rPr>
        <w:t xml:space="preserve">ational </w:t>
      </w:r>
      <w:r w:rsidR="007928B5" w:rsidRPr="00444034">
        <w:rPr>
          <w:rFonts w:ascii="Arial" w:eastAsia="Calibri" w:hAnsi="Arial" w:cs="Arial"/>
          <w:bCs/>
          <w:color w:val="000000" w:themeColor="text1"/>
          <w:sz w:val="24"/>
          <w:szCs w:val="24"/>
        </w:rPr>
        <w:t>F</w:t>
      </w:r>
      <w:r w:rsidRPr="00444034">
        <w:rPr>
          <w:rFonts w:ascii="Arial" w:eastAsia="Calibri" w:hAnsi="Arial" w:cs="Arial"/>
          <w:bCs/>
          <w:color w:val="000000" w:themeColor="text1"/>
          <w:sz w:val="24"/>
          <w:szCs w:val="24"/>
        </w:rPr>
        <w:t>ramework published in December 2023</w:t>
      </w:r>
    </w:p>
    <w:p w14:paraId="6DF3D5E7" w14:textId="31417094" w:rsidR="007928B5" w:rsidRPr="00444034" w:rsidRDefault="007928B5" w:rsidP="00444034">
      <w:pPr>
        <w:pStyle w:val="ListParagraph"/>
        <w:numPr>
          <w:ilvl w:val="2"/>
          <w:numId w:val="12"/>
        </w:numPr>
        <w:tabs>
          <w:tab w:val="left" w:pos="1134"/>
        </w:tabs>
        <w:spacing w:after="0" w:line="240" w:lineRule="auto"/>
        <w:ind w:left="1134" w:hanging="425"/>
        <w:contextualSpacing w:val="0"/>
        <w:rPr>
          <w:rFonts w:ascii="Arial" w:eastAsia="Calibri" w:hAnsi="Arial" w:cs="Arial"/>
          <w:bCs/>
          <w:color w:val="000000" w:themeColor="text1"/>
          <w:sz w:val="24"/>
          <w:szCs w:val="24"/>
        </w:rPr>
      </w:pPr>
      <w:r w:rsidRPr="00444034">
        <w:rPr>
          <w:rFonts w:ascii="Arial" w:eastAsia="Calibri" w:hAnsi="Arial" w:cs="Arial"/>
          <w:bCs/>
          <w:color w:val="000000" w:themeColor="text1"/>
          <w:sz w:val="24"/>
          <w:szCs w:val="24"/>
        </w:rPr>
        <w:t>The statutory Working Together to Safeguard Children published in December 2023</w:t>
      </w:r>
    </w:p>
    <w:p w14:paraId="6878F106" w14:textId="0AC0597F" w:rsidR="007928B5" w:rsidRPr="00444034" w:rsidRDefault="007928B5" w:rsidP="00444034">
      <w:pPr>
        <w:pStyle w:val="ListParagraph"/>
        <w:numPr>
          <w:ilvl w:val="2"/>
          <w:numId w:val="12"/>
        </w:numPr>
        <w:tabs>
          <w:tab w:val="left" w:pos="1134"/>
        </w:tabs>
        <w:spacing w:after="0" w:line="240" w:lineRule="auto"/>
        <w:ind w:left="1134" w:hanging="425"/>
        <w:contextualSpacing w:val="0"/>
        <w:rPr>
          <w:rFonts w:ascii="Arial" w:eastAsia="Calibri" w:hAnsi="Arial" w:cs="Arial"/>
          <w:bCs/>
          <w:color w:val="000000" w:themeColor="text1"/>
          <w:sz w:val="24"/>
          <w:szCs w:val="24"/>
        </w:rPr>
      </w:pPr>
      <w:r w:rsidRPr="00444034">
        <w:rPr>
          <w:rFonts w:ascii="Arial" w:eastAsia="Calibri" w:hAnsi="Arial" w:cs="Arial"/>
          <w:bCs/>
          <w:color w:val="000000" w:themeColor="text1"/>
          <w:sz w:val="24"/>
          <w:szCs w:val="24"/>
        </w:rPr>
        <w:t>Whole system reform of the children’s social care system outlined within Keeping Children Safe, Helping Families Thrive</w:t>
      </w:r>
      <w:r w:rsidRPr="00444034">
        <w:rPr>
          <w:rFonts w:eastAsia="Calibri"/>
          <w:bCs/>
          <w:color w:val="000000" w:themeColor="text1"/>
        </w:rPr>
        <w:footnoteReference w:id="1"/>
      </w:r>
      <w:r w:rsidRPr="00444034">
        <w:rPr>
          <w:rFonts w:ascii="Arial" w:eastAsia="Calibri" w:hAnsi="Arial" w:cs="Arial"/>
          <w:bCs/>
          <w:color w:val="000000" w:themeColor="text1"/>
          <w:sz w:val="24"/>
          <w:szCs w:val="24"/>
        </w:rPr>
        <w:t xml:space="preserve"> published in November 2024.</w:t>
      </w:r>
    </w:p>
    <w:p w14:paraId="6DC7D9D4" w14:textId="2AA7AE01" w:rsidR="00D50031" w:rsidRPr="00444034" w:rsidRDefault="00D50031" w:rsidP="00444034">
      <w:pPr>
        <w:pStyle w:val="ListParagraph"/>
        <w:numPr>
          <w:ilvl w:val="2"/>
          <w:numId w:val="12"/>
        </w:numPr>
        <w:tabs>
          <w:tab w:val="left" w:pos="1134"/>
        </w:tabs>
        <w:spacing w:after="0" w:line="240" w:lineRule="auto"/>
        <w:ind w:left="1134" w:hanging="425"/>
        <w:contextualSpacing w:val="0"/>
        <w:rPr>
          <w:rFonts w:ascii="Arial" w:eastAsia="Calibri" w:hAnsi="Arial" w:cs="Arial"/>
          <w:bCs/>
          <w:color w:val="000000" w:themeColor="text1"/>
          <w:sz w:val="24"/>
          <w:szCs w:val="24"/>
        </w:rPr>
      </w:pPr>
      <w:r w:rsidRPr="00444034">
        <w:rPr>
          <w:rFonts w:ascii="Arial" w:eastAsia="Calibri" w:hAnsi="Arial" w:cs="Arial"/>
          <w:bCs/>
          <w:color w:val="000000" w:themeColor="text1"/>
          <w:sz w:val="24"/>
          <w:szCs w:val="24"/>
        </w:rPr>
        <w:t>The introduction of the Children’s Wellbeing and Schools Bill in 2024</w:t>
      </w:r>
      <w:r w:rsidR="007928B5" w:rsidRPr="00444034">
        <w:rPr>
          <w:rFonts w:ascii="Arial" w:eastAsia="Calibri" w:hAnsi="Arial" w:cs="Arial"/>
          <w:bCs/>
          <w:color w:val="000000" w:themeColor="text1"/>
          <w:sz w:val="24"/>
          <w:szCs w:val="24"/>
        </w:rPr>
        <w:t>.</w:t>
      </w:r>
    </w:p>
    <w:p w14:paraId="2EF4299A" w14:textId="6D285868" w:rsidR="00CE4524" w:rsidRPr="00444034" w:rsidRDefault="007928B5" w:rsidP="00444034">
      <w:pPr>
        <w:pStyle w:val="ListParagraph"/>
        <w:numPr>
          <w:ilvl w:val="2"/>
          <w:numId w:val="12"/>
        </w:numPr>
        <w:tabs>
          <w:tab w:val="left" w:pos="1134"/>
        </w:tabs>
        <w:spacing w:after="0" w:line="240" w:lineRule="auto"/>
        <w:ind w:left="1134" w:hanging="425"/>
        <w:contextualSpacing w:val="0"/>
        <w:rPr>
          <w:rFonts w:ascii="Arial" w:eastAsia="Calibri" w:hAnsi="Arial" w:cs="Arial"/>
          <w:bCs/>
          <w:color w:val="000000" w:themeColor="text1"/>
          <w:sz w:val="24"/>
          <w:szCs w:val="24"/>
        </w:rPr>
      </w:pPr>
      <w:r w:rsidRPr="00444034">
        <w:rPr>
          <w:rFonts w:ascii="Arial" w:eastAsia="Calibri" w:hAnsi="Arial" w:cs="Arial"/>
          <w:bCs/>
          <w:color w:val="000000" w:themeColor="text1"/>
          <w:sz w:val="24"/>
          <w:szCs w:val="24"/>
        </w:rPr>
        <w:t>The Families First Partnership Programme Guide</w:t>
      </w:r>
      <w:r w:rsidRPr="00444034">
        <w:rPr>
          <w:rFonts w:eastAsia="Calibri"/>
          <w:bCs/>
          <w:color w:val="000000" w:themeColor="text1"/>
        </w:rPr>
        <w:footnoteReference w:id="2"/>
      </w:r>
      <w:r w:rsidRPr="00444034">
        <w:rPr>
          <w:rFonts w:ascii="Arial" w:eastAsia="Calibri" w:hAnsi="Arial" w:cs="Arial"/>
          <w:bCs/>
          <w:color w:val="000000" w:themeColor="text1"/>
          <w:sz w:val="24"/>
          <w:szCs w:val="24"/>
        </w:rPr>
        <w:t xml:space="preserve"> for safeguarding partners in England published in March 2025</w:t>
      </w:r>
    </w:p>
    <w:p w14:paraId="259B2254" w14:textId="4DC624C8" w:rsidR="00B74CA7" w:rsidRDefault="00B06E27" w:rsidP="008E02CC">
      <w:pPr>
        <w:pStyle w:val="Heading1"/>
        <w:numPr>
          <w:ilvl w:val="0"/>
          <w:numId w:val="21"/>
        </w:numPr>
        <w:ind w:left="567" w:hanging="567"/>
        <w:rPr>
          <w:color w:val="003087"/>
        </w:rPr>
      </w:pPr>
      <w:bookmarkStart w:id="4" w:name="_Toc197420058"/>
      <w:r>
        <w:rPr>
          <w:color w:val="003087"/>
        </w:rPr>
        <w:t xml:space="preserve">Statutory </w:t>
      </w:r>
      <w:r w:rsidR="00F948F4">
        <w:rPr>
          <w:color w:val="003087"/>
        </w:rPr>
        <w:t>Responsibilities</w:t>
      </w:r>
    </w:p>
    <w:p w14:paraId="5DAF9897" w14:textId="13A09646" w:rsidR="00B06E27" w:rsidRPr="00B06E27" w:rsidRDefault="00B06E27" w:rsidP="004C3C87">
      <w:pPr>
        <w:spacing w:after="0" w:line="240" w:lineRule="auto"/>
        <w:ind w:left="709" w:hanging="709"/>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3.1</w:t>
      </w:r>
      <w:r>
        <w:rPr>
          <w:rFonts w:ascii="Arial" w:eastAsia="Times New Roman" w:hAnsi="Arial" w:cs="Arial"/>
          <w:kern w:val="0"/>
          <w:sz w:val="24"/>
          <w:szCs w:val="24"/>
          <w14:ligatures w14:val="none"/>
        </w:rPr>
        <w:tab/>
      </w:r>
      <w:r w:rsidRPr="00B06E27">
        <w:rPr>
          <w:rFonts w:ascii="Arial" w:eastAsia="Times New Roman" w:hAnsi="Arial" w:cs="Arial"/>
          <w:kern w:val="0"/>
          <w:sz w:val="24"/>
          <w:szCs w:val="24"/>
          <w14:ligatures w14:val="none"/>
        </w:rPr>
        <w:t>Amendments made by the Children and Social Work Act 2017 to the Children Act 2004</w:t>
      </w:r>
    </w:p>
    <w:p w14:paraId="6202A645" w14:textId="1F94634C" w:rsidR="00703036" w:rsidRDefault="00B06E27" w:rsidP="004C3C87">
      <w:pPr>
        <w:spacing w:after="0" w:line="240" w:lineRule="auto"/>
        <w:ind w:left="709"/>
        <w:rPr>
          <w:rFonts w:ascii="Arial" w:eastAsia="Times New Roman" w:hAnsi="Arial" w:cs="Arial"/>
          <w:kern w:val="0"/>
          <w:sz w:val="24"/>
          <w:szCs w:val="24"/>
          <w14:ligatures w14:val="none"/>
        </w:rPr>
      </w:pPr>
      <w:r w:rsidRPr="00B06E27">
        <w:rPr>
          <w:rFonts w:ascii="Arial" w:eastAsia="Times New Roman" w:hAnsi="Arial" w:cs="Arial"/>
          <w:kern w:val="0"/>
          <w:sz w:val="24"/>
          <w:szCs w:val="24"/>
          <w14:ligatures w14:val="none"/>
        </w:rPr>
        <w:t>plac</w:t>
      </w:r>
      <w:r>
        <w:rPr>
          <w:rFonts w:ascii="Arial" w:eastAsia="Times New Roman" w:hAnsi="Arial" w:cs="Arial"/>
          <w:kern w:val="0"/>
          <w:sz w:val="24"/>
          <w:szCs w:val="24"/>
          <w14:ligatures w14:val="none"/>
        </w:rPr>
        <w:t>ed</w:t>
      </w:r>
      <w:r w:rsidRPr="00B06E27">
        <w:rPr>
          <w:rFonts w:ascii="Arial" w:eastAsia="Times New Roman" w:hAnsi="Arial" w:cs="Arial"/>
          <w:kern w:val="0"/>
          <w:sz w:val="24"/>
          <w:szCs w:val="24"/>
          <w14:ligatures w14:val="none"/>
        </w:rPr>
        <w:t xml:space="preserve"> new duties on the police</w:t>
      </w:r>
      <w:r w:rsidR="00F948F4">
        <w:rPr>
          <w:rFonts w:ascii="Arial" w:eastAsia="Times New Roman" w:hAnsi="Arial" w:cs="Arial"/>
          <w:kern w:val="0"/>
          <w:sz w:val="24"/>
          <w:szCs w:val="24"/>
          <w14:ligatures w14:val="none"/>
        </w:rPr>
        <w:t xml:space="preserve"> (the Chief Constable for police for a police area)</w:t>
      </w:r>
      <w:r w:rsidRPr="00B06E27">
        <w:rPr>
          <w:rFonts w:ascii="Arial" w:eastAsia="Times New Roman" w:hAnsi="Arial" w:cs="Arial"/>
          <w:kern w:val="0"/>
          <w:sz w:val="24"/>
          <w:szCs w:val="24"/>
          <w14:ligatures w14:val="none"/>
        </w:rPr>
        <w:t xml:space="preserve">, </w:t>
      </w:r>
      <w:r w:rsidR="00F172BB">
        <w:rPr>
          <w:rFonts w:ascii="Arial" w:eastAsia="Times New Roman" w:hAnsi="Arial" w:cs="Arial"/>
          <w:kern w:val="0"/>
          <w:sz w:val="24"/>
          <w:szCs w:val="24"/>
          <w14:ligatures w14:val="none"/>
        </w:rPr>
        <w:t>I</w:t>
      </w:r>
      <w:r w:rsidRPr="00B06E27">
        <w:rPr>
          <w:rFonts w:ascii="Arial" w:eastAsia="Times New Roman" w:hAnsi="Arial" w:cs="Arial"/>
          <w:kern w:val="0"/>
          <w:sz w:val="24"/>
          <w:szCs w:val="24"/>
          <w14:ligatures w14:val="none"/>
        </w:rPr>
        <w:t xml:space="preserve">ntegrated </w:t>
      </w:r>
      <w:r w:rsidR="00F172BB">
        <w:rPr>
          <w:rFonts w:ascii="Arial" w:eastAsia="Times New Roman" w:hAnsi="Arial" w:cs="Arial"/>
          <w:kern w:val="0"/>
          <w:sz w:val="24"/>
          <w:szCs w:val="24"/>
          <w14:ligatures w14:val="none"/>
        </w:rPr>
        <w:t>C</w:t>
      </w:r>
      <w:r w:rsidRPr="00B06E27">
        <w:rPr>
          <w:rFonts w:ascii="Arial" w:eastAsia="Times New Roman" w:hAnsi="Arial" w:cs="Arial"/>
          <w:kern w:val="0"/>
          <w:sz w:val="24"/>
          <w:szCs w:val="24"/>
          <w14:ligatures w14:val="none"/>
        </w:rPr>
        <w:t xml:space="preserve">are </w:t>
      </w:r>
      <w:r w:rsidR="00F172BB">
        <w:rPr>
          <w:rFonts w:ascii="Arial" w:eastAsia="Times New Roman" w:hAnsi="Arial" w:cs="Arial"/>
          <w:kern w:val="0"/>
          <w:sz w:val="24"/>
          <w:szCs w:val="24"/>
          <w14:ligatures w14:val="none"/>
        </w:rPr>
        <w:t>B</w:t>
      </w:r>
      <w:r w:rsidRPr="00B06E27">
        <w:rPr>
          <w:rFonts w:ascii="Arial" w:eastAsia="Times New Roman" w:hAnsi="Arial" w:cs="Arial"/>
          <w:kern w:val="0"/>
          <w:sz w:val="24"/>
          <w:szCs w:val="24"/>
          <w14:ligatures w14:val="none"/>
        </w:rPr>
        <w:t>oards (ICBs</w:t>
      </w:r>
      <w:r>
        <w:rPr>
          <w:rStyle w:val="FootnoteReference"/>
          <w:rFonts w:ascii="Arial" w:eastAsia="Times New Roman" w:hAnsi="Arial" w:cs="Arial"/>
          <w:kern w:val="0"/>
          <w:sz w:val="24"/>
          <w:szCs w:val="24"/>
          <w14:ligatures w14:val="none"/>
        </w:rPr>
        <w:footnoteReference w:id="3"/>
      </w:r>
      <w:r w:rsidRPr="00B06E27">
        <w:rPr>
          <w:rFonts w:ascii="Arial" w:eastAsia="Times New Roman" w:hAnsi="Arial" w:cs="Arial"/>
          <w:kern w:val="0"/>
          <w:sz w:val="24"/>
          <w:szCs w:val="24"/>
          <w14:ligatures w14:val="none"/>
        </w:rPr>
        <w:t>) and the local authority as statutory safeguarding partners</w:t>
      </w:r>
      <w:r w:rsidR="00FD1B31">
        <w:rPr>
          <w:rFonts w:ascii="Arial" w:eastAsia="Times New Roman" w:hAnsi="Arial" w:cs="Arial"/>
          <w:kern w:val="0"/>
          <w:sz w:val="24"/>
          <w:szCs w:val="24"/>
          <w14:ligatures w14:val="none"/>
        </w:rPr>
        <w:t>. Those</w:t>
      </w:r>
      <w:r w:rsidRPr="00B06E27">
        <w:rPr>
          <w:rFonts w:ascii="Arial" w:eastAsia="Times New Roman" w:hAnsi="Arial" w:cs="Arial"/>
          <w:kern w:val="0"/>
          <w:sz w:val="24"/>
          <w:szCs w:val="24"/>
          <w14:ligatures w14:val="none"/>
        </w:rPr>
        <w:t xml:space="preserve"> dut</w:t>
      </w:r>
      <w:r w:rsidR="00FD1B31">
        <w:rPr>
          <w:rFonts w:ascii="Arial" w:eastAsia="Times New Roman" w:hAnsi="Arial" w:cs="Arial"/>
          <w:kern w:val="0"/>
          <w:sz w:val="24"/>
          <w:szCs w:val="24"/>
          <w14:ligatures w14:val="none"/>
        </w:rPr>
        <w:t>ies include</w:t>
      </w:r>
      <w:r w:rsidRPr="00B06E27">
        <w:rPr>
          <w:rFonts w:ascii="Arial" w:eastAsia="Times New Roman" w:hAnsi="Arial" w:cs="Arial"/>
          <w:kern w:val="0"/>
          <w:sz w:val="24"/>
          <w:szCs w:val="24"/>
          <w14:ligatures w14:val="none"/>
        </w:rPr>
        <w:t xml:space="preserve"> </w:t>
      </w:r>
      <w:r w:rsidR="00F948F4">
        <w:rPr>
          <w:rFonts w:ascii="Arial" w:eastAsia="Times New Roman" w:hAnsi="Arial" w:cs="Arial"/>
          <w:kern w:val="0"/>
          <w:sz w:val="24"/>
          <w:szCs w:val="24"/>
          <w14:ligatures w14:val="none"/>
        </w:rPr>
        <w:t>put</w:t>
      </w:r>
      <w:r w:rsidR="00FD1B31">
        <w:rPr>
          <w:rFonts w:ascii="Arial" w:eastAsia="Times New Roman" w:hAnsi="Arial" w:cs="Arial"/>
          <w:kern w:val="0"/>
          <w:sz w:val="24"/>
          <w:szCs w:val="24"/>
          <w14:ligatures w14:val="none"/>
        </w:rPr>
        <w:t>ting</w:t>
      </w:r>
      <w:r w:rsidR="00F948F4">
        <w:rPr>
          <w:rFonts w:ascii="Arial" w:eastAsia="Times New Roman" w:hAnsi="Arial" w:cs="Arial"/>
          <w:kern w:val="0"/>
          <w:sz w:val="24"/>
          <w:szCs w:val="24"/>
          <w14:ligatures w14:val="none"/>
        </w:rPr>
        <w:t xml:space="preserve"> in place</w:t>
      </w:r>
      <w:r w:rsidRPr="00B06E27">
        <w:rPr>
          <w:rFonts w:ascii="Arial" w:eastAsia="Times New Roman" w:hAnsi="Arial" w:cs="Arial"/>
          <w:kern w:val="0"/>
          <w:sz w:val="24"/>
          <w:szCs w:val="24"/>
          <w14:ligatures w14:val="none"/>
        </w:rPr>
        <w:t xml:space="preserve"> </w:t>
      </w:r>
      <w:r w:rsidR="00FD1B31">
        <w:rPr>
          <w:rFonts w:ascii="Arial" w:eastAsia="Times New Roman" w:hAnsi="Arial" w:cs="Arial"/>
          <w:kern w:val="0"/>
          <w:sz w:val="24"/>
          <w:szCs w:val="24"/>
          <w14:ligatures w14:val="none"/>
        </w:rPr>
        <w:t xml:space="preserve">multi-agency </w:t>
      </w:r>
      <w:r w:rsidRPr="00B06E27">
        <w:rPr>
          <w:rFonts w:ascii="Arial" w:eastAsia="Times New Roman" w:hAnsi="Arial" w:cs="Arial"/>
          <w:kern w:val="0"/>
          <w:sz w:val="24"/>
          <w:szCs w:val="24"/>
          <w14:ligatures w14:val="none"/>
        </w:rPr>
        <w:t>arrangements to work together to safeguard and promote the welfare of all children in their</w:t>
      </w:r>
      <w:r>
        <w:rPr>
          <w:rFonts w:ascii="Arial" w:eastAsia="Times New Roman" w:hAnsi="Arial" w:cs="Arial"/>
          <w:kern w:val="0"/>
          <w:sz w:val="24"/>
          <w:szCs w:val="24"/>
          <w14:ligatures w14:val="none"/>
        </w:rPr>
        <w:t xml:space="preserve"> area</w:t>
      </w:r>
      <w:r w:rsidR="004C3C87">
        <w:rPr>
          <w:rFonts w:ascii="Arial" w:eastAsia="Times New Roman" w:hAnsi="Arial" w:cs="Arial"/>
          <w:kern w:val="0"/>
          <w:sz w:val="24"/>
          <w:szCs w:val="24"/>
          <w14:ligatures w14:val="none"/>
        </w:rPr>
        <w:t>, which since 2019 has been known as the Somerset Safeguarding Children Partnership (Hereafter referred to as ‘the SSCP’)</w:t>
      </w:r>
      <w:r w:rsidR="00BA6ECD">
        <w:rPr>
          <w:rFonts w:ascii="Arial" w:eastAsia="Times New Roman" w:hAnsi="Arial" w:cs="Arial"/>
          <w:kern w:val="0"/>
          <w:sz w:val="24"/>
          <w:szCs w:val="24"/>
          <w14:ligatures w14:val="none"/>
        </w:rPr>
        <w:t>.</w:t>
      </w:r>
    </w:p>
    <w:p w14:paraId="14C050BD" w14:textId="77777777" w:rsidR="00703036" w:rsidRDefault="00703036" w:rsidP="004C3C87">
      <w:pPr>
        <w:spacing w:after="0" w:line="240" w:lineRule="auto"/>
        <w:ind w:left="709" w:hanging="709"/>
        <w:rPr>
          <w:rFonts w:ascii="Arial" w:eastAsia="Times New Roman" w:hAnsi="Arial" w:cs="Arial"/>
          <w:kern w:val="0"/>
          <w:sz w:val="24"/>
          <w:szCs w:val="24"/>
          <w14:ligatures w14:val="none"/>
        </w:rPr>
      </w:pPr>
    </w:p>
    <w:p w14:paraId="50E6AF03" w14:textId="65895699" w:rsidR="00B06E27" w:rsidRDefault="00703036" w:rsidP="004C3C87">
      <w:pPr>
        <w:spacing w:after="0" w:line="240" w:lineRule="auto"/>
        <w:ind w:left="709" w:hanging="709"/>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3.2</w:t>
      </w:r>
      <w:r>
        <w:rPr>
          <w:rFonts w:ascii="Arial" w:eastAsia="Times New Roman" w:hAnsi="Arial" w:cs="Arial"/>
          <w:kern w:val="0"/>
          <w:sz w:val="24"/>
          <w:szCs w:val="24"/>
          <w14:ligatures w14:val="none"/>
        </w:rPr>
        <w:tab/>
      </w:r>
      <w:r w:rsidR="00FD1B31" w:rsidRPr="00FD1B31">
        <w:rPr>
          <w:rFonts w:ascii="Arial" w:eastAsia="Times New Roman" w:hAnsi="Arial" w:cs="Arial"/>
          <w:kern w:val="0"/>
          <w:sz w:val="24"/>
          <w:szCs w:val="24"/>
          <w14:ligatures w14:val="none"/>
        </w:rPr>
        <w:t xml:space="preserve">The </w:t>
      </w:r>
      <w:r w:rsidR="00FD1B31">
        <w:rPr>
          <w:rFonts w:ascii="Arial" w:eastAsia="Times New Roman" w:hAnsi="Arial" w:cs="Arial"/>
          <w:kern w:val="0"/>
          <w:sz w:val="24"/>
          <w:szCs w:val="24"/>
          <w14:ligatures w14:val="none"/>
        </w:rPr>
        <w:t xml:space="preserve">ICB’s </w:t>
      </w:r>
      <w:r w:rsidR="00FD1B31" w:rsidRPr="00FD1B31">
        <w:rPr>
          <w:rFonts w:ascii="Arial" w:eastAsia="Times New Roman" w:hAnsi="Arial" w:cs="Arial"/>
          <w:kern w:val="0"/>
          <w:sz w:val="24"/>
          <w:szCs w:val="24"/>
          <w14:ligatures w14:val="none"/>
        </w:rPr>
        <w:t>Chief Executive holds the statutory accountability for safeguarding and is supported by the Chief Nurs</w:t>
      </w:r>
      <w:r w:rsidR="00FD1B31">
        <w:rPr>
          <w:rFonts w:ascii="Arial" w:eastAsia="Times New Roman" w:hAnsi="Arial" w:cs="Arial"/>
          <w:kern w:val="0"/>
          <w:sz w:val="24"/>
          <w:szCs w:val="24"/>
          <w14:ligatures w14:val="none"/>
        </w:rPr>
        <w:t>ing Officer</w:t>
      </w:r>
      <w:r w:rsidR="00FD1B31" w:rsidRPr="00FD1B31">
        <w:rPr>
          <w:rFonts w:ascii="Arial" w:eastAsia="Times New Roman" w:hAnsi="Arial" w:cs="Arial"/>
          <w:kern w:val="0"/>
          <w:sz w:val="24"/>
          <w:szCs w:val="24"/>
          <w14:ligatures w14:val="none"/>
        </w:rPr>
        <w:t xml:space="preserve"> as Executive Lead </w:t>
      </w:r>
      <w:r w:rsidR="00FD1B31">
        <w:rPr>
          <w:rFonts w:ascii="Arial" w:eastAsia="Times New Roman" w:hAnsi="Arial" w:cs="Arial"/>
          <w:kern w:val="0"/>
          <w:sz w:val="24"/>
          <w:szCs w:val="24"/>
          <w14:ligatures w14:val="none"/>
        </w:rPr>
        <w:t>for</w:t>
      </w:r>
      <w:r w:rsidR="00FD1B31" w:rsidRPr="00FD1B31">
        <w:rPr>
          <w:rFonts w:ascii="Arial" w:eastAsia="Times New Roman" w:hAnsi="Arial" w:cs="Arial"/>
          <w:kern w:val="0"/>
          <w:sz w:val="24"/>
          <w:szCs w:val="24"/>
          <w14:ligatures w14:val="none"/>
        </w:rPr>
        <w:t xml:space="preserve"> Safeguarding. Statutory responsibilities are delegated to the </w:t>
      </w:r>
      <w:r w:rsidR="00FD1B31">
        <w:rPr>
          <w:rFonts w:ascii="Arial" w:eastAsia="Times New Roman" w:hAnsi="Arial" w:cs="Arial"/>
          <w:kern w:val="0"/>
          <w:sz w:val="24"/>
          <w:szCs w:val="24"/>
          <w14:ligatures w14:val="none"/>
        </w:rPr>
        <w:t>ICB’s</w:t>
      </w:r>
      <w:r w:rsidR="00FD1B31" w:rsidRPr="00FD1B31">
        <w:rPr>
          <w:rFonts w:ascii="Arial" w:eastAsia="Times New Roman" w:hAnsi="Arial" w:cs="Arial"/>
          <w:kern w:val="0"/>
          <w:sz w:val="24"/>
          <w:szCs w:val="24"/>
          <w14:ligatures w14:val="none"/>
        </w:rPr>
        <w:t xml:space="preserve"> Safeguarding </w:t>
      </w:r>
      <w:r w:rsidR="001619A2">
        <w:rPr>
          <w:rFonts w:ascii="Arial" w:eastAsia="Times New Roman" w:hAnsi="Arial" w:cs="Arial"/>
          <w:kern w:val="0"/>
          <w:sz w:val="24"/>
          <w:szCs w:val="24"/>
          <w14:ligatures w14:val="none"/>
        </w:rPr>
        <w:t>t</w:t>
      </w:r>
      <w:r w:rsidR="00FD1B31" w:rsidRPr="00FD1B31">
        <w:rPr>
          <w:rFonts w:ascii="Arial" w:eastAsia="Times New Roman" w:hAnsi="Arial" w:cs="Arial"/>
          <w:kern w:val="0"/>
          <w:sz w:val="24"/>
          <w:szCs w:val="24"/>
          <w14:ligatures w14:val="none"/>
        </w:rPr>
        <w:t>eam</w:t>
      </w:r>
      <w:r w:rsidR="004C3C87">
        <w:rPr>
          <w:rFonts w:ascii="Arial" w:eastAsia="Times New Roman" w:hAnsi="Arial" w:cs="Arial"/>
          <w:kern w:val="0"/>
          <w:sz w:val="24"/>
          <w:szCs w:val="24"/>
          <w14:ligatures w14:val="none"/>
        </w:rPr>
        <w:t xml:space="preserve">, which is led by the </w:t>
      </w:r>
      <w:r w:rsidR="004C3C87" w:rsidRPr="004C3C87">
        <w:rPr>
          <w:rFonts w:ascii="Arial" w:eastAsia="Times New Roman" w:hAnsi="Arial" w:cs="Arial"/>
          <w:kern w:val="0"/>
          <w:sz w:val="24"/>
          <w:szCs w:val="24"/>
          <w14:ligatures w14:val="none"/>
        </w:rPr>
        <w:t>Associate Director of Safeguarding, Mental Health, Learning Disabilities and Autism</w:t>
      </w:r>
      <w:r w:rsidR="00FD1B31">
        <w:rPr>
          <w:rFonts w:ascii="Arial" w:eastAsia="Times New Roman" w:hAnsi="Arial" w:cs="Arial"/>
          <w:kern w:val="0"/>
          <w:sz w:val="24"/>
          <w:szCs w:val="24"/>
          <w14:ligatures w14:val="none"/>
        </w:rPr>
        <w:t xml:space="preserve"> and </w:t>
      </w:r>
      <w:r w:rsidR="004C3C87">
        <w:rPr>
          <w:rFonts w:ascii="Arial" w:eastAsia="Times New Roman" w:hAnsi="Arial" w:cs="Arial"/>
          <w:kern w:val="0"/>
          <w:sz w:val="24"/>
          <w:szCs w:val="24"/>
          <w14:ligatures w14:val="none"/>
        </w:rPr>
        <w:t>includes</w:t>
      </w:r>
      <w:r w:rsidR="00FD1B31" w:rsidRPr="00FD1B31">
        <w:rPr>
          <w:rFonts w:ascii="Arial" w:eastAsia="Times New Roman" w:hAnsi="Arial" w:cs="Arial"/>
          <w:kern w:val="0"/>
          <w:sz w:val="24"/>
          <w:szCs w:val="24"/>
          <w14:ligatures w14:val="none"/>
        </w:rPr>
        <w:t xml:space="preserve"> designated </w:t>
      </w:r>
      <w:r w:rsidR="004C3C87">
        <w:rPr>
          <w:rFonts w:ascii="Arial" w:eastAsia="Times New Roman" w:hAnsi="Arial" w:cs="Arial"/>
          <w:kern w:val="0"/>
          <w:sz w:val="24"/>
          <w:szCs w:val="24"/>
          <w14:ligatures w14:val="none"/>
        </w:rPr>
        <w:t xml:space="preserve">and named </w:t>
      </w:r>
      <w:r w:rsidR="00FD1B31" w:rsidRPr="00FD1B31">
        <w:rPr>
          <w:rFonts w:ascii="Arial" w:eastAsia="Times New Roman" w:hAnsi="Arial" w:cs="Arial"/>
          <w:kern w:val="0"/>
          <w:sz w:val="24"/>
          <w:szCs w:val="24"/>
          <w14:ligatures w14:val="none"/>
        </w:rPr>
        <w:t>professionals</w:t>
      </w:r>
      <w:r w:rsidR="004C3C87">
        <w:rPr>
          <w:rFonts w:ascii="Arial" w:eastAsia="Times New Roman" w:hAnsi="Arial" w:cs="Arial"/>
          <w:kern w:val="0"/>
          <w:sz w:val="24"/>
          <w:szCs w:val="24"/>
          <w14:ligatures w14:val="none"/>
        </w:rPr>
        <w:t xml:space="preserve"> (</w:t>
      </w:r>
      <w:r w:rsidR="00FD1B31" w:rsidRPr="00FD1B31">
        <w:rPr>
          <w:rFonts w:ascii="Arial" w:eastAsia="Times New Roman" w:hAnsi="Arial" w:cs="Arial"/>
          <w:kern w:val="0"/>
          <w:sz w:val="24"/>
          <w:szCs w:val="24"/>
          <w14:ligatures w14:val="none"/>
        </w:rPr>
        <w:t>nurses</w:t>
      </w:r>
      <w:r w:rsidR="00812157">
        <w:rPr>
          <w:rFonts w:ascii="Arial" w:eastAsia="Times New Roman" w:hAnsi="Arial" w:cs="Arial"/>
          <w:kern w:val="0"/>
          <w:sz w:val="24"/>
          <w:szCs w:val="24"/>
          <w14:ligatures w14:val="none"/>
        </w:rPr>
        <w:t xml:space="preserve"> and</w:t>
      </w:r>
      <w:r w:rsidR="00FD1B31" w:rsidRPr="00FD1B31">
        <w:rPr>
          <w:rFonts w:ascii="Arial" w:eastAsia="Times New Roman" w:hAnsi="Arial" w:cs="Arial"/>
          <w:kern w:val="0"/>
          <w:sz w:val="24"/>
          <w:szCs w:val="24"/>
          <w14:ligatures w14:val="none"/>
        </w:rPr>
        <w:t xml:space="preserve"> doctors</w:t>
      </w:r>
      <w:r w:rsidR="004C3C87">
        <w:rPr>
          <w:rFonts w:ascii="Arial" w:eastAsia="Times New Roman" w:hAnsi="Arial" w:cs="Arial"/>
          <w:kern w:val="0"/>
          <w:sz w:val="24"/>
          <w:szCs w:val="24"/>
          <w14:ligatures w14:val="none"/>
        </w:rPr>
        <w:t>)</w:t>
      </w:r>
      <w:r w:rsidR="00FD1B31" w:rsidRPr="00FD1B31">
        <w:rPr>
          <w:rFonts w:ascii="Arial" w:eastAsia="Times New Roman" w:hAnsi="Arial" w:cs="Arial"/>
          <w:kern w:val="0"/>
          <w:sz w:val="24"/>
          <w:szCs w:val="24"/>
          <w14:ligatures w14:val="none"/>
        </w:rPr>
        <w:t xml:space="preserve"> </w:t>
      </w:r>
      <w:r w:rsidR="004C3C87">
        <w:rPr>
          <w:rFonts w:ascii="Arial" w:eastAsia="Times New Roman" w:hAnsi="Arial" w:cs="Arial"/>
          <w:kern w:val="0"/>
          <w:sz w:val="24"/>
          <w:szCs w:val="24"/>
          <w14:ligatures w14:val="none"/>
        </w:rPr>
        <w:t xml:space="preserve">that </w:t>
      </w:r>
      <w:r w:rsidR="00FD1B31" w:rsidRPr="00FD1B31">
        <w:rPr>
          <w:rFonts w:ascii="Arial" w:eastAsia="Times New Roman" w:hAnsi="Arial" w:cs="Arial"/>
          <w:kern w:val="0"/>
          <w:sz w:val="24"/>
          <w:szCs w:val="24"/>
          <w14:ligatures w14:val="none"/>
        </w:rPr>
        <w:t>undertake the delivery of statutory functions</w:t>
      </w:r>
      <w:r w:rsidR="00126D15" w:rsidRPr="00126D15">
        <w:rPr>
          <w:rFonts w:ascii="Arial" w:eastAsia="Times New Roman" w:hAnsi="Arial" w:cs="Arial"/>
          <w:kern w:val="0"/>
          <w:sz w:val="24"/>
          <w:szCs w:val="24"/>
          <w14:ligatures w14:val="none"/>
        </w:rPr>
        <w:t xml:space="preserve"> </w:t>
      </w:r>
      <w:r w:rsidR="00126D15">
        <w:rPr>
          <w:rFonts w:ascii="Arial" w:eastAsia="Times New Roman" w:hAnsi="Arial" w:cs="Arial"/>
          <w:kern w:val="0"/>
          <w:sz w:val="24"/>
          <w:szCs w:val="24"/>
          <w14:ligatures w14:val="none"/>
        </w:rPr>
        <w:t xml:space="preserve">related to </w:t>
      </w:r>
      <w:r w:rsidR="00126D15" w:rsidRPr="00FD1B31">
        <w:rPr>
          <w:rFonts w:ascii="Arial" w:eastAsia="Times New Roman" w:hAnsi="Arial" w:cs="Arial"/>
          <w:kern w:val="0"/>
          <w:sz w:val="24"/>
          <w:szCs w:val="24"/>
          <w14:ligatures w14:val="none"/>
        </w:rPr>
        <w:t xml:space="preserve">safeguarding </w:t>
      </w:r>
      <w:r w:rsidR="00126D15">
        <w:rPr>
          <w:rFonts w:ascii="Arial" w:eastAsia="Times New Roman" w:hAnsi="Arial" w:cs="Arial"/>
          <w:kern w:val="0"/>
          <w:sz w:val="24"/>
          <w:szCs w:val="24"/>
          <w14:ligatures w14:val="none"/>
        </w:rPr>
        <w:t>children and child death reviews</w:t>
      </w:r>
      <w:r w:rsidR="00FD1B31" w:rsidRPr="00FD1B31">
        <w:rPr>
          <w:rFonts w:ascii="Arial" w:eastAsia="Times New Roman" w:hAnsi="Arial" w:cs="Arial"/>
          <w:kern w:val="0"/>
          <w:sz w:val="24"/>
          <w:szCs w:val="24"/>
          <w14:ligatures w14:val="none"/>
        </w:rPr>
        <w:t>.</w:t>
      </w:r>
      <w:r w:rsidR="001619A2">
        <w:rPr>
          <w:rFonts w:ascii="Arial" w:eastAsia="Times New Roman" w:hAnsi="Arial" w:cs="Arial"/>
          <w:kern w:val="0"/>
          <w:sz w:val="24"/>
          <w:szCs w:val="24"/>
          <w14:ligatures w14:val="none"/>
        </w:rPr>
        <w:t xml:space="preserve"> </w:t>
      </w:r>
    </w:p>
    <w:p w14:paraId="67276CB9" w14:textId="77777777" w:rsidR="00FD1B31" w:rsidRDefault="00FD1B31" w:rsidP="004C3C87">
      <w:pPr>
        <w:spacing w:after="0" w:line="240" w:lineRule="auto"/>
        <w:ind w:left="709" w:hanging="709"/>
        <w:rPr>
          <w:rFonts w:ascii="Arial" w:eastAsia="Times New Roman" w:hAnsi="Arial" w:cs="Arial"/>
          <w:kern w:val="0"/>
          <w:sz w:val="24"/>
          <w:szCs w:val="24"/>
          <w14:ligatures w14:val="none"/>
        </w:rPr>
      </w:pPr>
    </w:p>
    <w:p w14:paraId="66EEAD09" w14:textId="01B47A84" w:rsidR="001619A2" w:rsidRDefault="00703036" w:rsidP="004C3C87">
      <w:pPr>
        <w:spacing w:after="0" w:line="240" w:lineRule="auto"/>
        <w:ind w:left="709" w:hanging="709"/>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3.3</w:t>
      </w:r>
      <w:r>
        <w:rPr>
          <w:rFonts w:ascii="Arial" w:eastAsia="Times New Roman" w:hAnsi="Arial" w:cs="Arial"/>
          <w:kern w:val="0"/>
          <w:sz w:val="24"/>
          <w:szCs w:val="24"/>
          <w14:ligatures w14:val="none"/>
        </w:rPr>
        <w:tab/>
      </w:r>
      <w:r w:rsidR="00FD1B31" w:rsidRPr="00FD1B31">
        <w:rPr>
          <w:rFonts w:ascii="Arial" w:eastAsia="Times New Roman" w:hAnsi="Arial" w:cs="Arial"/>
          <w:kern w:val="0"/>
          <w:sz w:val="24"/>
          <w:szCs w:val="24"/>
          <w14:ligatures w14:val="none"/>
        </w:rPr>
        <w:t xml:space="preserve">There are bespoke arrangements </w:t>
      </w:r>
      <w:r w:rsidR="00FD1B31">
        <w:rPr>
          <w:rFonts w:ascii="Arial" w:eastAsia="Times New Roman" w:hAnsi="Arial" w:cs="Arial"/>
          <w:kern w:val="0"/>
          <w:sz w:val="24"/>
          <w:szCs w:val="24"/>
          <w14:ligatures w14:val="none"/>
        </w:rPr>
        <w:t xml:space="preserve">in place </w:t>
      </w:r>
      <w:r w:rsidR="00FD1B31" w:rsidRPr="00FD1B31">
        <w:rPr>
          <w:rFonts w:ascii="Arial" w:eastAsia="Times New Roman" w:hAnsi="Arial" w:cs="Arial"/>
          <w:kern w:val="0"/>
          <w:sz w:val="24"/>
          <w:szCs w:val="24"/>
          <w14:ligatures w14:val="none"/>
        </w:rPr>
        <w:t xml:space="preserve">for statutory responsibilities </w:t>
      </w:r>
      <w:r w:rsidR="00FD1B31">
        <w:rPr>
          <w:rFonts w:ascii="Arial" w:eastAsia="Times New Roman" w:hAnsi="Arial" w:cs="Arial"/>
          <w:kern w:val="0"/>
          <w:sz w:val="24"/>
          <w:szCs w:val="24"/>
          <w14:ligatures w14:val="none"/>
        </w:rPr>
        <w:t>related to</w:t>
      </w:r>
      <w:r w:rsidR="00FD1B31" w:rsidRPr="00FD1B31">
        <w:rPr>
          <w:rFonts w:ascii="Arial" w:eastAsia="Times New Roman" w:hAnsi="Arial" w:cs="Arial"/>
          <w:kern w:val="0"/>
          <w:sz w:val="24"/>
          <w:szCs w:val="24"/>
          <w14:ligatures w14:val="none"/>
        </w:rPr>
        <w:t xml:space="preserve"> children </w:t>
      </w:r>
      <w:r w:rsidR="00FD1B31">
        <w:rPr>
          <w:rFonts w:ascii="Arial" w:eastAsia="Times New Roman" w:hAnsi="Arial" w:cs="Arial"/>
          <w:kern w:val="0"/>
          <w:sz w:val="24"/>
          <w:szCs w:val="24"/>
          <w14:ligatures w14:val="none"/>
        </w:rPr>
        <w:t xml:space="preserve">looked after and care leavers </w:t>
      </w:r>
      <w:r w:rsidR="00FD1B31" w:rsidRPr="00FD1B31">
        <w:rPr>
          <w:rFonts w:ascii="Arial" w:eastAsia="Times New Roman" w:hAnsi="Arial" w:cs="Arial"/>
          <w:kern w:val="0"/>
          <w:sz w:val="24"/>
          <w:szCs w:val="24"/>
          <w14:ligatures w14:val="none"/>
        </w:rPr>
        <w:t>and these will be detailed via a separate annual report</w:t>
      </w:r>
      <w:r w:rsidR="004C3C87">
        <w:rPr>
          <w:rFonts w:ascii="Arial" w:eastAsia="Times New Roman" w:hAnsi="Arial" w:cs="Arial"/>
          <w:kern w:val="0"/>
          <w:sz w:val="24"/>
          <w:szCs w:val="24"/>
          <w14:ligatures w14:val="none"/>
        </w:rPr>
        <w:t xml:space="preserve"> which will be located </w:t>
      </w:r>
      <w:hyperlink r:id="rId21" w:history="1">
        <w:r w:rsidR="004C3C87" w:rsidRPr="004C3C87">
          <w:rPr>
            <w:rStyle w:val="Hyperlink"/>
            <w:rFonts w:ascii="Arial" w:eastAsia="Times New Roman" w:hAnsi="Arial" w:cs="Arial"/>
            <w:kern w:val="0"/>
            <w:sz w:val="24"/>
            <w:szCs w:val="24"/>
            <w14:ligatures w14:val="none"/>
          </w:rPr>
          <w:t>here</w:t>
        </w:r>
      </w:hyperlink>
      <w:r w:rsidR="004C3C87">
        <w:rPr>
          <w:rFonts w:ascii="Arial" w:eastAsia="Times New Roman" w:hAnsi="Arial" w:cs="Arial"/>
          <w:kern w:val="0"/>
          <w:sz w:val="24"/>
          <w:szCs w:val="24"/>
          <w14:ligatures w14:val="none"/>
        </w:rPr>
        <w:t xml:space="preserve"> once published</w:t>
      </w:r>
      <w:r w:rsidR="00FD1B31" w:rsidRPr="00FD1B31">
        <w:rPr>
          <w:rFonts w:ascii="Arial" w:eastAsia="Times New Roman" w:hAnsi="Arial" w:cs="Arial"/>
          <w:kern w:val="0"/>
          <w:sz w:val="24"/>
          <w:szCs w:val="24"/>
          <w14:ligatures w14:val="none"/>
        </w:rPr>
        <w:t>.</w:t>
      </w:r>
      <w:r w:rsidR="001619A2" w:rsidRPr="001619A2">
        <w:rPr>
          <w:rFonts w:ascii="Arial" w:eastAsia="Times New Roman" w:hAnsi="Arial" w:cs="Arial"/>
          <w:kern w:val="0"/>
          <w:sz w:val="24"/>
          <w:szCs w:val="24"/>
          <w14:ligatures w14:val="none"/>
        </w:rPr>
        <w:t xml:space="preserve"> </w:t>
      </w:r>
    </w:p>
    <w:p w14:paraId="26EC8C73" w14:textId="77777777" w:rsidR="001619A2" w:rsidRDefault="001619A2" w:rsidP="004C3C87">
      <w:pPr>
        <w:spacing w:after="0" w:line="240" w:lineRule="auto"/>
        <w:ind w:left="709" w:hanging="709"/>
        <w:rPr>
          <w:rFonts w:ascii="Arial" w:eastAsia="Times New Roman" w:hAnsi="Arial" w:cs="Arial"/>
          <w:kern w:val="0"/>
          <w:sz w:val="24"/>
          <w:szCs w:val="24"/>
          <w14:ligatures w14:val="none"/>
        </w:rPr>
      </w:pPr>
    </w:p>
    <w:p w14:paraId="088CFA1A" w14:textId="41E31B8C" w:rsidR="001619A2" w:rsidRDefault="00703036" w:rsidP="004C3C87">
      <w:pPr>
        <w:spacing w:after="0" w:line="240" w:lineRule="auto"/>
        <w:ind w:left="709" w:hanging="709"/>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3.4</w:t>
      </w:r>
      <w:r>
        <w:rPr>
          <w:rFonts w:ascii="Arial" w:eastAsia="Times New Roman" w:hAnsi="Arial" w:cs="Arial"/>
          <w:kern w:val="0"/>
          <w:sz w:val="24"/>
          <w:szCs w:val="24"/>
          <w14:ligatures w14:val="none"/>
        </w:rPr>
        <w:tab/>
      </w:r>
      <w:r w:rsidR="001619A2" w:rsidRPr="001619A2">
        <w:rPr>
          <w:rFonts w:ascii="Arial" w:eastAsia="Times New Roman" w:hAnsi="Arial" w:cs="Arial"/>
          <w:kern w:val="0"/>
          <w:sz w:val="24"/>
          <w:szCs w:val="24"/>
          <w14:ligatures w14:val="none"/>
        </w:rPr>
        <w:t>Working Together to Safeguard Children 2023 defines child death review partners as “local authorities and any ICB for the local area as set out in the Children Act 2004 (the Act), as amended by the Children and Social Work Act 201</w:t>
      </w:r>
      <w:r w:rsidR="001619A2">
        <w:rPr>
          <w:rFonts w:ascii="Arial" w:eastAsia="Times New Roman" w:hAnsi="Arial" w:cs="Arial"/>
          <w:kern w:val="0"/>
          <w:sz w:val="24"/>
          <w:szCs w:val="24"/>
          <w14:ligatures w14:val="none"/>
        </w:rPr>
        <w:t xml:space="preserve">7. </w:t>
      </w:r>
      <w:r w:rsidR="001619A2" w:rsidRPr="00FD1B31">
        <w:rPr>
          <w:rFonts w:ascii="Arial" w:eastAsia="Times New Roman" w:hAnsi="Arial" w:cs="Arial"/>
          <w:kern w:val="0"/>
          <w:sz w:val="24"/>
          <w:szCs w:val="24"/>
          <w14:ligatures w14:val="none"/>
        </w:rPr>
        <w:t xml:space="preserve">Sections 16M–Q of the Children Act </w:t>
      </w:r>
      <w:r w:rsidR="001619A2" w:rsidRPr="00FD1B31">
        <w:rPr>
          <w:rFonts w:ascii="Arial" w:eastAsia="Times New Roman" w:hAnsi="Arial" w:cs="Arial"/>
          <w:kern w:val="0"/>
          <w:sz w:val="24"/>
          <w:szCs w:val="24"/>
          <w14:ligatures w14:val="none"/>
        </w:rPr>
        <w:lastRenderedPageBreak/>
        <w:t>2004 and Sections 24–28 of the Children and Social Work Act 2017</w:t>
      </w:r>
      <w:r w:rsidR="001619A2">
        <w:rPr>
          <w:rFonts w:ascii="Arial" w:eastAsia="Times New Roman" w:hAnsi="Arial" w:cs="Arial"/>
          <w:kern w:val="0"/>
          <w:sz w:val="24"/>
          <w:szCs w:val="24"/>
          <w14:ligatures w14:val="none"/>
        </w:rPr>
        <w:t xml:space="preserve"> clearly outline the </w:t>
      </w:r>
      <w:r w:rsidR="001619A2" w:rsidRPr="00FD1B31">
        <w:rPr>
          <w:rFonts w:ascii="Arial" w:eastAsia="Times New Roman" w:hAnsi="Arial" w:cs="Arial"/>
          <w:kern w:val="0"/>
          <w:sz w:val="24"/>
          <w:szCs w:val="24"/>
          <w14:ligatures w14:val="none"/>
        </w:rPr>
        <w:t>ICB</w:t>
      </w:r>
      <w:r w:rsidR="001619A2">
        <w:rPr>
          <w:rFonts w:ascii="Arial" w:eastAsia="Times New Roman" w:hAnsi="Arial" w:cs="Arial"/>
          <w:kern w:val="0"/>
          <w:sz w:val="24"/>
          <w:szCs w:val="24"/>
          <w14:ligatures w14:val="none"/>
        </w:rPr>
        <w:t>’s</w:t>
      </w:r>
      <w:r w:rsidR="001619A2" w:rsidRPr="00FD1B31">
        <w:rPr>
          <w:rFonts w:ascii="Arial" w:eastAsia="Times New Roman" w:hAnsi="Arial" w:cs="Arial"/>
          <w:kern w:val="0"/>
          <w:sz w:val="24"/>
          <w:szCs w:val="24"/>
          <w14:ligatures w14:val="none"/>
        </w:rPr>
        <w:t xml:space="preserve"> statutory responsibilit</w:t>
      </w:r>
      <w:r w:rsidR="001619A2">
        <w:rPr>
          <w:rFonts w:ascii="Arial" w:eastAsia="Times New Roman" w:hAnsi="Arial" w:cs="Arial"/>
          <w:kern w:val="0"/>
          <w:sz w:val="24"/>
          <w:szCs w:val="24"/>
          <w14:ligatures w14:val="none"/>
        </w:rPr>
        <w:t xml:space="preserve">y to </w:t>
      </w:r>
      <w:r w:rsidR="004C3C87">
        <w:rPr>
          <w:rFonts w:ascii="Arial" w:eastAsia="Times New Roman" w:hAnsi="Arial" w:cs="Arial"/>
          <w:kern w:val="0"/>
          <w:sz w:val="24"/>
          <w:szCs w:val="24"/>
          <w14:ligatures w14:val="none"/>
        </w:rPr>
        <w:t>put in place</w:t>
      </w:r>
      <w:r w:rsidR="001619A2">
        <w:rPr>
          <w:rFonts w:ascii="Arial" w:eastAsia="Times New Roman" w:hAnsi="Arial" w:cs="Arial"/>
          <w:kern w:val="0"/>
          <w:sz w:val="24"/>
          <w:szCs w:val="24"/>
          <w14:ligatures w14:val="none"/>
        </w:rPr>
        <w:t xml:space="preserve"> arrangements for </w:t>
      </w:r>
      <w:r w:rsidR="001619A2" w:rsidRPr="001619A2">
        <w:rPr>
          <w:rFonts w:ascii="Arial" w:eastAsia="Times New Roman" w:hAnsi="Arial" w:cs="Arial"/>
          <w:kern w:val="0"/>
          <w:sz w:val="24"/>
          <w:szCs w:val="24"/>
          <w14:ligatures w14:val="none"/>
        </w:rPr>
        <w:t>the review of each death of a child normally resident in the area</w:t>
      </w:r>
      <w:r w:rsidR="001619A2">
        <w:rPr>
          <w:rFonts w:ascii="Arial" w:eastAsia="Times New Roman" w:hAnsi="Arial" w:cs="Arial"/>
          <w:kern w:val="0"/>
          <w:sz w:val="24"/>
          <w:szCs w:val="24"/>
          <w14:ligatures w14:val="none"/>
        </w:rPr>
        <w:t>. For Somerset residents this is undertaken through the Pan Dorset and Somerset Child Death Overview Panel (Hereafter referred to as</w:t>
      </w:r>
      <w:r w:rsidR="004C3C87">
        <w:rPr>
          <w:rFonts w:ascii="Arial" w:eastAsia="Times New Roman" w:hAnsi="Arial" w:cs="Arial"/>
          <w:kern w:val="0"/>
          <w:sz w:val="24"/>
          <w:szCs w:val="24"/>
          <w14:ligatures w14:val="none"/>
        </w:rPr>
        <w:t xml:space="preserve"> ‘the</w:t>
      </w:r>
      <w:r w:rsidR="001619A2">
        <w:rPr>
          <w:rFonts w:ascii="Arial" w:eastAsia="Times New Roman" w:hAnsi="Arial" w:cs="Arial"/>
          <w:kern w:val="0"/>
          <w:sz w:val="24"/>
          <w:szCs w:val="24"/>
          <w14:ligatures w14:val="none"/>
        </w:rPr>
        <w:t xml:space="preserve"> CDOP</w:t>
      </w:r>
      <w:r w:rsidR="004C3C87">
        <w:rPr>
          <w:rFonts w:ascii="Arial" w:eastAsia="Times New Roman" w:hAnsi="Arial" w:cs="Arial"/>
          <w:kern w:val="0"/>
          <w:sz w:val="24"/>
          <w:szCs w:val="24"/>
          <w14:ligatures w14:val="none"/>
        </w:rPr>
        <w:t>’</w:t>
      </w:r>
      <w:r w:rsidR="001619A2">
        <w:rPr>
          <w:rFonts w:ascii="Arial" w:eastAsia="Times New Roman" w:hAnsi="Arial" w:cs="Arial"/>
          <w:kern w:val="0"/>
          <w:sz w:val="24"/>
          <w:szCs w:val="24"/>
          <w14:ligatures w14:val="none"/>
        </w:rPr>
        <w:t xml:space="preserve">). A separate annual report is provided by the Pan Dorset and Somerset Child Death Review partners in relation to the work of the CDOP which can be found </w:t>
      </w:r>
      <w:hyperlink r:id="rId22" w:history="1">
        <w:r w:rsidR="001619A2" w:rsidRPr="001619A2">
          <w:rPr>
            <w:rStyle w:val="Hyperlink"/>
            <w:rFonts w:ascii="Arial" w:eastAsia="Times New Roman" w:hAnsi="Arial" w:cs="Arial"/>
            <w:kern w:val="0"/>
            <w:sz w:val="24"/>
            <w:szCs w:val="24"/>
            <w14:ligatures w14:val="none"/>
          </w:rPr>
          <w:t>here</w:t>
        </w:r>
      </w:hyperlink>
      <w:r w:rsidR="001619A2">
        <w:rPr>
          <w:rFonts w:ascii="Arial" w:eastAsia="Times New Roman" w:hAnsi="Arial" w:cs="Arial"/>
          <w:kern w:val="0"/>
          <w:sz w:val="24"/>
          <w:szCs w:val="24"/>
          <w14:ligatures w14:val="none"/>
        </w:rPr>
        <w:t>.</w:t>
      </w:r>
    </w:p>
    <w:p w14:paraId="2D83B43B" w14:textId="77777777" w:rsidR="00DF773B" w:rsidRDefault="00DF773B" w:rsidP="004C3C87">
      <w:pPr>
        <w:spacing w:after="0" w:line="240" w:lineRule="auto"/>
        <w:ind w:left="709" w:hanging="709"/>
        <w:rPr>
          <w:rFonts w:ascii="Arial" w:eastAsia="Times New Roman" w:hAnsi="Arial" w:cs="Arial"/>
          <w:kern w:val="0"/>
          <w:sz w:val="24"/>
          <w:szCs w:val="24"/>
          <w14:ligatures w14:val="none"/>
        </w:rPr>
      </w:pPr>
    </w:p>
    <w:p w14:paraId="69AE4819" w14:textId="7DE6F9EC" w:rsidR="00DF773B" w:rsidRDefault="00DF773B" w:rsidP="004C3C87">
      <w:pPr>
        <w:spacing w:after="0" w:line="240" w:lineRule="auto"/>
        <w:ind w:left="709" w:hanging="709"/>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3.5</w:t>
      </w:r>
      <w:r>
        <w:rPr>
          <w:rFonts w:ascii="Arial" w:eastAsia="Times New Roman" w:hAnsi="Arial" w:cs="Arial"/>
          <w:kern w:val="0"/>
          <w:sz w:val="24"/>
          <w:szCs w:val="24"/>
          <w14:ligatures w14:val="none"/>
        </w:rPr>
        <w:tab/>
        <w:t xml:space="preserve">The safeguarding team structure, which includes Safeguarding Children </w:t>
      </w:r>
      <w:r w:rsidR="00126D15">
        <w:rPr>
          <w:rFonts w:ascii="Arial" w:eastAsia="Times New Roman" w:hAnsi="Arial" w:cs="Arial"/>
          <w:kern w:val="0"/>
          <w:sz w:val="24"/>
          <w:szCs w:val="24"/>
          <w14:ligatures w14:val="none"/>
        </w:rPr>
        <w:t xml:space="preserve">and Child Death Review professionals </w:t>
      </w:r>
      <w:r>
        <w:rPr>
          <w:rFonts w:ascii="Arial" w:eastAsia="Times New Roman" w:hAnsi="Arial" w:cs="Arial"/>
          <w:kern w:val="0"/>
          <w:sz w:val="24"/>
          <w:szCs w:val="24"/>
          <w14:ligatures w14:val="none"/>
        </w:rPr>
        <w:t>is outlined in Table 1 below:</w:t>
      </w:r>
    </w:p>
    <w:p w14:paraId="71FCA6D1" w14:textId="77777777" w:rsidR="0083384C" w:rsidRDefault="0083384C" w:rsidP="004C3C87">
      <w:pPr>
        <w:spacing w:after="0" w:line="240" w:lineRule="auto"/>
        <w:ind w:left="709" w:hanging="709"/>
        <w:rPr>
          <w:rFonts w:ascii="Arial" w:eastAsia="Times New Roman" w:hAnsi="Arial" w:cs="Arial"/>
          <w:kern w:val="0"/>
          <w:sz w:val="24"/>
          <w:szCs w:val="24"/>
          <w14:ligatures w14:val="none"/>
        </w:rPr>
      </w:pPr>
    </w:p>
    <w:p w14:paraId="6DB9E9F1" w14:textId="4F21F168" w:rsidR="0083384C" w:rsidRDefault="0083384C" w:rsidP="004C3C87">
      <w:pPr>
        <w:spacing w:after="0" w:line="240" w:lineRule="auto"/>
        <w:ind w:left="709" w:hanging="709"/>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3.5.1</w:t>
      </w:r>
      <w:r>
        <w:rPr>
          <w:rFonts w:ascii="Arial" w:eastAsia="Times New Roman" w:hAnsi="Arial" w:cs="Arial"/>
          <w:kern w:val="0"/>
          <w:sz w:val="24"/>
          <w:szCs w:val="24"/>
          <w14:ligatures w14:val="none"/>
        </w:rPr>
        <w:tab/>
        <w:t>Table 1</w:t>
      </w:r>
      <w:r w:rsidR="00DB0DDB">
        <w:rPr>
          <w:rFonts w:ascii="Arial" w:eastAsia="Times New Roman" w:hAnsi="Arial" w:cs="Arial"/>
          <w:kern w:val="0"/>
          <w:sz w:val="24"/>
          <w:szCs w:val="24"/>
          <w14:ligatures w14:val="none"/>
        </w:rPr>
        <w:t>: ICB Safeguarding Children Team Structure 2024 to 2025</w:t>
      </w:r>
    </w:p>
    <w:p w14:paraId="5330533B" w14:textId="3C5191E3" w:rsidR="00812157" w:rsidRDefault="00812157" w:rsidP="004C3C87">
      <w:pPr>
        <w:spacing w:after="0" w:line="240" w:lineRule="auto"/>
        <w:ind w:left="709" w:hanging="709"/>
        <w:rPr>
          <w:rFonts w:ascii="Arial" w:eastAsia="Times New Roman" w:hAnsi="Arial" w:cs="Arial"/>
          <w:kern w:val="0"/>
          <w:sz w:val="24"/>
          <w:szCs w:val="24"/>
          <w14:ligatures w14:val="none"/>
        </w:rPr>
      </w:pPr>
      <w:r>
        <w:rPr>
          <w:noProof/>
        </w:rPr>
        <w:drawing>
          <wp:inline distT="0" distB="0" distL="0" distR="0" wp14:anchorId="20567DD2" wp14:editId="7F5967A9">
            <wp:extent cx="6086475" cy="5305425"/>
            <wp:effectExtent l="0" t="0" r="9525" b="9525"/>
            <wp:docPr id="598287776" name="Picture 1" descr="A diagram of a child death revie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287776" name="Picture 1" descr="A diagram of a child death review&#10;&#10;AI-generated content may be incorrect."/>
                    <pic:cNvPicPr/>
                  </pic:nvPicPr>
                  <pic:blipFill>
                    <a:blip r:embed="rId23"/>
                    <a:stretch>
                      <a:fillRect/>
                    </a:stretch>
                  </pic:blipFill>
                  <pic:spPr>
                    <a:xfrm>
                      <a:off x="0" y="0"/>
                      <a:ext cx="6086475" cy="5305425"/>
                    </a:xfrm>
                    <a:prstGeom prst="rect">
                      <a:avLst/>
                    </a:prstGeom>
                  </pic:spPr>
                </pic:pic>
              </a:graphicData>
            </a:graphic>
          </wp:inline>
        </w:drawing>
      </w:r>
    </w:p>
    <w:p w14:paraId="03FFBD89" w14:textId="23EAC80A" w:rsidR="0083384C" w:rsidRDefault="0083384C" w:rsidP="0083384C">
      <w:pPr>
        <w:spacing w:after="0" w:line="240" w:lineRule="auto"/>
        <w:ind w:left="709" w:hanging="709"/>
        <w:jc w:val="center"/>
        <w:rPr>
          <w:rFonts w:ascii="Arial" w:eastAsia="Times New Roman" w:hAnsi="Arial" w:cs="Arial"/>
          <w:kern w:val="0"/>
          <w:sz w:val="24"/>
          <w:szCs w:val="24"/>
          <w14:ligatures w14:val="none"/>
        </w:rPr>
      </w:pPr>
    </w:p>
    <w:p w14:paraId="495EBA70" w14:textId="3012F223" w:rsidR="00DB0DDB" w:rsidRDefault="00DB0DDB" w:rsidP="00DB0DDB">
      <w:pPr>
        <w:tabs>
          <w:tab w:val="left" w:pos="720"/>
          <w:tab w:val="left" w:pos="851"/>
        </w:tabs>
        <w:spacing w:after="0" w:line="240" w:lineRule="auto"/>
        <w:ind w:left="709" w:hanging="709"/>
        <w:rPr>
          <w:rFonts w:ascii="Arial" w:eastAsia="Calibri" w:hAnsi="Arial" w:cs="Arial"/>
          <w:b/>
          <w:color w:val="000000" w:themeColor="text1"/>
          <w:kern w:val="0"/>
          <w:sz w:val="24"/>
          <w:szCs w:val="20"/>
          <w14:ligatures w14:val="none"/>
        </w:rPr>
      </w:pPr>
      <w:r>
        <w:rPr>
          <w:rFonts w:ascii="Arial" w:eastAsia="Calibri" w:hAnsi="Arial" w:cs="Arial"/>
          <w:b/>
          <w:bCs/>
          <w:color w:val="000000" w:themeColor="text1"/>
          <w:sz w:val="24"/>
          <w:szCs w:val="24"/>
        </w:rPr>
        <w:tab/>
      </w:r>
      <w:r w:rsidRPr="00DB0DDB">
        <w:rPr>
          <w:rFonts w:ascii="Arial" w:eastAsia="Calibri" w:hAnsi="Arial" w:cs="Arial"/>
          <w:b/>
          <w:bCs/>
          <w:color w:val="000000" w:themeColor="text1"/>
          <w:sz w:val="24"/>
          <w:szCs w:val="24"/>
        </w:rPr>
        <w:t>Somerset health system leadership and</w:t>
      </w:r>
      <w:r>
        <w:rPr>
          <w:rFonts w:ascii="Arial" w:eastAsia="Calibri" w:hAnsi="Arial" w:cs="Arial"/>
          <w:color w:val="000000" w:themeColor="text1"/>
          <w:sz w:val="24"/>
          <w:szCs w:val="24"/>
          <w:u w:val="single"/>
        </w:rPr>
        <w:t xml:space="preserve"> </w:t>
      </w:r>
      <w:r w:rsidRPr="00DB0DDB">
        <w:rPr>
          <w:rFonts w:ascii="Arial" w:eastAsia="Calibri" w:hAnsi="Arial" w:cs="Arial"/>
          <w:b/>
          <w:color w:val="000000" w:themeColor="text1"/>
          <w:kern w:val="0"/>
          <w:sz w:val="24"/>
          <w:szCs w:val="20"/>
          <w14:ligatures w14:val="none"/>
        </w:rPr>
        <w:t>accountability</w:t>
      </w:r>
    </w:p>
    <w:p w14:paraId="21667595" w14:textId="77777777" w:rsidR="00DB0DDB" w:rsidRDefault="00DB0DDB" w:rsidP="00DB0DDB">
      <w:pPr>
        <w:tabs>
          <w:tab w:val="left" w:pos="720"/>
          <w:tab w:val="left" w:pos="851"/>
        </w:tabs>
        <w:spacing w:after="0" w:line="240" w:lineRule="auto"/>
        <w:ind w:left="709" w:hanging="709"/>
        <w:rPr>
          <w:rFonts w:ascii="Arial" w:eastAsia="Calibri" w:hAnsi="Arial" w:cs="Arial"/>
          <w:color w:val="000000" w:themeColor="text1"/>
          <w:sz w:val="24"/>
          <w:szCs w:val="24"/>
        </w:rPr>
      </w:pPr>
    </w:p>
    <w:p w14:paraId="5ACAE1A4" w14:textId="77777777" w:rsidR="00DB0DDB" w:rsidRPr="00DB0DDB" w:rsidRDefault="00DB0DDB" w:rsidP="00DB0DDB">
      <w:pPr>
        <w:tabs>
          <w:tab w:val="left" w:pos="709"/>
        </w:tabs>
        <w:spacing w:after="120" w:line="240" w:lineRule="auto"/>
        <w:ind w:left="709" w:hanging="567"/>
        <w:contextualSpacing/>
        <w:rPr>
          <w:rFonts w:ascii="Arial" w:eastAsia="Times New Roman" w:hAnsi="Arial" w:cs="Arial"/>
          <w:kern w:val="0"/>
          <w:sz w:val="24"/>
          <w:szCs w:val="24"/>
          <w14:ligatures w14:val="none"/>
        </w:rPr>
      </w:pPr>
      <w:r>
        <w:rPr>
          <w:rFonts w:ascii="Arial" w:eastAsia="Calibri" w:hAnsi="Arial" w:cs="Arial"/>
          <w:color w:val="000000" w:themeColor="text1"/>
          <w:sz w:val="24"/>
          <w:szCs w:val="24"/>
        </w:rPr>
        <w:t>3.6</w:t>
      </w:r>
      <w:r>
        <w:rPr>
          <w:rFonts w:ascii="Arial" w:eastAsia="Calibri" w:hAnsi="Arial" w:cs="Arial"/>
          <w:color w:val="000000" w:themeColor="text1"/>
          <w:sz w:val="24"/>
          <w:szCs w:val="24"/>
        </w:rPr>
        <w:tab/>
      </w:r>
      <w:r w:rsidRPr="00DB0DDB">
        <w:rPr>
          <w:rFonts w:ascii="Arial" w:eastAsia="Times New Roman" w:hAnsi="Arial" w:cs="Arial"/>
          <w:kern w:val="0"/>
          <w:sz w:val="24"/>
          <w:szCs w:val="24"/>
          <w14:ligatures w14:val="none"/>
        </w:rPr>
        <w:t>There is a clear line of accountability for safeguarding children and child death review</w:t>
      </w:r>
    </w:p>
    <w:p w14:paraId="57635E4F" w14:textId="3A47612E" w:rsidR="00DB0DDB" w:rsidRPr="007B535F" w:rsidRDefault="00DB0DDB" w:rsidP="007B535F">
      <w:pPr>
        <w:tabs>
          <w:tab w:val="left" w:pos="709"/>
        </w:tabs>
        <w:spacing w:after="0" w:line="240" w:lineRule="auto"/>
        <w:ind w:left="709" w:hanging="567"/>
        <w:contextualSpacing/>
        <w:rPr>
          <w:rFonts w:ascii="Arial" w:eastAsia="Calibri" w:hAnsi="Arial" w:cs="Arial"/>
          <w:color w:val="000000" w:themeColor="text1"/>
          <w:sz w:val="24"/>
          <w:szCs w:val="24"/>
        </w:rPr>
      </w:pPr>
      <w:r>
        <w:rPr>
          <w:rFonts w:ascii="Arial" w:eastAsia="Times New Roman" w:hAnsi="Arial" w:cs="Arial"/>
          <w:kern w:val="0"/>
          <w:sz w:val="24"/>
          <w:szCs w:val="24"/>
          <w14:ligatures w14:val="none"/>
        </w:rPr>
        <w:tab/>
      </w:r>
      <w:r w:rsidRPr="00DB0DDB">
        <w:rPr>
          <w:rFonts w:ascii="Arial" w:eastAsia="Times New Roman" w:hAnsi="Arial" w:cs="Arial"/>
          <w:kern w:val="0"/>
          <w:sz w:val="24"/>
          <w:szCs w:val="24"/>
          <w14:ligatures w14:val="none"/>
        </w:rPr>
        <w:t>workstreams reflected in the ICB governance arrangements outlined in Table 2 below. We have</w:t>
      </w:r>
      <w:r>
        <w:rPr>
          <w:rFonts w:ascii="Arial" w:eastAsia="Times New Roman" w:hAnsi="Arial" w:cs="Arial"/>
          <w:kern w:val="0"/>
          <w:sz w:val="24"/>
          <w:szCs w:val="24"/>
          <w14:ligatures w14:val="none"/>
        </w:rPr>
        <w:t xml:space="preserve"> </w:t>
      </w:r>
      <w:r w:rsidRPr="00DB0DDB">
        <w:rPr>
          <w:rFonts w:ascii="Arial" w:eastAsia="Times New Roman" w:hAnsi="Arial" w:cs="Arial"/>
          <w:kern w:val="0"/>
          <w:sz w:val="24"/>
          <w:szCs w:val="24"/>
          <w14:ligatures w14:val="none"/>
        </w:rPr>
        <w:t>achieved compliance against the requirements of the NHS Safeguarding Accountability and Assurance Framework</w:t>
      </w:r>
      <w:r w:rsidRPr="00DB0DDB">
        <w:rPr>
          <w:rFonts w:eastAsia="Times New Roman"/>
          <w:kern w:val="0"/>
          <w14:ligatures w14:val="none"/>
        </w:rPr>
        <w:footnoteReference w:id="4"/>
      </w:r>
      <w:r w:rsidRPr="00DB0DDB">
        <w:rPr>
          <w:rFonts w:ascii="Arial" w:eastAsia="Times New Roman" w:hAnsi="Arial" w:cs="Arial"/>
          <w:kern w:val="0"/>
          <w:sz w:val="24"/>
          <w:szCs w:val="24"/>
          <w14:ligatures w14:val="none"/>
        </w:rPr>
        <w:t xml:space="preserve"> (SAAF) and substantial assurance on how the </w:t>
      </w:r>
      <w:r w:rsidRPr="00DB0DDB">
        <w:rPr>
          <w:rFonts w:ascii="Arial" w:eastAsia="Times New Roman" w:hAnsi="Arial" w:cs="Arial"/>
          <w:kern w:val="0"/>
          <w:sz w:val="24"/>
          <w:szCs w:val="24"/>
          <w14:ligatures w14:val="none"/>
        </w:rPr>
        <w:lastRenderedPageBreak/>
        <w:t>ICB has met its statutory roles and responsibilities in relation to safeguarding children and child death reviews has been provided to NHS England (Hereafter referred to as ‘NHSE) National and South West safeguarding teams from 1st April 2024 to 31st March 2025 through the following</w:t>
      </w:r>
      <w:r w:rsidRPr="00BA6ECD">
        <w:rPr>
          <w:rFonts w:ascii="Arial" w:eastAsia="Calibri" w:hAnsi="Arial" w:cs="Arial"/>
          <w:color w:val="000000" w:themeColor="text1"/>
          <w:sz w:val="24"/>
          <w:szCs w:val="24"/>
        </w:rPr>
        <w:t>:</w:t>
      </w:r>
    </w:p>
    <w:p w14:paraId="6C62DDDE" w14:textId="77777777" w:rsidR="00DB0DDB" w:rsidRPr="00444034" w:rsidRDefault="00DB0DDB" w:rsidP="007B535F">
      <w:pPr>
        <w:pStyle w:val="ListParagraph"/>
        <w:numPr>
          <w:ilvl w:val="2"/>
          <w:numId w:val="12"/>
        </w:numPr>
        <w:tabs>
          <w:tab w:val="left" w:pos="1134"/>
        </w:tabs>
        <w:spacing w:after="0" w:line="240" w:lineRule="auto"/>
        <w:ind w:left="1134" w:hanging="425"/>
        <w:contextualSpacing w:val="0"/>
        <w:rPr>
          <w:rFonts w:ascii="Arial" w:eastAsia="Calibri" w:hAnsi="Arial" w:cs="Arial"/>
          <w:bCs/>
          <w:color w:val="000000" w:themeColor="text1"/>
          <w:sz w:val="24"/>
          <w:szCs w:val="24"/>
        </w:rPr>
      </w:pPr>
      <w:r w:rsidRPr="00444034">
        <w:rPr>
          <w:rFonts w:ascii="Arial" w:eastAsia="Calibri" w:hAnsi="Arial" w:cs="Arial"/>
          <w:bCs/>
          <w:color w:val="000000" w:themeColor="text1"/>
          <w:sz w:val="24"/>
          <w:szCs w:val="24"/>
        </w:rPr>
        <w:t>Quarterly Safeguarding Assurance reports.</w:t>
      </w:r>
    </w:p>
    <w:p w14:paraId="27E66DC9" w14:textId="77777777" w:rsidR="00DB0DDB" w:rsidRPr="00444034" w:rsidRDefault="00DB0DDB" w:rsidP="007B535F">
      <w:pPr>
        <w:pStyle w:val="ListParagraph"/>
        <w:numPr>
          <w:ilvl w:val="2"/>
          <w:numId w:val="12"/>
        </w:numPr>
        <w:tabs>
          <w:tab w:val="left" w:pos="1134"/>
        </w:tabs>
        <w:spacing w:after="0" w:line="240" w:lineRule="auto"/>
        <w:ind w:left="1134" w:hanging="425"/>
        <w:contextualSpacing w:val="0"/>
        <w:rPr>
          <w:rFonts w:ascii="Arial" w:eastAsia="Calibri" w:hAnsi="Arial" w:cs="Arial"/>
          <w:bCs/>
          <w:color w:val="000000" w:themeColor="text1"/>
          <w:sz w:val="24"/>
          <w:szCs w:val="24"/>
        </w:rPr>
      </w:pPr>
      <w:r w:rsidRPr="00444034">
        <w:rPr>
          <w:rFonts w:ascii="Arial" w:eastAsia="Calibri" w:hAnsi="Arial" w:cs="Arial"/>
          <w:bCs/>
          <w:color w:val="000000" w:themeColor="text1"/>
          <w:sz w:val="24"/>
          <w:szCs w:val="24"/>
        </w:rPr>
        <w:t>Quarterly Safeguarding Commissioning Assurance Toolkit (SCAT) submissions</w:t>
      </w:r>
    </w:p>
    <w:p w14:paraId="4E0E6D4B" w14:textId="77777777" w:rsidR="00DB0DDB" w:rsidRPr="00444034" w:rsidRDefault="00DB0DDB" w:rsidP="00444034">
      <w:pPr>
        <w:pStyle w:val="ListParagraph"/>
        <w:numPr>
          <w:ilvl w:val="2"/>
          <w:numId w:val="12"/>
        </w:numPr>
        <w:tabs>
          <w:tab w:val="left" w:pos="1134"/>
        </w:tabs>
        <w:spacing w:after="0" w:line="240" w:lineRule="auto"/>
        <w:ind w:left="1134" w:hanging="425"/>
        <w:contextualSpacing w:val="0"/>
        <w:rPr>
          <w:rFonts w:ascii="Arial" w:eastAsia="Calibri" w:hAnsi="Arial" w:cs="Arial"/>
          <w:bCs/>
          <w:color w:val="000000" w:themeColor="text1"/>
          <w:sz w:val="24"/>
          <w:szCs w:val="24"/>
        </w:rPr>
      </w:pPr>
      <w:r w:rsidRPr="00444034">
        <w:rPr>
          <w:rFonts w:ascii="Arial" w:eastAsia="Calibri" w:hAnsi="Arial" w:cs="Arial"/>
          <w:bCs/>
          <w:color w:val="000000" w:themeColor="text1"/>
          <w:sz w:val="24"/>
          <w:szCs w:val="24"/>
        </w:rPr>
        <w:t xml:space="preserve">System updates provided to the South West safeguarding steering group. </w:t>
      </w:r>
    </w:p>
    <w:p w14:paraId="1A83B5B5" w14:textId="77777777" w:rsidR="00DB0DDB" w:rsidRPr="00444034" w:rsidRDefault="00DB0DDB" w:rsidP="00444034">
      <w:pPr>
        <w:pStyle w:val="ListParagraph"/>
        <w:numPr>
          <w:ilvl w:val="2"/>
          <w:numId w:val="12"/>
        </w:numPr>
        <w:tabs>
          <w:tab w:val="left" w:pos="1134"/>
        </w:tabs>
        <w:spacing w:after="0" w:line="240" w:lineRule="auto"/>
        <w:ind w:left="1134" w:hanging="425"/>
        <w:contextualSpacing w:val="0"/>
        <w:rPr>
          <w:rFonts w:ascii="Arial" w:eastAsia="Calibri" w:hAnsi="Arial" w:cs="Arial"/>
          <w:bCs/>
          <w:color w:val="000000" w:themeColor="text1"/>
          <w:sz w:val="24"/>
          <w:szCs w:val="24"/>
        </w:rPr>
      </w:pPr>
      <w:bookmarkStart w:id="5" w:name="_Hlk137459051"/>
      <w:r w:rsidRPr="00444034">
        <w:rPr>
          <w:rFonts w:ascii="Arial" w:eastAsia="Calibri" w:hAnsi="Arial" w:cs="Arial"/>
          <w:bCs/>
          <w:color w:val="000000" w:themeColor="text1"/>
          <w:sz w:val="24"/>
          <w:szCs w:val="24"/>
        </w:rPr>
        <w:t xml:space="preserve">System updates provided to the </w:t>
      </w:r>
      <w:bookmarkEnd w:id="5"/>
      <w:r w:rsidRPr="00444034">
        <w:rPr>
          <w:rFonts w:ascii="Arial" w:eastAsia="Calibri" w:hAnsi="Arial" w:cs="Arial"/>
          <w:bCs/>
          <w:color w:val="000000" w:themeColor="text1"/>
          <w:sz w:val="24"/>
          <w:szCs w:val="24"/>
        </w:rPr>
        <w:t>South West Designated Professionals forums.</w:t>
      </w:r>
    </w:p>
    <w:p w14:paraId="49DEA3F7" w14:textId="77777777" w:rsidR="00DB0DDB" w:rsidRPr="00444034" w:rsidRDefault="00DB0DDB" w:rsidP="00444034">
      <w:pPr>
        <w:pStyle w:val="ListParagraph"/>
        <w:numPr>
          <w:ilvl w:val="2"/>
          <w:numId w:val="12"/>
        </w:numPr>
        <w:tabs>
          <w:tab w:val="left" w:pos="1134"/>
        </w:tabs>
        <w:spacing w:after="0" w:line="240" w:lineRule="auto"/>
        <w:ind w:left="1134" w:hanging="425"/>
        <w:contextualSpacing w:val="0"/>
        <w:rPr>
          <w:rFonts w:ascii="Arial" w:eastAsia="Calibri" w:hAnsi="Arial" w:cs="Arial"/>
          <w:bCs/>
          <w:color w:val="000000" w:themeColor="text1"/>
          <w:sz w:val="24"/>
          <w:szCs w:val="24"/>
        </w:rPr>
      </w:pPr>
      <w:r w:rsidRPr="00444034">
        <w:rPr>
          <w:rFonts w:ascii="Arial" w:eastAsia="Calibri" w:hAnsi="Arial" w:cs="Arial"/>
          <w:bCs/>
          <w:color w:val="000000" w:themeColor="text1"/>
          <w:sz w:val="24"/>
          <w:szCs w:val="24"/>
        </w:rPr>
        <w:t>Data submissions through the Safeguarding Integrated Data Dashboard (SIDD)</w:t>
      </w:r>
    </w:p>
    <w:p w14:paraId="3F4A24FD" w14:textId="77777777" w:rsidR="00DB0DDB" w:rsidRPr="00DB0DDB" w:rsidRDefault="00DB0DDB" w:rsidP="00DB0DDB">
      <w:pPr>
        <w:pStyle w:val="ListParagraph"/>
        <w:spacing w:after="0" w:line="240" w:lineRule="auto"/>
        <w:ind w:left="1854"/>
        <w:jc w:val="both"/>
        <w:rPr>
          <w:rFonts w:ascii="Arial" w:eastAsia="Calibri" w:hAnsi="Arial" w:cs="Arial"/>
          <w:color w:val="000000" w:themeColor="text1"/>
          <w:sz w:val="24"/>
          <w:szCs w:val="24"/>
        </w:rPr>
      </w:pPr>
    </w:p>
    <w:p w14:paraId="1A79E025" w14:textId="77777777" w:rsidR="00DB0DDB" w:rsidRDefault="00DB0DDB" w:rsidP="00DB0DDB">
      <w:pPr>
        <w:spacing w:after="0" w:line="240" w:lineRule="auto"/>
        <w:jc w:val="both"/>
        <w:rPr>
          <w:rFonts w:ascii="Arial" w:eastAsia="Calibri" w:hAnsi="Arial" w:cs="Arial"/>
          <w:color w:val="000000" w:themeColor="text1"/>
          <w:sz w:val="24"/>
          <w:szCs w:val="24"/>
        </w:rPr>
      </w:pPr>
      <w:r w:rsidRPr="00DB0DDB">
        <w:rPr>
          <w:rFonts w:ascii="Arial" w:eastAsia="Calibri" w:hAnsi="Arial" w:cs="Arial"/>
          <w:color w:val="000000" w:themeColor="text1"/>
          <w:sz w:val="24"/>
          <w:szCs w:val="24"/>
        </w:rPr>
        <w:t>3.6.1</w:t>
      </w:r>
      <w:r w:rsidRPr="00DB0DDB">
        <w:rPr>
          <w:rFonts w:ascii="Arial" w:eastAsia="Calibri" w:hAnsi="Arial" w:cs="Arial"/>
          <w:color w:val="000000" w:themeColor="text1"/>
          <w:sz w:val="24"/>
          <w:szCs w:val="24"/>
        </w:rPr>
        <w:tab/>
        <w:t>Table 2: Somerset ICB Safeguarding Children Governance Framework</w:t>
      </w:r>
    </w:p>
    <w:p w14:paraId="055E4E8E" w14:textId="11CC23C8" w:rsidR="00DB0DDB" w:rsidRPr="00DB0DDB" w:rsidRDefault="00DB0DDB" w:rsidP="00DB0DDB">
      <w:pPr>
        <w:spacing w:after="0" w:line="240" w:lineRule="auto"/>
        <w:jc w:val="both"/>
        <w:rPr>
          <w:rFonts w:ascii="Arial" w:eastAsia="Calibri" w:hAnsi="Arial" w:cs="Arial"/>
          <w:color w:val="000000" w:themeColor="text1"/>
          <w:sz w:val="24"/>
          <w:szCs w:val="24"/>
        </w:rPr>
      </w:pPr>
    </w:p>
    <w:p w14:paraId="65F017AE" w14:textId="5F8566A7" w:rsidR="00DF773B" w:rsidRDefault="00812157" w:rsidP="004C3C87">
      <w:pPr>
        <w:spacing w:after="0" w:line="240" w:lineRule="auto"/>
        <w:ind w:left="709" w:hanging="709"/>
        <w:rPr>
          <w:rFonts w:ascii="Arial" w:eastAsia="Times New Roman" w:hAnsi="Arial" w:cs="Arial"/>
          <w:kern w:val="0"/>
          <w:sz w:val="24"/>
          <w:szCs w:val="24"/>
          <w14:ligatures w14:val="none"/>
        </w:rPr>
      </w:pPr>
      <w:r w:rsidRPr="00812157">
        <w:rPr>
          <w:rFonts w:ascii="Arial" w:eastAsia="Times New Roman" w:hAnsi="Arial" w:cs="Arial"/>
          <w:noProof/>
          <w:kern w:val="0"/>
          <w:sz w:val="24"/>
          <w:szCs w:val="24"/>
          <w14:ligatures w14:val="none"/>
        </w:rPr>
        <mc:AlternateContent>
          <mc:Choice Requires="wps">
            <w:drawing>
              <wp:anchor distT="45720" distB="45720" distL="114300" distR="114300" simplePos="0" relativeHeight="251769856" behindDoc="0" locked="0" layoutInCell="1" allowOverlap="1" wp14:anchorId="0829570B" wp14:editId="2B46BB24">
                <wp:simplePos x="0" y="0"/>
                <wp:positionH relativeFrom="column">
                  <wp:posOffset>5219700</wp:posOffset>
                </wp:positionH>
                <wp:positionV relativeFrom="paragraph">
                  <wp:posOffset>3676650</wp:posOffset>
                </wp:positionV>
                <wp:extent cx="901700" cy="292100"/>
                <wp:effectExtent l="0" t="0" r="12700"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292100"/>
                        </a:xfrm>
                        <a:prstGeom prst="rect">
                          <a:avLst/>
                        </a:prstGeom>
                        <a:solidFill>
                          <a:srgbClr val="FFFFFF"/>
                        </a:solidFill>
                        <a:ln w="9525">
                          <a:solidFill>
                            <a:srgbClr val="000000"/>
                          </a:solidFill>
                          <a:miter lim="800000"/>
                          <a:headEnd/>
                          <a:tailEnd/>
                        </a:ln>
                      </wps:spPr>
                      <wps:txbx>
                        <w:txbxContent>
                          <w:p w14:paraId="300ACE4F" w14:textId="221F18A1" w:rsidR="00812157" w:rsidRPr="00812157" w:rsidRDefault="00812157">
                            <w:pPr>
                              <w:rPr>
                                <w:rFonts w:ascii="Arial" w:hAnsi="Arial" w:cs="Arial"/>
                                <w:sz w:val="12"/>
                                <w:szCs w:val="12"/>
                              </w:rPr>
                            </w:pPr>
                            <w:r w:rsidRPr="00812157">
                              <w:rPr>
                                <w:rFonts w:ascii="Arial" w:hAnsi="Arial" w:cs="Arial"/>
                                <w:sz w:val="12"/>
                                <w:szCs w:val="12"/>
                              </w:rPr>
                              <w:t>ICB Safeguarding Assurance Meeting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29570B" id="_x0000_t202" coordsize="21600,21600" o:spt="202" path="m,l,21600r21600,l21600,xe">
                <v:stroke joinstyle="miter"/>
                <v:path gradientshapeok="t" o:connecttype="rect"/>
              </v:shapetype>
              <v:shape id="Text Box 2" o:spid="_x0000_s1026" type="#_x0000_t202" style="position:absolute;left:0;text-align:left;margin-left:411pt;margin-top:289.5pt;width:71pt;height:23pt;z-index:251769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cBXDgIAACUEAAAOAAAAZHJzL2Uyb0RvYy54bWysU9tu2zAMfR+wfxD0vviCZG2MOEWXLsOA&#10;rhvQ7QNkWbaFyaImKbGzrx8lu2l2exmmB4EUqUPykNzcjL0iR2GdBF3SbJFSIjSHWuq2pF8+719d&#10;U+I80zVToEVJT8LRm+3LF5vBFCKHDlQtLEEQ7YrBlLTz3hRJ4ngneuYWYIRGYwO2Zx5V2ya1ZQOi&#10;9yrJ0/R1MoCtjQUunMPXu8lItxG/aQT3H5vGCU9USTE3H28b7yrcyXbDitYy00k+p8H+IYueSY1B&#10;z1B3zDNysPI3qF5yCw4av+DQJ9A0kotYA1aTpb9U89gxI2ItSI4zZ5rc/4PlD8dH88kSP76BERsY&#10;i3DmHvhXRzTsOqZbcWstDJ1gNQbOAmXJYFwxfw1Uu8IFkGr4ADU2mR08RKCxsX1gBeskiI4NOJ1J&#10;F6MnHB/XaXaVooWjKV/nGcohAiuePhvr/DsBPQlCSS32NIKz473zk+uTS4jlQMl6L5WKim2rnbLk&#10;yLD/+3hm9J/clCYDZrLKV1P9f4VI4/kTRC89DrKSfUmvz06sCKy91XUcM8+kmmSsTumZxsDcxKEf&#10;q5HIeuY4sFpBfUJeLUxzi3uGQgf2OyUDzmxJ3bcDs4IS9V5jb9bZchmGPCrL1VWOir20VJcWpjlC&#10;ldRTMok7Hxcj8KbhFnvYyMjvcyZzyjiLsUPz3oRhv9Sj1/N2b38AAAD//wMAUEsDBBQABgAIAAAA&#10;IQBSLAyu4QAAAAsBAAAPAAAAZHJzL2Rvd25yZXYueG1sTI/BTsMwEETvSPyDtUhcEHUIbdqEOBVC&#10;AsEN2gqubrxNIuJ1sN00/D3LCW4z2tHbmXI92V6M6EPnSMHNLAGBVDvTUaNgt328XoEIUZPRvSNU&#10;8I0B1tX5WakL4070huMmNoIhFAqtoI1xKKQMdYtWh5kbkPh2cN7qyNY30nh9YrjtZZokmbS6I/7Q&#10;6gEfWqw/N0erYDV/Hj/Cy+3re50d+jxeLcenL6/U5cV0fwci4hT/wvBbn6tDxZ327kgmiJ4Zacpb&#10;ooLFMmfBiTybs9gryNJFArIq5f8N1Q8AAAD//wMAUEsBAi0AFAAGAAgAAAAhALaDOJL+AAAA4QEA&#10;ABMAAAAAAAAAAAAAAAAAAAAAAFtDb250ZW50X1R5cGVzXS54bWxQSwECLQAUAAYACAAAACEAOP0h&#10;/9YAAACUAQAACwAAAAAAAAAAAAAAAAAvAQAAX3JlbHMvLnJlbHNQSwECLQAUAAYACAAAACEA9THA&#10;Vw4CAAAlBAAADgAAAAAAAAAAAAAAAAAuAgAAZHJzL2Uyb0RvYy54bWxQSwECLQAUAAYACAAAACEA&#10;UiwMruEAAAALAQAADwAAAAAAAAAAAAAAAABoBAAAZHJzL2Rvd25yZXYueG1sUEsFBgAAAAAEAAQA&#10;8wAAAHYFAAAAAA==&#10;">
                <v:textbox>
                  <w:txbxContent>
                    <w:p w14:paraId="300ACE4F" w14:textId="221F18A1" w:rsidR="00812157" w:rsidRPr="00812157" w:rsidRDefault="00812157">
                      <w:pPr>
                        <w:rPr>
                          <w:rFonts w:ascii="Arial" w:hAnsi="Arial" w:cs="Arial"/>
                          <w:sz w:val="12"/>
                          <w:szCs w:val="12"/>
                        </w:rPr>
                      </w:pPr>
                      <w:r w:rsidRPr="00812157">
                        <w:rPr>
                          <w:rFonts w:ascii="Arial" w:hAnsi="Arial" w:cs="Arial"/>
                          <w:sz w:val="12"/>
                          <w:szCs w:val="12"/>
                        </w:rPr>
                        <w:t>ICB Safeguarding Assurance Meeting</w:t>
                      </w:r>
                    </w:p>
                  </w:txbxContent>
                </v:textbox>
              </v:shape>
            </w:pict>
          </mc:Fallback>
        </mc:AlternateContent>
      </w:r>
      <w:r w:rsidR="00DB0DDB">
        <w:rPr>
          <w:noProof/>
        </w:rPr>
        <w:drawing>
          <wp:inline distT="0" distB="0" distL="0" distR="0" wp14:anchorId="645AAF43" wp14:editId="5FD3E987">
            <wp:extent cx="6645910" cy="3938905"/>
            <wp:effectExtent l="0" t="0" r="2540" b="4445"/>
            <wp:docPr id="700782774" name="Picture 1" descr="A diagram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782774" name="Picture 1" descr="A diagram with blue text&#10;&#10;AI-generated content may be incorrect."/>
                    <pic:cNvPicPr/>
                  </pic:nvPicPr>
                  <pic:blipFill>
                    <a:blip r:embed="rId24"/>
                    <a:stretch>
                      <a:fillRect/>
                    </a:stretch>
                  </pic:blipFill>
                  <pic:spPr>
                    <a:xfrm>
                      <a:off x="0" y="0"/>
                      <a:ext cx="6645910" cy="3938905"/>
                    </a:xfrm>
                    <a:prstGeom prst="rect">
                      <a:avLst/>
                    </a:prstGeom>
                  </pic:spPr>
                </pic:pic>
              </a:graphicData>
            </a:graphic>
          </wp:inline>
        </w:drawing>
      </w:r>
    </w:p>
    <w:p w14:paraId="67D9249F" w14:textId="77777777" w:rsidR="00812157" w:rsidRDefault="00812157" w:rsidP="004C3C87">
      <w:pPr>
        <w:spacing w:after="0" w:line="240" w:lineRule="auto"/>
        <w:ind w:left="709" w:hanging="709"/>
        <w:rPr>
          <w:rFonts w:ascii="Arial" w:eastAsia="Times New Roman" w:hAnsi="Arial" w:cs="Arial"/>
          <w:kern w:val="0"/>
          <w:sz w:val="24"/>
          <w:szCs w:val="24"/>
          <w14:ligatures w14:val="none"/>
        </w:rPr>
      </w:pPr>
    </w:p>
    <w:p w14:paraId="37C4CFC6" w14:textId="77777777" w:rsidR="00812157" w:rsidRDefault="00812157" w:rsidP="004C3C87">
      <w:pPr>
        <w:spacing w:after="0" w:line="240" w:lineRule="auto"/>
        <w:ind w:left="709" w:hanging="709"/>
        <w:rPr>
          <w:rFonts w:ascii="Arial" w:eastAsia="Times New Roman" w:hAnsi="Arial" w:cs="Arial"/>
          <w:kern w:val="0"/>
          <w:sz w:val="24"/>
          <w:szCs w:val="24"/>
          <w14:ligatures w14:val="none"/>
        </w:rPr>
      </w:pPr>
    </w:p>
    <w:p w14:paraId="337EE527" w14:textId="4DD5108C" w:rsidR="00DF773B" w:rsidRDefault="00DF773B" w:rsidP="004C3C87">
      <w:pPr>
        <w:spacing w:after="0" w:line="240" w:lineRule="auto"/>
        <w:ind w:left="709" w:hanging="709"/>
        <w:rPr>
          <w:rFonts w:ascii="Arial" w:eastAsia="Times New Roman" w:hAnsi="Arial" w:cs="Arial"/>
          <w:b/>
          <w:bCs/>
          <w:kern w:val="0"/>
          <w:sz w:val="24"/>
          <w:szCs w:val="24"/>
          <w14:ligatures w14:val="none"/>
        </w:rPr>
      </w:pPr>
      <w:r w:rsidRPr="00DF773B">
        <w:rPr>
          <w:rFonts w:ascii="Arial" w:eastAsia="Times New Roman" w:hAnsi="Arial" w:cs="Arial"/>
          <w:b/>
          <w:bCs/>
          <w:kern w:val="0"/>
          <w:sz w:val="24"/>
          <w:szCs w:val="24"/>
          <w14:ligatures w14:val="none"/>
        </w:rPr>
        <w:t>3.</w:t>
      </w:r>
      <w:r w:rsidR="00DB0DDB">
        <w:rPr>
          <w:rFonts w:ascii="Arial" w:eastAsia="Times New Roman" w:hAnsi="Arial" w:cs="Arial"/>
          <w:b/>
          <w:bCs/>
          <w:kern w:val="0"/>
          <w:sz w:val="24"/>
          <w:szCs w:val="24"/>
          <w14:ligatures w14:val="none"/>
        </w:rPr>
        <w:t>7</w:t>
      </w:r>
      <w:r w:rsidRPr="00DF773B">
        <w:rPr>
          <w:rFonts w:ascii="Arial" w:eastAsia="Times New Roman" w:hAnsi="Arial" w:cs="Arial"/>
          <w:b/>
          <w:bCs/>
          <w:kern w:val="0"/>
          <w:sz w:val="24"/>
          <w:szCs w:val="24"/>
          <w14:ligatures w14:val="none"/>
        </w:rPr>
        <w:tab/>
        <w:t xml:space="preserve">Discharging </w:t>
      </w:r>
      <w:r>
        <w:rPr>
          <w:rFonts w:ascii="Arial" w:eastAsia="Times New Roman" w:hAnsi="Arial" w:cs="Arial"/>
          <w:b/>
          <w:bCs/>
          <w:kern w:val="0"/>
          <w:sz w:val="24"/>
          <w:szCs w:val="24"/>
          <w14:ligatures w14:val="none"/>
        </w:rPr>
        <w:t xml:space="preserve">our </w:t>
      </w:r>
      <w:r w:rsidRPr="00DF773B">
        <w:rPr>
          <w:rFonts w:ascii="Arial" w:eastAsia="Times New Roman" w:hAnsi="Arial" w:cs="Arial"/>
          <w:b/>
          <w:bCs/>
          <w:kern w:val="0"/>
          <w:sz w:val="24"/>
          <w:szCs w:val="24"/>
          <w14:ligatures w14:val="none"/>
        </w:rPr>
        <w:t>Statutory Safeguarding Children</w:t>
      </w:r>
      <w:r w:rsidR="00114BAC">
        <w:rPr>
          <w:rFonts w:ascii="Arial" w:eastAsia="Times New Roman" w:hAnsi="Arial" w:cs="Arial"/>
          <w:b/>
          <w:bCs/>
          <w:kern w:val="0"/>
          <w:sz w:val="24"/>
          <w:szCs w:val="24"/>
          <w14:ligatures w14:val="none"/>
        </w:rPr>
        <w:t xml:space="preserve"> and Child Death Review</w:t>
      </w:r>
      <w:r w:rsidRPr="00DF773B">
        <w:rPr>
          <w:rFonts w:ascii="Arial" w:eastAsia="Times New Roman" w:hAnsi="Arial" w:cs="Arial"/>
          <w:b/>
          <w:bCs/>
          <w:kern w:val="0"/>
          <w:sz w:val="24"/>
          <w:szCs w:val="24"/>
          <w14:ligatures w14:val="none"/>
        </w:rPr>
        <w:t xml:space="preserve"> duties</w:t>
      </w:r>
    </w:p>
    <w:p w14:paraId="0A1BBB2E" w14:textId="77777777" w:rsidR="0083384C" w:rsidRDefault="0083384C" w:rsidP="0083384C">
      <w:pPr>
        <w:spacing w:after="0" w:line="240" w:lineRule="auto"/>
        <w:jc w:val="both"/>
        <w:rPr>
          <w:rFonts w:ascii="Arial" w:eastAsia="Calibri" w:hAnsi="Arial" w:cs="Arial"/>
          <w:color w:val="000000" w:themeColor="text1"/>
          <w:sz w:val="24"/>
          <w:szCs w:val="24"/>
        </w:rPr>
      </w:pPr>
    </w:p>
    <w:p w14:paraId="47AC3FB8" w14:textId="40388F86" w:rsidR="00DA5516" w:rsidRPr="00F23A66" w:rsidRDefault="00126D15" w:rsidP="00DA5516">
      <w:pPr>
        <w:pStyle w:val="NoSpacing"/>
        <w:ind w:left="709" w:hanging="709"/>
        <w:rPr>
          <w:rFonts w:ascii="Arial" w:hAnsi="Arial" w:cs="Arial"/>
          <w:sz w:val="24"/>
          <w:szCs w:val="24"/>
        </w:rPr>
      </w:pPr>
      <w:r w:rsidRPr="0074542E">
        <w:rPr>
          <w:rFonts w:ascii="Arial" w:eastAsia="Calibri" w:hAnsi="Arial" w:cs="Arial"/>
          <w:noProof/>
          <w:color w:val="000000" w:themeColor="text1"/>
          <w:szCs w:val="20"/>
          <w:lang w:eastAsia="en-GB"/>
        </w:rPr>
        <mc:AlternateContent>
          <mc:Choice Requires="wps">
            <w:drawing>
              <wp:anchor distT="0" distB="0" distL="114300" distR="114300" simplePos="0" relativeHeight="251767808" behindDoc="0" locked="0" layoutInCell="1" allowOverlap="1" wp14:anchorId="479F3605" wp14:editId="39DFF840">
                <wp:simplePos x="0" y="0"/>
                <wp:positionH relativeFrom="column">
                  <wp:posOffset>7138306</wp:posOffset>
                </wp:positionH>
                <wp:positionV relativeFrom="paragraph">
                  <wp:posOffset>1410558</wp:posOffset>
                </wp:positionV>
                <wp:extent cx="2071007" cy="1234514"/>
                <wp:effectExtent l="19050" t="152400" r="43815" b="41910"/>
                <wp:wrapNone/>
                <wp:docPr id="1926683355" name="Oval Callout 25"/>
                <wp:cNvGraphicFramePr/>
                <a:graphic xmlns:a="http://schemas.openxmlformats.org/drawingml/2006/main">
                  <a:graphicData uri="http://schemas.microsoft.com/office/word/2010/wordprocessingShape">
                    <wps:wsp>
                      <wps:cNvSpPr/>
                      <wps:spPr>
                        <a:xfrm>
                          <a:off x="0" y="0"/>
                          <a:ext cx="2071007" cy="1234514"/>
                        </a:xfrm>
                        <a:prstGeom prst="wedgeEllipseCallout">
                          <a:avLst>
                            <a:gd name="adj1" fmla="val -33301"/>
                            <a:gd name="adj2" fmla="val -61364"/>
                          </a:avLst>
                        </a:prstGeom>
                        <a:solidFill>
                          <a:srgbClr val="4F81BD"/>
                        </a:solidFill>
                        <a:ln w="25400" cap="flat" cmpd="sng" algn="ctr">
                          <a:solidFill>
                            <a:srgbClr val="4F81BD">
                              <a:shade val="50000"/>
                            </a:srgbClr>
                          </a:solidFill>
                          <a:prstDash val="solid"/>
                        </a:ln>
                        <a:effectLst/>
                      </wps:spPr>
                      <wps:txbx>
                        <w:txbxContent>
                          <w:p w14:paraId="56F1068F" w14:textId="77777777" w:rsidR="00126D15" w:rsidRPr="009B6C4E" w:rsidRDefault="00126D15" w:rsidP="00126D15">
                            <w:pPr>
                              <w:jc w:val="center"/>
                              <w:rPr>
                                <w:rFonts w:ascii="Arial" w:hAnsi="Arial" w:cs="Arial"/>
                                <w:sz w:val="20"/>
                                <w:szCs w:val="20"/>
                              </w:rPr>
                            </w:pPr>
                          </w:p>
                          <w:p w14:paraId="77959182" w14:textId="77777777" w:rsidR="00126D15" w:rsidRPr="009B6C4E" w:rsidRDefault="00126D15" w:rsidP="00126D15">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9F3605"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25" o:spid="_x0000_s1027" type="#_x0000_t63" style="position:absolute;left:0;text-align:left;margin-left:562.05pt;margin-top:111.05pt;width:163.05pt;height:97.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IijkwIAAEMFAAAOAAAAZHJzL2Uyb0RvYy54bWysVEtv2zAMvg/YfxB0b20nTtsFdYosWYYB&#10;RVugHXpmZMn2IEuapMTpfv0o2XltPQ3LQSFNio+PH3V7t2sl2XLrGq0Kml2mlHDFdNmoqqDfX1YX&#10;N5Q4D6oEqRUv6Bt39G728cNtZ6Z8pGstS24JBlFu2pmC1t6baZI4VvMW3KU2XKFRaNuCR9VWSWmh&#10;w+itTEZpepV02pbGasadw6/L3khnMb4QnPlHIRz3RBYUa/PxtPFchzOZ3cK0smDqhg1lwD9U0UKj&#10;MOkh1BI8kI1t/grVNsxqp4W/ZLpNtBAN47EH7CZL/+jmuQbDYy8IjjMHmNz/C8sets/mySIMnXFT&#10;h2LoYidsG/6xPrKLYL0dwOI7Txh+HKXXWZpeU8LQlo3G+STLA5zJ8bqxzn/luiVBKGjHy4p/kbIx&#10;ji9ASr3xETPY3jsfwSuJghZZAuWPjBLRSpzFFiS5GI/HaTYM68RpdOZ0lY2v9iUMMbGYfREhgdOy&#10;KVeNlFGx1XohLcEEBc1XN9nn5VD/mZtUpMNuJ3mK/GGAHBUSPIqtKQvqVEUJyArJz7yN7Zzddu8k&#10;iclrKHmfepLib5+5d48onsUJXSzB1f2VaBquSBXi8ch1xDFM4DjKIPndejfMd63LtydLrO73wBm2&#10;ajDwPTj/BBbBxhZxmf0jHkJq7FsPEiW1tr/e+x78kY9opaTDRUJMfm7AckrkN4VM/ZTledi8qOST&#10;6xEq9tSyPrWoTbvQOA8cP1YXxeDv5V4UVrevuPPzkBVNoBjm7tEflIXvFxxfDcbn8+iG22bA36tn&#10;w0LwAFmA9GX3CtYM/PRI7Qe9XzqYRg71jD76hptKzzdei+YAdo/rgDxuapzf8KqEp+BUj17Ht2/2&#10;GwAA//8DAFBLAwQUAAYACAAAACEA4+lIKeAAAAANAQAADwAAAGRycy9kb3ducmV2LnhtbEyPQUvE&#10;MBCF74L/IYzgzU0b2kVr00UK4sGD7Kp4TZuxLTaT2qS79d87e9LDwDze48035W51ozjiHAZPGtJN&#10;AgKp9XagTsPb6+PNLYgQDVkzekINPxhgV11elKaw/kR7PB5iJ7iEQmE09DFOhZSh7dGZsPETEnuf&#10;fnYmspw7aWdz4nI3SpUkW+nMQHyhNxPWPbZfh8Vp+Kif9uP0Iu3yXDdd/v59Z3m0vr5aH+5BRFzj&#10;XxjO+IwOFTM1fiEbxMg6VVnKWQ1KKV7OkSxPFIhGQ5Zuc5BVKf9/Uf0CAAD//wMAUEsBAi0AFAAG&#10;AAgAAAAhALaDOJL+AAAA4QEAABMAAAAAAAAAAAAAAAAAAAAAAFtDb250ZW50X1R5cGVzXS54bWxQ&#10;SwECLQAUAAYACAAAACEAOP0h/9YAAACUAQAACwAAAAAAAAAAAAAAAAAvAQAAX3JlbHMvLnJlbHNQ&#10;SwECLQAUAAYACAAAACEAhzSIo5MCAABDBQAADgAAAAAAAAAAAAAAAAAuAgAAZHJzL2Uyb0RvYy54&#10;bWxQSwECLQAUAAYACAAAACEA4+lIKeAAAAANAQAADwAAAAAAAAAAAAAAAADtBAAAZHJzL2Rvd25y&#10;ZXYueG1sUEsFBgAAAAAEAAQA8wAAAPoFAAAAAA==&#10;" adj="3607,-2455" fillcolor="#4f81bd" strokecolor="#385d8a" strokeweight="2pt">
                <v:textbox>
                  <w:txbxContent>
                    <w:p w14:paraId="56F1068F" w14:textId="77777777" w:rsidR="00126D15" w:rsidRPr="009B6C4E" w:rsidRDefault="00126D15" w:rsidP="00126D15">
                      <w:pPr>
                        <w:jc w:val="center"/>
                        <w:rPr>
                          <w:rFonts w:ascii="Arial" w:hAnsi="Arial" w:cs="Arial"/>
                          <w:sz w:val="20"/>
                          <w:szCs w:val="20"/>
                        </w:rPr>
                      </w:pPr>
                    </w:p>
                    <w:p w14:paraId="77959182" w14:textId="77777777" w:rsidR="00126D15" w:rsidRPr="009B6C4E" w:rsidRDefault="00126D15" w:rsidP="00126D15">
                      <w:pPr>
                        <w:rPr>
                          <w:rFonts w:ascii="Arial" w:hAnsi="Arial" w:cs="Arial"/>
                          <w:sz w:val="20"/>
                          <w:szCs w:val="20"/>
                        </w:rPr>
                      </w:pPr>
                    </w:p>
                  </w:txbxContent>
                </v:textbox>
              </v:shape>
            </w:pict>
          </mc:Fallback>
        </mc:AlternateContent>
      </w:r>
      <w:r w:rsidRPr="00BA6ECD">
        <w:rPr>
          <w:rFonts w:ascii="Arial" w:eastAsia="Calibri" w:hAnsi="Arial" w:cs="Arial"/>
          <w:color w:val="000000" w:themeColor="text1"/>
          <w:sz w:val="24"/>
          <w:szCs w:val="24"/>
        </w:rPr>
        <w:t>3.</w:t>
      </w:r>
      <w:r w:rsidR="00DB0DDB">
        <w:rPr>
          <w:rFonts w:ascii="Arial" w:eastAsia="Calibri" w:hAnsi="Arial" w:cs="Arial"/>
          <w:color w:val="000000" w:themeColor="text1"/>
          <w:sz w:val="24"/>
          <w:szCs w:val="24"/>
        </w:rPr>
        <w:t>7</w:t>
      </w:r>
      <w:r w:rsidRPr="00BA6ECD">
        <w:rPr>
          <w:rFonts w:ascii="Arial" w:eastAsia="Calibri" w:hAnsi="Arial" w:cs="Arial"/>
          <w:color w:val="000000" w:themeColor="text1"/>
          <w:sz w:val="24"/>
          <w:szCs w:val="24"/>
        </w:rPr>
        <w:t>.</w:t>
      </w:r>
      <w:r w:rsidR="00DB0DDB">
        <w:rPr>
          <w:rFonts w:ascii="Arial" w:eastAsia="Calibri" w:hAnsi="Arial" w:cs="Arial"/>
          <w:color w:val="000000" w:themeColor="text1"/>
          <w:sz w:val="24"/>
          <w:szCs w:val="24"/>
        </w:rPr>
        <w:t>1</w:t>
      </w:r>
      <w:r w:rsidRPr="00BA6ECD">
        <w:rPr>
          <w:rFonts w:ascii="Arial" w:eastAsia="Calibri" w:hAnsi="Arial" w:cs="Arial"/>
          <w:color w:val="000000" w:themeColor="text1"/>
          <w:sz w:val="24"/>
          <w:szCs w:val="24"/>
        </w:rPr>
        <w:tab/>
      </w:r>
      <w:r w:rsidR="00DA5516" w:rsidRPr="00DA5516">
        <w:rPr>
          <w:rFonts w:ascii="Arial" w:eastAsia="Calibri" w:hAnsi="Arial" w:cs="Arial"/>
          <w:color w:val="000000" w:themeColor="text1"/>
          <w:sz w:val="24"/>
          <w:szCs w:val="24"/>
          <w:u w:val="single"/>
        </w:rPr>
        <w:t>Inspections</w:t>
      </w:r>
      <w:r w:rsidR="00DA5516">
        <w:rPr>
          <w:rFonts w:ascii="Arial" w:eastAsia="Calibri" w:hAnsi="Arial" w:cs="Arial"/>
          <w:color w:val="000000" w:themeColor="text1"/>
          <w:sz w:val="24"/>
          <w:szCs w:val="24"/>
        </w:rPr>
        <w:t xml:space="preserve">: </w:t>
      </w:r>
      <w:r w:rsidR="00DA5516" w:rsidRPr="00DA5516">
        <w:rPr>
          <w:rFonts w:ascii="Arial" w:eastAsia="Calibri" w:hAnsi="Arial" w:cs="Arial"/>
          <w:color w:val="000000" w:themeColor="text1"/>
          <w:sz w:val="24"/>
          <w:szCs w:val="24"/>
        </w:rPr>
        <w:t>Joint Targeted Area Inspections (JTAIs) are multi-agency inspections carried out by Ofsted, the Care Quality Commission (CQC), HM Inspectorate of Constabulary and Fire &amp; Rescue Services (HMICFRS), and HM Inspectorate of Probation (HMIP). They look at how local services work together to safeguard children.</w:t>
      </w:r>
      <w:r w:rsidR="00DA5516">
        <w:rPr>
          <w:rFonts w:ascii="Arial" w:eastAsia="Calibri" w:hAnsi="Arial" w:cs="Arial"/>
          <w:color w:val="000000" w:themeColor="text1"/>
          <w:sz w:val="24"/>
          <w:szCs w:val="24"/>
        </w:rPr>
        <w:t xml:space="preserve"> </w:t>
      </w:r>
      <w:r w:rsidR="00DA5516" w:rsidRPr="00DA5516">
        <w:rPr>
          <w:rFonts w:ascii="Arial" w:hAnsi="Arial" w:cs="Arial"/>
          <w:sz w:val="24"/>
          <w:szCs w:val="24"/>
        </w:rPr>
        <w:t>A</w:t>
      </w:r>
      <w:r w:rsidR="00DA5516">
        <w:rPr>
          <w:rFonts w:ascii="Arial" w:hAnsi="Arial" w:cs="Arial"/>
          <w:sz w:val="24"/>
          <w:szCs w:val="24"/>
        </w:rPr>
        <w:t xml:space="preserve"> JTAI</w:t>
      </w:r>
      <w:r w:rsidR="00DA5516" w:rsidRPr="00DA5516">
        <w:rPr>
          <w:rFonts w:ascii="Arial" w:hAnsi="Arial" w:cs="Arial"/>
          <w:sz w:val="24"/>
          <w:szCs w:val="24"/>
        </w:rPr>
        <w:t xml:space="preserve"> inspection of the multi-</w:t>
      </w:r>
      <w:r w:rsidR="00DA5516" w:rsidRPr="00F23A66">
        <w:rPr>
          <w:rFonts w:ascii="Arial" w:hAnsi="Arial" w:cs="Arial"/>
          <w:sz w:val="24"/>
          <w:szCs w:val="24"/>
        </w:rPr>
        <w:t>agency response to Serious Youth Violence and Child Exploitation in Somerset took place in May 2024. The ICB provided system leadership for the health safeguarding system, which included but wasn’t limited to the following:</w:t>
      </w:r>
    </w:p>
    <w:p w14:paraId="514B0DBF" w14:textId="4B97EB48" w:rsidR="00DA5516" w:rsidRPr="00F23A66" w:rsidRDefault="00DA5516" w:rsidP="00F23A66">
      <w:pPr>
        <w:pStyle w:val="ListParagraph"/>
        <w:numPr>
          <w:ilvl w:val="0"/>
          <w:numId w:val="27"/>
        </w:numPr>
        <w:ind w:left="1134" w:hanging="425"/>
        <w:rPr>
          <w:rFonts w:ascii="Arial" w:eastAsia="Times New Roman" w:hAnsi="Arial" w:cs="Arial"/>
          <w:kern w:val="0"/>
          <w:sz w:val="24"/>
          <w:szCs w:val="24"/>
          <w14:ligatures w14:val="none"/>
        </w:rPr>
      </w:pPr>
      <w:r w:rsidRPr="00F23A66">
        <w:rPr>
          <w:rFonts w:ascii="Arial" w:eastAsia="Times New Roman" w:hAnsi="Arial" w:cs="Arial"/>
          <w:kern w:val="0"/>
          <w:sz w:val="24"/>
          <w:szCs w:val="24"/>
          <w14:ligatures w14:val="none"/>
        </w:rPr>
        <w:t>Representing health services at a strategic level in the partnership meetings with inspectors.</w:t>
      </w:r>
    </w:p>
    <w:p w14:paraId="4E3C46AC" w14:textId="66CBCD0C" w:rsidR="00DA5516" w:rsidRPr="00F23A66" w:rsidRDefault="00DA5516" w:rsidP="00F23A66">
      <w:pPr>
        <w:pStyle w:val="ListParagraph"/>
        <w:numPr>
          <w:ilvl w:val="0"/>
          <w:numId w:val="27"/>
        </w:numPr>
        <w:ind w:left="1134" w:hanging="425"/>
        <w:rPr>
          <w:rFonts w:ascii="Arial" w:eastAsia="Times New Roman" w:hAnsi="Arial" w:cs="Arial"/>
          <w:kern w:val="0"/>
          <w:sz w:val="24"/>
          <w:szCs w:val="24"/>
          <w14:ligatures w14:val="none"/>
        </w:rPr>
      </w:pPr>
      <w:r w:rsidRPr="00F23A66">
        <w:rPr>
          <w:rFonts w:ascii="Arial" w:eastAsia="Times New Roman" w:hAnsi="Arial" w:cs="Arial"/>
          <w:kern w:val="0"/>
          <w:sz w:val="24"/>
          <w:szCs w:val="24"/>
          <w14:ligatures w14:val="none"/>
        </w:rPr>
        <w:t>Coordinating the health system’s contribution to the JTAI, collating evidence from providers, and presenting a clear picture of safeguarding arrangements across health services.</w:t>
      </w:r>
    </w:p>
    <w:p w14:paraId="7AC6D4B9" w14:textId="6F3E8379" w:rsidR="00F23A66" w:rsidRPr="00F23A66" w:rsidRDefault="00F23A66" w:rsidP="00F23A66">
      <w:pPr>
        <w:pStyle w:val="ListParagraph"/>
        <w:numPr>
          <w:ilvl w:val="0"/>
          <w:numId w:val="27"/>
        </w:numPr>
        <w:ind w:left="1134" w:hanging="425"/>
        <w:rPr>
          <w:rFonts w:ascii="Arial" w:eastAsia="Times New Roman" w:hAnsi="Arial" w:cs="Arial"/>
          <w:kern w:val="0"/>
          <w:sz w:val="24"/>
          <w:szCs w:val="24"/>
          <w14:ligatures w14:val="none"/>
        </w:rPr>
      </w:pPr>
      <w:r w:rsidRPr="00F23A66">
        <w:rPr>
          <w:rFonts w:ascii="Arial" w:eastAsia="Times New Roman" w:hAnsi="Arial" w:cs="Arial"/>
          <w:kern w:val="0"/>
          <w:sz w:val="24"/>
          <w:szCs w:val="24"/>
          <w14:ligatures w14:val="none"/>
        </w:rPr>
        <w:lastRenderedPageBreak/>
        <w:t>Coordinating appropriate health system representation at tracking meetings and site visits during the JTAI.</w:t>
      </w:r>
    </w:p>
    <w:p w14:paraId="3A60842D" w14:textId="68127363" w:rsidR="00DA5516" w:rsidRPr="00F23A66" w:rsidRDefault="00F23A66" w:rsidP="00F23A66">
      <w:pPr>
        <w:pStyle w:val="ListParagraph"/>
        <w:numPr>
          <w:ilvl w:val="0"/>
          <w:numId w:val="27"/>
        </w:numPr>
        <w:ind w:left="1134" w:hanging="425"/>
        <w:rPr>
          <w:rFonts w:ascii="Arial" w:eastAsia="Times New Roman" w:hAnsi="Arial" w:cs="Arial"/>
          <w:kern w:val="0"/>
          <w:sz w:val="24"/>
          <w:szCs w:val="24"/>
          <w14:ligatures w14:val="none"/>
        </w:rPr>
      </w:pPr>
      <w:r w:rsidRPr="00F23A66">
        <w:rPr>
          <w:rFonts w:ascii="Arial" w:eastAsia="Times New Roman" w:hAnsi="Arial" w:cs="Arial"/>
          <w:kern w:val="0"/>
          <w:sz w:val="24"/>
          <w:szCs w:val="24"/>
          <w14:ligatures w14:val="none"/>
        </w:rPr>
        <w:t>Facilitating where needed</w:t>
      </w:r>
      <w:r w:rsidR="00DA5516" w:rsidRPr="00F23A66">
        <w:rPr>
          <w:rFonts w:ascii="Arial" w:eastAsia="Times New Roman" w:hAnsi="Arial" w:cs="Arial"/>
          <w:kern w:val="0"/>
          <w:sz w:val="24"/>
          <w:szCs w:val="24"/>
          <w14:ligatures w14:val="none"/>
        </w:rPr>
        <w:t xml:space="preserve"> health </w:t>
      </w:r>
      <w:r w:rsidRPr="00F23A66">
        <w:rPr>
          <w:rFonts w:ascii="Arial" w:eastAsia="Times New Roman" w:hAnsi="Arial" w:cs="Arial"/>
          <w:kern w:val="0"/>
          <w:sz w:val="24"/>
          <w:szCs w:val="24"/>
          <w14:ligatures w14:val="none"/>
        </w:rPr>
        <w:t>professional’s prompt response</w:t>
      </w:r>
      <w:r w:rsidR="00DA5516" w:rsidRPr="00F23A66">
        <w:rPr>
          <w:rFonts w:ascii="Arial" w:eastAsia="Times New Roman" w:hAnsi="Arial" w:cs="Arial"/>
          <w:kern w:val="0"/>
          <w:sz w:val="24"/>
          <w:szCs w:val="24"/>
          <w14:ligatures w14:val="none"/>
        </w:rPr>
        <w:t xml:space="preserve"> to safeguarding concerns </w:t>
      </w:r>
      <w:r w:rsidRPr="00F23A66">
        <w:rPr>
          <w:rFonts w:ascii="Arial" w:eastAsia="Times New Roman" w:hAnsi="Arial" w:cs="Arial"/>
          <w:kern w:val="0"/>
          <w:sz w:val="24"/>
          <w:szCs w:val="24"/>
          <w14:ligatures w14:val="none"/>
        </w:rPr>
        <w:t>raised by inspectors</w:t>
      </w:r>
    </w:p>
    <w:p w14:paraId="6C4BA720" w14:textId="454AA8AD" w:rsidR="00DA5516" w:rsidRPr="00F23A66" w:rsidRDefault="00F23A66" w:rsidP="00F23A66">
      <w:pPr>
        <w:pStyle w:val="ListParagraph"/>
        <w:numPr>
          <w:ilvl w:val="0"/>
          <w:numId w:val="27"/>
        </w:numPr>
        <w:ind w:left="1134" w:hanging="425"/>
        <w:rPr>
          <w:rFonts w:ascii="Arial" w:eastAsia="Times New Roman" w:hAnsi="Arial" w:cs="Arial"/>
          <w:kern w:val="0"/>
          <w:sz w:val="24"/>
          <w:szCs w:val="24"/>
          <w14:ligatures w14:val="none"/>
        </w:rPr>
      </w:pPr>
      <w:r w:rsidRPr="00F23A66">
        <w:rPr>
          <w:rFonts w:ascii="Arial" w:eastAsia="Times New Roman" w:hAnsi="Arial" w:cs="Arial"/>
          <w:kern w:val="0"/>
          <w:sz w:val="24"/>
          <w:szCs w:val="24"/>
          <w14:ligatures w14:val="none"/>
        </w:rPr>
        <w:t>Sharing</w:t>
      </w:r>
      <w:r w:rsidR="00DA5516" w:rsidRPr="00F23A66">
        <w:rPr>
          <w:rFonts w:ascii="Arial" w:eastAsia="Times New Roman" w:hAnsi="Arial" w:cs="Arial"/>
          <w:kern w:val="0"/>
          <w:sz w:val="24"/>
          <w:szCs w:val="24"/>
          <w14:ligatures w14:val="none"/>
        </w:rPr>
        <w:t xml:space="preserve"> inspection findings and recommendations</w:t>
      </w:r>
      <w:r w:rsidRPr="00F23A66">
        <w:rPr>
          <w:rFonts w:ascii="Arial" w:eastAsia="Times New Roman" w:hAnsi="Arial" w:cs="Arial"/>
          <w:kern w:val="0"/>
          <w:sz w:val="24"/>
          <w:szCs w:val="24"/>
          <w14:ligatures w14:val="none"/>
        </w:rPr>
        <w:t xml:space="preserve"> providers</w:t>
      </w:r>
      <w:r w:rsidR="00DA5516" w:rsidRPr="00F23A66">
        <w:rPr>
          <w:rFonts w:ascii="Arial" w:eastAsia="Times New Roman" w:hAnsi="Arial" w:cs="Arial"/>
          <w:kern w:val="0"/>
          <w:sz w:val="24"/>
          <w:szCs w:val="24"/>
          <w14:ligatures w14:val="none"/>
        </w:rPr>
        <w:t>.</w:t>
      </w:r>
    </w:p>
    <w:p w14:paraId="7C888D4C" w14:textId="27C4D34F" w:rsidR="00DA5516" w:rsidRDefault="00DA5516" w:rsidP="00007224">
      <w:pPr>
        <w:pStyle w:val="ListParagraph"/>
        <w:numPr>
          <w:ilvl w:val="0"/>
          <w:numId w:val="27"/>
        </w:numPr>
        <w:spacing w:after="0" w:line="240" w:lineRule="auto"/>
        <w:ind w:left="1134" w:hanging="425"/>
        <w:rPr>
          <w:rFonts w:ascii="Arial" w:eastAsia="Times New Roman" w:hAnsi="Arial" w:cs="Arial"/>
          <w:kern w:val="0"/>
          <w:sz w:val="24"/>
          <w:szCs w:val="24"/>
          <w14:ligatures w14:val="none"/>
        </w:rPr>
      </w:pPr>
      <w:r w:rsidRPr="00F23A66">
        <w:rPr>
          <w:rFonts w:ascii="Arial" w:eastAsia="Times New Roman" w:hAnsi="Arial" w:cs="Arial"/>
          <w:kern w:val="0"/>
          <w:sz w:val="24"/>
          <w:szCs w:val="24"/>
          <w14:ligatures w14:val="none"/>
        </w:rPr>
        <w:t xml:space="preserve">Leading </w:t>
      </w:r>
      <w:r w:rsidR="00F23A66" w:rsidRPr="00F23A66">
        <w:rPr>
          <w:rFonts w:ascii="Arial" w:eastAsia="Times New Roman" w:hAnsi="Arial" w:cs="Arial"/>
          <w:kern w:val="0"/>
          <w:sz w:val="24"/>
          <w:szCs w:val="24"/>
          <w14:ligatures w14:val="none"/>
        </w:rPr>
        <w:t>and</w:t>
      </w:r>
      <w:r w:rsidRPr="00F23A66">
        <w:rPr>
          <w:rFonts w:ascii="Arial" w:eastAsia="Times New Roman" w:hAnsi="Arial" w:cs="Arial"/>
          <w:kern w:val="0"/>
          <w:sz w:val="24"/>
          <w:szCs w:val="24"/>
          <w14:ligatures w14:val="none"/>
        </w:rPr>
        <w:t xml:space="preserve"> contributing to post-inspection action planning to strengthen safeguarding practice</w:t>
      </w:r>
      <w:r w:rsidR="00F23A66" w:rsidRPr="00F23A66">
        <w:rPr>
          <w:rFonts w:ascii="Arial" w:eastAsia="Times New Roman" w:hAnsi="Arial" w:cs="Arial"/>
          <w:kern w:val="0"/>
          <w:sz w:val="24"/>
          <w:szCs w:val="24"/>
          <w14:ligatures w14:val="none"/>
        </w:rPr>
        <w:t xml:space="preserve"> for the health system, as well as the wider safeguarding system</w:t>
      </w:r>
      <w:r w:rsidRPr="00F23A66">
        <w:rPr>
          <w:rFonts w:ascii="Arial" w:eastAsia="Times New Roman" w:hAnsi="Arial" w:cs="Arial"/>
          <w:kern w:val="0"/>
          <w:sz w:val="24"/>
          <w:szCs w:val="24"/>
          <w14:ligatures w14:val="none"/>
        </w:rPr>
        <w:t>.</w:t>
      </w:r>
    </w:p>
    <w:p w14:paraId="301F4991" w14:textId="77777777" w:rsidR="00007224" w:rsidRDefault="00007224" w:rsidP="00007224">
      <w:pPr>
        <w:spacing w:after="0" w:line="240" w:lineRule="auto"/>
        <w:ind w:left="709"/>
        <w:rPr>
          <w:rFonts w:ascii="Arial" w:eastAsia="Times New Roman" w:hAnsi="Arial" w:cs="Arial"/>
          <w:kern w:val="0"/>
          <w:sz w:val="24"/>
          <w:szCs w:val="24"/>
          <w14:ligatures w14:val="none"/>
        </w:rPr>
      </w:pPr>
    </w:p>
    <w:p w14:paraId="58E6A800" w14:textId="113B6F08" w:rsidR="00F23A66" w:rsidRPr="00F23A66" w:rsidRDefault="00F23A66" w:rsidP="00007224">
      <w:pPr>
        <w:spacing w:after="0" w:line="240" w:lineRule="auto"/>
        <w:ind w:left="709"/>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The </w:t>
      </w:r>
      <w:hyperlink r:id="rId25" w:history="1">
        <w:r w:rsidRPr="0080041E">
          <w:rPr>
            <w:rStyle w:val="Hyperlink"/>
            <w:rFonts w:ascii="Arial" w:eastAsia="Times New Roman" w:hAnsi="Arial" w:cs="Arial"/>
            <w:kern w:val="0"/>
            <w:sz w:val="24"/>
            <w:szCs w:val="24"/>
            <w14:ligatures w14:val="none"/>
          </w:rPr>
          <w:t>letter</w:t>
        </w:r>
      </w:hyperlink>
      <w:r w:rsidR="0080041E">
        <w:rPr>
          <w:rFonts w:ascii="Arial" w:eastAsia="Times New Roman" w:hAnsi="Arial" w:cs="Arial"/>
          <w:kern w:val="0"/>
          <w:sz w:val="24"/>
          <w:szCs w:val="24"/>
          <w14:ligatures w14:val="none"/>
        </w:rPr>
        <w:t xml:space="preserve">, </w:t>
      </w:r>
      <w:r>
        <w:rPr>
          <w:rFonts w:ascii="Arial" w:eastAsia="Times New Roman" w:hAnsi="Arial" w:cs="Arial"/>
          <w:kern w:val="0"/>
          <w:sz w:val="24"/>
          <w:szCs w:val="24"/>
          <w14:ligatures w14:val="none"/>
        </w:rPr>
        <w:t>was published in July 2024 and outlined t</w:t>
      </w:r>
      <w:r w:rsidRPr="00F23A66">
        <w:rPr>
          <w:rFonts w:ascii="Arial" w:eastAsia="Times New Roman" w:hAnsi="Arial" w:cs="Arial"/>
          <w:kern w:val="0"/>
          <w:sz w:val="24"/>
          <w:szCs w:val="24"/>
          <w14:ligatures w14:val="none"/>
        </w:rPr>
        <w:t>he</w:t>
      </w:r>
      <w:r>
        <w:rPr>
          <w:rFonts w:ascii="Arial" w:eastAsia="Times New Roman" w:hAnsi="Arial" w:cs="Arial"/>
          <w:kern w:val="0"/>
          <w:sz w:val="24"/>
          <w:szCs w:val="24"/>
          <w14:ligatures w14:val="none"/>
        </w:rPr>
        <w:t xml:space="preserve"> inspectorate’s</w:t>
      </w:r>
      <w:r w:rsidRPr="00F23A66">
        <w:rPr>
          <w:rFonts w:ascii="Arial" w:eastAsia="Times New Roman" w:hAnsi="Arial" w:cs="Arial"/>
          <w:kern w:val="0"/>
          <w:sz w:val="24"/>
          <w:szCs w:val="24"/>
          <w14:ligatures w14:val="none"/>
        </w:rPr>
        <w:t xml:space="preserve"> findings in </w:t>
      </w:r>
      <w:r w:rsidR="0080041E">
        <w:rPr>
          <w:rFonts w:ascii="Arial" w:eastAsia="Times New Roman" w:hAnsi="Arial" w:cs="Arial"/>
          <w:kern w:val="0"/>
          <w:sz w:val="24"/>
          <w:szCs w:val="24"/>
          <w14:ligatures w14:val="none"/>
        </w:rPr>
        <w:t>relation to</w:t>
      </w:r>
      <w:r w:rsidRPr="00F23A66">
        <w:rPr>
          <w:rFonts w:ascii="Arial" w:eastAsia="Times New Roman" w:hAnsi="Arial" w:cs="Arial"/>
          <w:kern w:val="0"/>
          <w:sz w:val="24"/>
          <w:szCs w:val="24"/>
          <w14:ligatures w14:val="none"/>
        </w:rPr>
        <w:t xml:space="preserve"> the effectiveness of the multi-agency response to children aged 10 and over who are at risk of or affected by serious youth violence and/or criminal exploitation.</w:t>
      </w:r>
      <w:r w:rsidR="0080041E">
        <w:rPr>
          <w:rFonts w:ascii="Arial" w:eastAsia="Times New Roman" w:hAnsi="Arial" w:cs="Arial"/>
          <w:kern w:val="0"/>
          <w:sz w:val="24"/>
          <w:szCs w:val="24"/>
          <w14:ligatures w14:val="none"/>
        </w:rPr>
        <w:t xml:space="preserve"> The ICB safeguarding </w:t>
      </w:r>
      <w:r w:rsidR="00AD2CD5">
        <w:rPr>
          <w:rFonts w:ascii="Arial" w:eastAsia="Times New Roman" w:hAnsi="Arial" w:cs="Arial"/>
          <w:kern w:val="0"/>
          <w:sz w:val="24"/>
          <w:szCs w:val="24"/>
          <w14:ligatures w14:val="none"/>
        </w:rPr>
        <w:t xml:space="preserve">children </w:t>
      </w:r>
      <w:r w:rsidR="0080041E">
        <w:rPr>
          <w:rFonts w:ascii="Arial" w:eastAsia="Times New Roman" w:hAnsi="Arial" w:cs="Arial"/>
          <w:kern w:val="0"/>
          <w:sz w:val="24"/>
          <w:szCs w:val="24"/>
          <w14:ligatures w14:val="none"/>
        </w:rPr>
        <w:t>team contributed to the written statement of proposed action, which is overseen by the Somerset safeguarding Children Partnership and the Safer Somerset Partnership</w:t>
      </w:r>
      <w:r w:rsidR="00AD2CD5">
        <w:rPr>
          <w:rFonts w:ascii="Arial" w:eastAsia="Times New Roman" w:hAnsi="Arial" w:cs="Arial"/>
          <w:kern w:val="0"/>
          <w:sz w:val="24"/>
          <w:szCs w:val="24"/>
          <w14:ligatures w14:val="none"/>
        </w:rPr>
        <w:t>. The ICB safeguarding children team are responsible for the following:</w:t>
      </w:r>
      <w:r w:rsidR="0080041E">
        <w:rPr>
          <w:rFonts w:ascii="Arial" w:eastAsia="Times New Roman" w:hAnsi="Arial" w:cs="Arial"/>
          <w:kern w:val="0"/>
          <w:sz w:val="24"/>
          <w:szCs w:val="24"/>
          <w14:ligatures w14:val="none"/>
        </w:rPr>
        <w:t xml:space="preserve"> </w:t>
      </w:r>
    </w:p>
    <w:p w14:paraId="056DFAD2" w14:textId="6119ED0D" w:rsidR="00AD2CD5" w:rsidRPr="0080041E" w:rsidRDefault="00AD2CD5" w:rsidP="00AD2CD5">
      <w:pPr>
        <w:pStyle w:val="ListParagraph"/>
        <w:numPr>
          <w:ilvl w:val="0"/>
          <w:numId w:val="27"/>
        </w:numPr>
        <w:spacing w:after="0" w:line="240" w:lineRule="auto"/>
        <w:ind w:left="1134" w:hanging="425"/>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Participating in JTAI workshops with statutory partners to monitor and review progress within the Somerset JTAI action plan.</w:t>
      </w:r>
    </w:p>
    <w:p w14:paraId="580F7824" w14:textId="35BBC650" w:rsidR="00F23A66" w:rsidRDefault="00F23A66" w:rsidP="0080041E">
      <w:pPr>
        <w:pStyle w:val="ListParagraph"/>
        <w:numPr>
          <w:ilvl w:val="0"/>
          <w:numId w:val="27"/>
        </w:numPr>
        <w:spacing w:after="0" w:line="240" w:lineRule="auto"/>
        <w:ind w:left="1134" w:hanging="425"/>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Coordinat</w:t>
      </w:r>
      <w:r w:rsidR="0080041E">
        <w:rPr>
          <w:rFonts w:ascii="Arial" w:eastAsia="Times New Roman" w:hAnsi="Arial" w:cs="Arial"/>
          <w:kern w:val="0"/>
          <w:sz w:val="24"/>
          <w:szCs w:val="24"/>
          <w14:ligatures w14:val="none"/>
        </w:rPr>
        <w:t>e</w:t>
      </w:r>
      <w:r>
        <w:rPr>
          <w:rFonts w:ascii="Arial" w:eastAsia="Times New Roman" w:hAnsi="Arial" w:cs="Arial"/>
          <w:kern w:val="0"/>
          <w:sz w:val="24"/>
          <w:szCs w:val="24"/>
          <w14:ligatures w14:val="none"/>
        </w:rPr>
        <w:t xml:space="preserve"> the health system response to the </w:t>
      </w:r>
      <w:r w:rsidRPr="00F23A66">
        <w:rPr>
          <w:rFonts w:ascii="Arial" w:eastAsia="Times New Roman" w:hAnsi="Arial" w:cs="Arial"/>
          <w:kern w:val="0"/>
          <w:sz w:val="24"/>
          <w:szCs w:val="24"/>
          <w14:ligatures w14:val="none"/>
        </w:rPr>
        <w:t>action plan</w:t>
      </w:r>
      <w:r>
        <w:rPr>
          <w:rFonts w:ascii="Arial" w:eastAsia="Times New Roman" w:hAnsi="Arial" w:cs="Arial"/>
          <w:kern w:val="0"/>
          <w:sz w:val="24"/>
          <w:szCs w:val="24"/>
          <w14:ligatures w14:val="none"/>
        </w:rPr>
        <w:t>.</w:t>
      </w:r>
    </w:p>
    <w:p w14:paraId="35613F1D" w14:textId="2803D2D4" w:rsidR="00972EDC" w:rsidRPr="00AD2CD5" w:rsidRDefault="00F23A66" w:rsidP="00AD2CD5">
      <w:pPr>
        <w:pStyle w:val="ListParagraph"/>
        <w:numPr>
          <w:ilvl w:val="0"/>
          <w:numId w:val="27"/>
        </w:numPr>
        <w:ind w:left="1134" w:hanging="425"/>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Monitor NHS provider’s progress with the action plan, identifying any challenges or delays and supporting providers to address these.</w:t>
      </w:r>
    </w:p>
    <w:p w14:paraId="004F5C54" w14:textId="381A327D" w:rsidR="007A0986" w:rsidRPr="007A0986" w:rsidRDefault="0080041E" w:rsidP="007A0986">
      <w:pPr>
        <w:spacing w:after="0"/>
        <w:ind w:left="709" w:hanging="709"/>
        <w:rPr>
          <w:rFonts w:ascii="Arial" w:eastAsia="Calibri" w:hAnsi="Arial" w:cs="Arial"/>
          <w:color w:val="000000" w:themeColor="text1"/>
        </w:rPr>
      </w:pPr>
      <w:r>
        <w:rPr>
          <w:rFonts w:ascii="Arial" w:eastAsia="Calibri" w:hAnsi="Arial" w:cs="Arial"/>
          <w:color w:val="000000" w:themeColor="text1"/>
          <w:sz w:val="24"/>
          <w:szCs w:val="24"/>
        </w:rPr>
        <w:t>3.7.2</w:t>
      </w:r>
      <w:r>
        <w:rPr>
          <w:rFonts w:ascii="Arial" w:eastAsia="Calibri" w:hAnsi="Arial" w:cs="Arial"/>
          <w:color w:val="000000" w:themeColor="text1"/>
          <w:sz w:val="24"/>
          <w:szCs w:val="24"/>
        </w:rPr>
        <w:tab/>
      </w:r>
      <w:r w:rsidR="00972EDC" w:rsidRPr="0080041E">
        <w:rPr>
          <w:rFonts w:ascii="Arial" w:eastAsia="Calibri" w:hAnsi="Arial" w:cs="Arial"/>
          <w:color w:val="000000" w:themeColor="text1"/>
          <w:sz w:val="24"/>
          <w:szCs w:val="24"/>
          <w:u w:val="single"/>
        </w:rPr>
        <w:t>Statutory safeguarding children partnerships</w:t>
      </w:r>
      <w:r w:rsidR="00972EDC">
        <w:rPr>
          <w:rFonts w:ascii="Arial" w:eastAsia="Calibri" w:hAnsi="Arial" w:cs="Arial"/>
          <w:color w:val="000000" w:themeColor="text1"/>
          <w:sz w:val="24"/>
          <w:szCs w:val="24"/>
        </w:rPr>
        <w:t xml:space="preserve">: </w:t>
      </w:r>
      <w:r w:rsidR="007A0986" w:rsidRPr="007A0986">
        <w:rPr>
          <w:rFonts w:ascii="Arial" w:eastAsia="Calibri" w:hAnsi="Arial" w:cs="Arial"/>
          <w:color w:val="000000" w:themeColor="text1"/>
          <w:sz w:val="24"/>
          <w:szCs w:val="24"/>
        </w:rPr>
        <w:t>Somerset ICB provides strategic safeguarding leadership for the health system and, as a statutory partner, is actively engaged with</w:t>
      </w:r>
      <w:r w:rsidR="007A0986">
        <w:rPr>
          <w:rFonts w:ascii="Arial" w:eastAsia="Calibri" w:hAnsi="Arial" w:cs="Arial"/>
          <w:color w:val="000000" w:themeColor="text1"/>
          <w:sz w:val="24"/>
          <w:szCs w:val="24"/>
        </w:rPr>
        <w:t xml:space="preserve"> the</w:t>
      </w:r>
      <w:r w:rsidR="007A0986" w:rsidRPr="007A0986">
        <w:rPr>
          <w:rFonts w:ascii="Arial" w:eastAsia="Calibri" w:hAnsi="Arial" w:cs="Arial"/>
          <w:color w:val="000000" w:themeColor="text1"/>
          <w:sz w:val="24"/>
          <w:szCs w:val="24"/>
        </w:rPr>
        <w:t>:</w:t>
      </w:r>
    </w:p>
    <w:p w14:paraId="7F95B2EA" w14:textId="77777777" w:rsidR="007A0986" w:rsidRPr="007A0986" w:rsidRDefault="007A0986" w:rsidP="007A0986">
      <w:pPr>
        <w:pStyle w:val="ListParagraph"/>
        <w:numPr>
          <w:ilvl w:val="0"/>
          <w:numId w:val="27"/>
        </w:numPr>
        <w:spacing w:after="0" w:line="240" w:lineRule="auto"/>
        <w:ind w:left="1134" w:hanging="425"/>
        <w:rPr>
          <w:rFonts w:ascii="Arial" w:eastAsia="Times New Roman" w:hAnsi="Arial" w:cs="Arial"/>
          <w:kern w:val="0"/>
          <w:sz w:val="24"/>
          <w:szCs w:val="24"/>
          <w14:ligatures w14:val="none"/>
        </w:rPr>
      </w:pPr>
      <w:r w:rsidRPr="007A0986">
        <w:rPr>
          <w:rFonts w:ascii="Arial" w:eastAsia="Times New Roman" w:hAnsi="Arial" w:cs="Arial"/>
          <w:kern w:val="0"/>
          <w:sz w:val="24"/>
          <w:szCs w:val="24"/>
          <w14:ligatures w14:val="none"/>
        </w:rPr>
        <w:t>Somerset Safeguarding Children Partnership (SSCP)</w:t>
      </w:r>
    </w:p>
    <w:p w14:paraId="2CFDC840" w14:textId="44B8F596" w:rsidR="007A0986" w:rsidRPr="007A0986" w:rsidRDefault="007A0986" w:rsidP="007A0986">
      <w:pPr>
        <w:pStyle w:val="ListParagraph"/>
        <w:numPr>
          <w:ilvl w:val="0"/>
          <w:numId w:val="27"/>
        </w:numPr>
        <w:spacing w:after="0" w:line="240" w:lineRule="auto"/>
        <w:ind w:left="1134" w:hanging="425"/>
        <w:rPr>
          <w:rFonts w:ascii="Arial" w:eastAsia="Times New Roman" w:hAnsi="Arial" w:cs="Arial"/>
          <w:kern w:val="0"/>
          <w:sz w:val="24"/>
          <w:szCs w:val="24"/>
          <w14:ligatures w14:val="none"/>
        </w:rPr>
      </w:pPr>
      <w:r w:rsidRPr="007A0986">
        <w:rPr>
          <w:rFonts w:ascii="Arial" w:eastAsia="Times New Roman" w:hAnsi="Arial" w:cs="Arial"/>
          <w:kern w:val="0"/>
          <w:sz w:val="24"/>
          <w:szCs w:val="24"/>
          <w14:ligatures w14:val="none"/>
        </w:rPr>
        <w:t>Safer Somerset Partnership</w:t>
      </w:r>
      <w:r>
        <w:rPr>
          <w:rFonts w:ascii="Arial" w:eastAsia="Times New Roman" w:hAnsi="Arial" w:cs="Arial"/>
          <w:kern w:val="0"/>
          <w:sz w:val="24"/>
          <w:szCs w:val="24"/>
          <w14:ligatures w14:val="none"/>
        </w:rPr>
        <w:t xml:space="preserve"> (SSP)</w:t>
      </w:r>
      <w:r w:rsidRPr="007A0986">
        <w:rPr>
          <w:rFonts w:ascii="Arial" w:eastAsia="Times New Roman" w:hAnsi="Arial" w:cs="Arial"/>
          <w:kern w:val="0"/>
          <w:sz w:val="24"/>
          <w:szCs w:val="24"/>
          <w14:ligatures w14:val="none"/>
        </w:rPr>
        <w:t xml:space="preserve">, including the </w:t>
      </w:r>
      <w:r>
        <w:rPr>
          <w:rFonts w:ascii="Arial" w:eastAsia="Times New Roman" w:hAnsi="Arial" w:cs="Arial"/>
          <w:kern w:val="0"/>
          <w:sz w:val="24"/>
          <w:szCs w:val="24"/>
          <w14:ligatures w14:val="none"/>
        </w:rPr>
        <w:t xml:space="preserve">newly developed </w:t>
      </w:r>
      <w:r w:rsidRPr="007A0986">
        <w:rPr>
          <w:rFonts w:ascii="Arial" w:eastAsia="Times New Roman" w:hAnsi="Arial" w:cs="Arial"/>
          <w:kern w:val="0"/>
          <w:sz w:val="24"/>
          <w:szCs w:val="24"/>
          <w14:ligatures w14:val="none"/>
        </w:rPr>
        <w:t>Somerset Violence Reduction Partnership and Strategic Exploitation Group</w:t>
      </w:r>
    </w:p>
    <w:p w14:paraId="1EF81040" w14:textId="77777777" w:rsidR="007A0986" w:rsidRDefault="007A0986" w:rsidP="007A0986">
      <w:pPr>
        <w:pStyle w:val="ListParagraph"/>
        <w:numPr>
          <w:ilvl w:val="0"/>
          <w:numId w:val="27"/>
        </w:numPr>
        <w:ind w:left="1134" w:hanging="425"/>
        <w:rPr>
          <w:rFonts w:ascii="Arial" w:eastAsia="Times New Roman" w:hAnsi="Arial" w:cs="Arial"/>
          <w:kern w:val="0"/>
          <w:sz w:val="24"/>
          <w:szCs w:val="24"/>
          <w14:ligatures w14:val="none"/>
        </w:rPr>
      </w:pPr>
      <w:r w:rsidRPr="007A0986">
        <w:rPr>
          <w:rFonts w:ascii="Arial" w:eastAsia="Times New Roman" w:hAnsi="Arial" w:cs="Arial"/>
          <w:kern w:val="0"/>
          <w:sz w:val="24"/>
          <w:szCs w:val="24"/>
          <w14:ligatures w14:val="none"/>
        </w:rPr>
        <w:t>Avon and Somerset Violence Reduction Partnership</w:t>
      </w:r>
    </w:p>
    <w:p w14:paraId="2EE6B720" w14:textId="77777777" w:rsidR="00007224" w:rsidRPr="007A0986" w:rsidRDefault="00007224" w:rsidP="00007224">
      <w:pPr>
        <w:pStyle w:val="ListParagraph"/>
        <w:spacing w:after="0" w:line="240" w:lineRule="auto"/>
        <w:ind w:left="1134"/>
        <w:rPr>
          <w:rFonts w:ascii="Arial" w:eastAsia="Times New Roman" w:hAnsi="Arial" w:cs="Arial"/>
          <w:kern w:val="0"/>
          <w:sz w:val="24"/>
          <w:szCs w:val="24"/>
          <w14:ligatures w14:val="none"/>
        </w:rPr>
      </w:pPr>
    </w:p>
    <w:p w14:paraId="2D94284A" w14:textId="4739A83D" w:rsidR="007A0986" w:rsidRDefault="007A0986" w:rsidP="007A0986">
      <w:pPr>
        <w:spacing w:after="0" w:line="240" w:lineRule="auto"/>
        <w:ind w:left="709"/>
        <w:rPr>
          <w:rFonts w:ascii="Arial" w:eastAsia="Calibri" w:hAnsi="Arial" w:cs="Arial"/>
          <w:color w:val="000000" w:themeColor="text1"/>
          <w:sz w:val="24"/>
          <w:szCs w:val="24"/>
        </w:rPr>
      </w:pPr>
      <w:r w:rsidRPr="007A0986">
        <w:rPr>
          <w:rFonts w:ascii="Arial" w:eastAsia="Calibri" w:hAnsi="Arial" w:cs="Arial"/>
          <w:color w:val="000000" w:themeColor="text1"/>
          <w:sz w:val="24"/>
          <w:szCs w:val="24"/>
        </w:rPr>
        <w:t xml:space="preserve">The </w:t>
      </w:r>
      <w:r>
        <w:rPr>
          <w:rFonts w:ascii="Arial" w:eastAsia="Calibri" w:hAnsi="Arial" w:cs="Arial"/>
          <w:color w:val="000000" w:themeColor="text1"/>
          <w:sz w:val="24"/>
          <w:szCs w:val="24"/>
        </w:rPr>
        <w:t>s</w:t>
      </w:r>
      <w:r w:rsidRPr="007A0986">
        <w:rPr>
          <w:rFonts w:ascii="Arial" w:eastAsia="Calibri" w:hAnsi="Arial" w:cs="Arial"/>
          <w:color w:val="000000" w:themeColor="text1"/>
          <w:sz w:val="24"/>
          <w:szCs w:val="24"/>
        </w:rPr>
        <w:t xml:space="preserve">afeguarding </w:t>
      </w:r>
      <w:r>
        <w:rPr>
          <w:rFonts w:ascii="Arial" w:eastAsia="Calibri" w:hAnsi="Arial" w:cs="Arial"/>
          <w:color w:val="000000" w:themeColor="text1"/>
          <w:sz w:val="24"/>
          <w:szCs w:val="24"/>
        </w:rPr>
        <w:t>c</w:t>
      </w:r>
      <w:r w:rsidRPr="007A0986">
        <w:rPr>
          <w:rFonts w:ascii="Arial" w:eastAsia="Calibri" w:hAnsi="Arial" w:cs="Arial"/>
          <w:color w:val="000000" w:themeColor="text1"/>
          <w:sz w:val="24"/>
          <w:szCs w:val="24"/>
        </w:rPr>
        <w:t xml:space="preserve">hildren </w:t>
      </w:r>
      <w:r>
        <w:rPr>
          <w:rFonts w:ascii="Arial" w:eastAsia="Calibri" w:hAnsi="Arial" w:cs="Arial"/>
          <w:color w:val="000000" w:themeColor="text1"/>
          <w:sz w:val="24"/>
          <w:szCs w:val="24"/>
        </w:rPr>
        <w:t>t</w:t>
      </w:r>
      <w:r w:rsidRPr="007A0986">
        <w:rPr>
          <w:rFonts w:ascii="Arial" w:eastAsia="Calibri" w:hAnsi="Arial" w:cs="Arial"/>
          <w:color w:val="000000" w:themeColor="text1"/>
          <w:sz w:val="24"/>
          <w:szCs w:val="24"/>
        </w:rPr>
        <w:t>eam works collaboratively with health and multi-agency partners to strengthen partnership working and strategic planning to safeguard and promote children’s welfare.</w:t>
      </w:r>
      <w:r>
        <w:rPr>
          <w:rFonts w:ascii="Arial" w:eastAsia="Calibri" w:hAnsi="Arial" w:cs="Arial"/>
          <w:color w:val="000000" w:themeColor="text1"/>
          <w:sz w:val="24"/>
          <w:szCs w:val="24"/>
        </w:rPr>
        <w:t xml:space="preserve"> Deputy / </w:t>
      </w:r>
      <w:r w:rsidRPr="007A0986">
        <w:rPr>
          <w:rFonts w:ascii="Arial" w:eastAsia="Calibri" w:hAnsi="Arial" w:cs="Arial"/>
          <w:color w:val="000000" w:themeColor="text1"/>
          <w:sz w:val="24"/>
          <w:szCs w:val="24"/>
        </w:rPr>
        <w:t>Designated Nurses</w:t>
      </w:r>
      <w:r>
        <w:rPr>
          <w:rFonts w:ascii="Arial" w:eastAsia="Calibri" w:hAnsi="Arial" w:cs="Arial"/>
          <w:color w:val="000000" w:themeColor="text1"/>
          <w:sz w:val="24"/>
          <w:szCs w:val="24"/>
        </w:rPr>
        <w:t xml:space="preserve"> and Doctor</w:t>
      </w:r>
      <w:r w:rsidRPr="007A0986">
        <w:rPr>
          <w:rFonts w:ascii="Arial" w:eastAsia="Calibri" w:hAnsi="Arial" w:cs="Arial"/>
          <w:color w:val="000000" w:themeColor="text1"/>
          <w:sz w:val="24"/>
          <w:szCs w:val="24"/>
        </w:rPr>
        <w:t xml:space="preserve"> chair and contribute to a range of subgroups across </w:t>
      </w:r>
      <w:r>
        <w:rPr>
          <w:rFonts w:ascii="Arial" w:eastAsia="Calibri" w:hAnsi="Arial" w:cs="Arial"/>
          <w:color w:val="000000" w:themeColor="text1"/>
          <w:sz w:val="24"/>
          <w:szCs w:val="24"/>
        </w:rPr>
        <w:t xml:space="preserve">the </w:t>
      </w:r>
      <w:r w:rsidRPr="007A0986">
        <w:rPr>
          <w:rFonts w:ascii="Arial" w:eastAsia="Calibri" w:hAnsi="Arial" w:cs="Arial"/>
          <w:color w:val="000000" w:themeColor="text1"/>
          <w:sz w:val="24"/>
          <w:szCs w:val="24"/>
        </w:rPr>
        <w:t>safeguarding partnerships</w:t>
      </w:r>
      <w:r w:rsidR="00A82781" w:rsidRPr="00064251">
        <w:rPr>
          <w:rFonts w:ascii="Arial" w:eastAsia="Calibri" w:hAnsi="Arial" w:cs="Arial"/>
          <w:color w:val="000000" w:themeColor="text1"/>
          <w:sz w:val="24"/>
          <w:szCs w:val="24"/>
        </w:rPr>
        <w:t xml:space="preserve">. A key achievement in 2024 to 2025 was the development and implementation of a rolling programme of </w:t>
      </w:r>
      <w:r w:rsidR="00A82781" w:rsidRPr="00064251">
        <w:rPr>
          <w:rFonts w:ascii="Arial" w:eastAsia="Calibri" w:hAnsi="Arial" w:cs="Arial"/>
          <w:i/>
          <w:iCs/>
          <w:color w:val="000000" w:themeColor="text1"/>
          <w:sz w:val="24"/>
          <w:szCs w:val="24"/>
        </w:rPr>
        <w:t>Insight Visits</w:t>
      </w:r>
      <w:r w:rsidR="00A82781" w:rsidRPr="00064251">
        <w:rPr>
          <w:rFonts w:ascii="Arial" w:eastAsia="Calibri" w:hAnsi="Arial" w:cs="Arial"/>
          <w:color w:val="000000" w:themeColor="text1"/>
          <w:sz w:val="24"/>
          <w:szCs w:val="24"/>
        </w:rPr>
        <w:t xml:space="preserve"> to safeguarding partners, with an inaugural visit to NHS Somerset Foundation Trust led by a member of the ICB Safeguarding Team</w:t>
      </w:r>
      <w:r w:rsidR="009443AB" w:rsidRPr="00064251">
        <w:rPr>
          <w:rFonts w:ascii="Arial" w:eastAsia="Calibri" w:hAnsi="Arial" w:cs="Arial"/>
          <w:color w:val="000000" w:themeColor="text1"/>
          <w:sz w:val="24"/>
          <w:szCs w:val="24"/>
        </w:rPr>
        <w:t>. The visit evidenced</w:t>
      </w:r>
      <w:r w:rsidR="00A82781" w:rsidRPr="00064251">
        <w:rPr>
          <w:rFonts w:ascii="Arial" w:eastAsia="Calibri" w:hAnsi="Arial" w:cs="Arial"/>
          <w:color w:val="000000" w:themeColor="text1"/>
          <w:sz w:val="24"/>
          <w:szCs w:val="24"/>
        </w:rPr>
        <w:t xml:space="preserve"> improved recognition and response to Serious Youth Violence and </w:t>
      </w:r>
      <w:r w:rsidR="009443AB" w:rsidRPr="00064251">
        <w:rPr>
          <w:rFonts w:ascii="Arial" w:eastAsia="Calibri" w:hAnsi="Arial" w:cs="Arial"/>
          <w:color w:val="000000" w:themeColor="text1"/>
          <w:sz w:val="24"/>
          <w:szCs w:val="24"/>
        </w:rPr>
        <w:t>E</w:t>
      </w:r>
      <w:r w:rsidR="00A82781" w:rsidRPr="00064251">
        <w:rPr>
          <w:rFonts w:ascii="Arial" w:eastAsia="Calibri" w:hAnsi="Arial" w:cs="Arial"/>
          <w:color w:val="000000" w:themeColor="text1"/>
          <w:sz w:val="24"/>
          <w:szCs w:val="24"/>
        </w:rPr>
        <w:t xml:space="preserve">xploitation, </w:t>
      </w:r>
      <w:r w:rsidR="009443AB" w:rsidRPr="00064251">
        <w:rPr>
          <w:rFonts w:ascii="Arial" w:eastAsia="Calibri" w:hAnsi="Arial" w:cs="Arial"/>
          <w:color w:val="000000" w:themeColor="text1"/>
          <w:sz w:val="24"/>
          <w:szCs w:val="24"/>
        </w:rPr>
        <w:t>supported</w:t>
      </w:r>
      <w:r w:rsidR="00A82781" w:rsidRPr="00064251">
        <w:rPr>
          <w:rFonts w:ascii="Arial" w:eastAsia="Calibri" w:hAnsi="Arial" w:cs="Arial"/>
          <w:color w:val="000000" w:themeColor="text1"/>
          <w:sz w:val="24"/>
          <w:szCs w:val="24"/>
        </w:rPr>
        <w:t xml:space="preserve"> by a strong culture of quality improvement. This commitment was </w:t>
      </w:r>
      <w:r w:rsidR="009443AB" w:rsidRPr="00064251">
        <w:rPr>
          <w:rFonts w:ascii="Arial" w:eastAsia="Calibri" w:hAnsi="Arial" w:cs="Arial"/>
          <w:color w:val="000000" w:themeColor="text1"/>
          <w:sz w:val="24"/>
          <w:szCs w:val="24"/>
        </w:rPr>
        <w:t>visible across</w:t>
      </w:r>
      <w:r w:rsidR="00A82781" w:rsidRPr="00064251">
        <w:rPr>
          <w:rFonts w:ascii="Arial" w:eastAsia="Calibri" w:hAnsi="Arial" w:cs="Arial"/>
          <w:color w:val="000000" w:themeColor="text1"/>
          <w:sz w:val="24"/>
          <w:szCs w:val="24"/>
        </w:rPr>
        <w:t xml:space="preserve"> the organisation, from leadership to frontline staff.</w:t>
      </w:r>
    </w:p>
    <w:p w14:paraId="00ABE4A3" w14:textId="77777777" w:rsidR="007A0986" w:rsidRPr="007A0986" w:rsidRDefault="007A0986" w:rsidP="007A0986">
      <w:pPr>
        <w:spacing w:after="0" w:line="240" w:lineRule="auto"/>
        <w:ind w:left="709"/>
        <w:rPr>
          <w:rFonts w:ascii="Arial" w:eastAsia="Calibri" w:hAnsi="Arial" w:cs="Arial"/>
          <w:color w:val="000000" w:themeColor="text1"/>
          <w:sz w:val="24"/>
          <w:szCs w:val="24"/>
        </w:rPr>
      </w:pPr>
    </w:p>
    <w:p w14:paraId="6CF81668" w14:textId="31054278" w:rsidR="007A0986" w:rsidRDefault="0080041E" w:rsidP="007A0986">
      <w:pPr>
        <w:spacing w:after="0" w:line="240" w:lineRule="auto"/>
        <w:ind w:left="709" w:hanging="709"/>
        <w:rPr>
          <w:rFonts w:ascii="Arial" w:eastAsia="Calibri" w:hAnsi="Arial" w:cs="Arial"/>
          <w:color w:val="000000" w:themeColor="text1"/>
          <w:sz w:val="24"/>
          <w:szCs w:val="24"/>
        </w:rPr>
      </w:pPr>
      <w:r w:rsidRPr="0080041E">
        <w:rPr>
          <w:rFonts w:ascii="Arial" w:eastAsia="Calibri" w:hAnsi="Arial" w:cs="Arial"/>
          <w:color w:val="000000" w:themeColor="text1"/>
          <w:sz w:val="24"/>
          <w:szCs w:val="24"/>
        </w:rPr>
        <w:t>3.7.3</w:t>
      </w:r>
      <w:r w:rsidRPr="0080041E">
        <w:rPr>
          <w:rFonts w:ascii="Arial" w:eastAsia="Calibri" w:hAnsi="Arial" w:cs="Arial"/>
          <w:color w:val="000000" w:themeColor="text1"/>
          <w:sz w:val="24"/>
          <w:szCs w:val="24"/>
        </w:rPr>
        <w:tab/>
      </w:r>
      <w:r w:rsidR="007A0986" w:rsidRPr="00007224">
        <w:rPr>
          <w:rFonts w:ascii="Arial" w:eastAsia="Calibri" w:hAnsi="Arial" w:cs="Arial"/>
          <w:color w:val="000000" w:themeColor="text1"/>
          <w:sz w:val="24"/>
          <w:szCs w:val="24"/>
          <w:u w:val="single"/>
        </w:rPr>
        <w:t>Strategic Safeguarding Portfolios</w:t>
      </w:r>
      <w:r w:rsidR="00007224">
        <w:rPr>
          <w:rFonts w:ascii="Arial" w:eastAsia="Calibri" w:hAnsi="Arial" w:cs="Arial"/>
          <w:color w:val="000000" w:themeColor="text1"/>
          <w:sz w:val="24"/>
          <w:szCs w:val="24"/>
        </w:rPr>
        <w:t>: In addition to being</w:t>
      </w:r>
      <w:r w:rsidR="00007224" w:rsidRPr="00007224">
        <w:rPr>
          <w:rFonts w:ascii="Arial" w:eastAsia="Calibri" w:hAnsi="Arial" w:cs="Arial"/>
          <w:color w:val="000000" w:themeColor="text1"/>
          <w:sz w:val="24"/>
          <w:szCs w:val="24"/>
        </w:rPr>
        <w:t xml:space="preserve"> statutory partners in local safeguarding children arrangements</w:t>
      </w:r>
      <w:r w:rsidR="00007224">
        <w:rPr>
          <w:rFonts w:ascii="Arial" w:eastAsia="Calibri" w:hAnsi="Arial" w:cs="Arial"/>
          <w:color w:val="000000" w:themeColor="text1"/>
          <w:sz w:val="24"/>
          <w:szCs w:val="24"/>
        </w:rPr>
        <w:t xml:space="preserve"> outlined above</w:t>
      </w:r>
      <w:r w:rsidR="00007224" w:rsidRPr="00007224">
        <w:rPr>
          <w:rFonts w:ascii="Arial" w:eastAsia="Calibri" w:hAnsi="Arial" w:cs="Arial"/>
          <w:color w:val="000000" w:themeColor="text1"/>
          <w:sz w:val="24"/>
          <w:szCs w:val="24"/>
        </w:rPr>
        <w:t xml:space="preserve">, </w:t>
      </w:r>
      <w:r w:rsidR="00007224">
        <w:rPr>
          <w:rFonts w:ascii="Arial" w:eastAsia="Calibri" w:hAnsi="Arial" w:cs="Arial"/>
          <w:color w:val="000000" w:themeColor="text1"/>
          <w:sz w:val="24"/>
          <w:szCs w:val="24"/>
        </w:rPr>
        <w:t xml:space="preserve">the ICB safeguarding children team provide </w:t>
      </w:r>
      <w:r w:rsidR="00007224" w:rsidRPr="00007224">
        <w:rPr>
          <w:rFonts w:ascii="Arial" w:eastAsia="Calibri" w:hAnsi="Arial" w:cs="Arial"/>
          <w:color w:val="000000" w:themeColor="text1"/>
          <w:sz w:val="24"/>
          <w:szCs w:val="24"/>
        </w:rPr>
        <w:t xml:space="preserve">strategic leadership </w:t>
      </w:r>
      <w:r w:rsidR="00007224">
        <w:rPr>
          <w:rFonts w:ascii="Arial" w:eastAsia="Calibri" w:hAnsi="Arial" w:cs="Arial"/>
          <w:color w:val="000000" w:themeColor="text1"/>
          <w:sz w:val="24"/>
          <w:szCs w:val="24"/>
        </w:rPr>
        <w:t xml:space="preserve">to </w:t>
      </w:r>
      <w:r w:rsidR="00007224" w:rsidRPr="00007224">
        <w:rPr>
          <w:rFonts w:ascii="Arial" w:eastAsia="Calibri" w:hAnsi="Arial" w:cs="Arial"/>
          <w:color w:val="000000" w:themeColor="text1"/>
          <w:sz w:val="24"/>
          <w:szCs w:val="24"/>
        </w:rPr>
        <w:t>the health system</w:t>
      </w:r>
      <w:r w:rsidR="00007224">
        <w:rPr>
          <w:rFonts w:ascii="Arial" w:eastAsia="Calibri" w:hAnsi="Arial" w:cs="Arial"/>
          <w:color w:val="000000" w:themeColor="text1"/>
          <w:sz w:val="24"/>
          <w:szCs w:val="24"/>
        </w:rPr>
        <w:t xml:space="preserve"> in relation to the following strategic safeguarding priorities:</w:t>
      </w:r>
    </w:p>
    <w:p w14:paraId="0A060470" w14:textId="0418CA35" w:rsidR="00007224" w:rsidRPr="00D91E0A" w:rsidRDefault="00007224" w:rsidP="00D91E0A">
      <w:pPr>
        <w:pStyle w:val="ListParagraph"/>
        <w:numPr>
          <w:ilvl w:val="0"/>
          <w:numId w:val="32"/>
        </w:numPr>
        <w:spacing w:after="0" w:line="240" w:lineRule="auto"/>
        <w:ind w:left="1134" w:hanging="425"/>
        <w:rPr>
          <w:rFonts w:ascii="Arial" w:eastAsia="Calibri" w:hAnsi="Arial" w:cs="Arial"/>
          <w:color w:val="000000" w:themeColor="text1"/>
          <w:sz w:val="24"/>
          <w:szCs w:val="24"/>
        </w:rPr>
      </w:pPr>
      <w:r w:rsidRPr="00D91E0A">
        <w:rPr>
          <w:rFonts w:ascii="Arial" w:eastAsia="Calibri" w:hAnsi="Arial" w:cs="Arial"/>
          <w:i/>
          <w:iCs/>
          <w:color w:val="000000" w:themeColor="text1"/>
          <w:sz w:val="24"/>
          <w:szCs w:val="24"/>
        </w:rPr>
        <w:t>Serious Violence Duty</w:t>
      </w:r>
      <w:r w:rsidRPr="00D91E0A">
        <w:rPr>
          <w:rFonts w:ascii="Arial" w:eastAsia="Calibri" w:hAnsi="Arial" w:cs="Arial"/>
          <w:color w:val="000000" w:themeColor="text1"/>
          <w:sz w:val="24"/>
          <w:szCs w:val="24"/>
        </w:rPr>
        <w:t>; The ICB is one of the specified authorities and a statutory member of the local and regional Serious Violence Reduction Partnerships (SVRPs). A key achievement in 2024 to 2025 was the provision of health system data than informed the local profile and the regional strategic needs assessments.</w:t>
      </w:r>
    </w:p>
    <w:p w14:paraId="08DBF1ED" w14:textId="77777777" w:rsidR="00D91E0A" w:rsidRDefault="00007224" w:rsidP="00D91E0A">
      <w:pPr>
        <w:pStyle w:val="ListParagraph"/>
        <w:numPr>
          <w:ilvl w:val="0"/>
          <w:numId w:val="32"/>
        </w:numPr>
        <w:spacing w:after="0" w:line="240" w:lineRule="auto"/>
        <w:ind w:left="1134" w:hanging="425"/>
        <w:rPr>
          <w:rFonts w:ascii="Arial" w:eastAsia="Calibri" w:hAnsi="Arial" w:cs="Arial"/>
          <w:color w:val="000000" w:themeColor="text1"/>
          <w:sz w:val="24"/>
          <w:szCs w:val="24"/>
        </w:rPr>
      </w:pPr>
      <w:r w:rsidRPr="00D91E0A">
        <w:rPr>
          <w:rFonts w:ascii="Arial" w:eastAsia="Calibri" w:hAnsi="Arial" w:cs="Arial"/>
          <w:i/>
          <w:iCs/>
          <w:color w:val="000000" w:themeColor="text1"/>
          <w:sz w:val="24"/>
          <w:szCs w:val="24"/>
        </w:rPr>
        <w:t>Child Protection Information Sharing</w:t>
      </w:r>
      <w:r w:rsidRPr="00D91E0A">
        <w:rPr>
          <w:rFonts w:ascii="Arial" w:eastAsia="Calibri" w:hAnsi="Arial" w:cs="Arial"/>
          <w:color w:val="000000" w:themeColor="text1"/>
          <w:sz w:val="24"/>
          <w:szCs w:val="24"/>
        </w:rPr>
        <w:t xml:space="preserve">: </w:t>
      </w:r>
      <w:r w:rsidR="00D91E0A" w:rsidRPr="00D91E0A">
        <w:rPr>
          <w:rFonts w:ascii="Arial" w:eastAsia="Calibri" w:hAnsi="Arial" w:cs="Arial"/>
          <w:color w:val="000000" w:themeColor="text1"/>
          <w:sz w:val="24"/>
          <w:szCs w:val="24"/>
        </w:rPr>
        <w:t>The safeguarding children team supported t</w:t>
      </w:r>
      <w:r w:rsidRPr="00D91E0A">
        <w:rPr>
          <w:rFonts w:ascii="Arial" w:eastAsia="Calibri" w:hAnsi="Arial" w:cs="Arial"/>
          <w:color w:val="000000" w:themeColor="text1"/>
          <w:sz w:val="24"/>
          <w:szCs w:val="24"/>
        </w:rPr>
        <w:t xml:space="preserve">he rollout of the Child Protection Information Sharing system across the health system. </w:t>
      </w:r>
      <w:r w:rsidR="00D91E0A" w:rsidRPr="00D91E0A">
        <w:rPr>
          <w:rFonts w:ascii="Arial" w:eastAsia="Calibri" w:hAnsi="Arial" w:cs="Arial"/>
          <w:color w:val="000000" w:themeColor="text1"/>
          <w:sz w:val="24"/>
          <w:szCs w:val="24"/>
        </w:rPr>
        <w:t>An integral part of the next Phase is to embed CPIS across primary care settings.</w:t>
      </w:r>
    </w:p>
    <w:p w14:paraId="2B474F85" w14:textId="2054E20F" w:rsidR="00D91E0A" w:rsidRDefault="00D91E0A" w:rsidP="00D91E0A">
      <w:pPr>
        <w:pStyle w:val="ListParagraph"/>
        <w:numPr>
          <w:ilvl w:val="0"/>
          <w:numId w:val="32"/>
        </w:numPr>
        <w:spacing w:after="0" w:line="240" w:lineRule="auto"/>
        <w:ind w:left="1134" w:hanging="425"/>
        <w:rPr>
          <w:rFonts w:ascii="Arial" w:eastAsia="Calibri" w:hAnsi="Arial" w:cs="Arial"/>
          <w:color w:val="000000" w:themeColor="text1"/>
          <w:sz w:val="24"/>
          <w:szCs w:val="24"/>
        </w:rPr>
      </w:pPr>
      <w:r w:rsidRPr="00D91E0A">
        <w:rPr>
          <w:rFonts w:ascii="Arial" w:eastAsia="Calibri" w:hAnsi="Arial" w:cs="Arial"/>
          <w:i/>
          <w:iCs/>
          <w:color w:val="000000" w:themeColor="text1"/>
          <w:sz w:val="24"/>
          <w:szCs w:val="24"/>
        </w:rPr>
        <w:t>Statutory and non-Statutory child safeguarding reviews</w:t>
      </w:r>
      <w:r w:rsidRPr="00D91E0A">
        <w:rPr>
          <w:rFonts w:ascii="Arial" w:eastAsia="Calibri" w:hAnsi="Arial" w:cs="Arial"/>
          <w:color w:val="000000" w:themeColor="text1"/>
          <w:sz w:val="24"/>
          <w:szCs w:val="24"/>
        </w:rPr>
        <w:t xml:space="preserve">: ICB’s are the statutory lead for </w:t>
      </w:r>
      <w:r>
        <w:rPr>
          <w:rFonts w:ascii="Arial" w:eastAsia="Calibri" w:hAnsi="Arial" w:cs="Arial"/>
          <w:color w:val="000000" w:themeColor="text1"/>
          <w:sz w:val="24"/>
          <w:szCs w:val="24"/>
        </w:rPr>
        <w:t xml:space="preserve">the Somerset </w:t>
      </w:r>
      <w:r w:rsidRPr="00D91E0A">
        <w:rPr>
          <w:rFonts w:ascii="Arial" w:eastAsia="Calibri" w:hAnsi="Arial" w:cs="Arial"/>
          <w:color w:val="000000" w:themeColor="text1"/>
          <w:sz w:val="24"/>
          <w:szCs w:val="24"/>
        </w:rPr>
        <w:t xml:space="preserve">health </w:t>
      </w:r>
      <w:r>
        <w:rPr>
          <w:rFonts w:ascii="Arial" w:eastAsia="Calibri" w:hAnsi="Arial" w:cs="Arial"/>
          <w:color w:val="000000" w:themeColor="text1"/>
          <w:sz w:val="24"/>
          <w:szCs w:val="24"/>
        </w:rPr>
        <w:t xml:space="preserve">system </w:t>
      </w:r>
      <w:r w:rsidRPr="00D91E0A">
        <w:rPr>
          <w:rFonts w:ascii="Arial" w:eastAsia="Calibri" w:hAnsi="Arial" w:cs="Arial"/>
          <w:color w:val="000000" w:themeColor="text1"/>
          <w:sz w:val="24"/>
          <w:szCs w:val="24"/>
        </w:rPr>
        <w:t xml:space="preserve">and are required to participate in all statutory safeguarding </w:t>
      </w:r>
      <w:r w:rsidRPr="00D91E0A">
        <w:rPr>
          <w:rFonts w:ascii="Arial" w:eastAsia="Calibri" w:hAnsi="Arial" w:cs="Arial"/>
          <w:color w:val="000000" w:themeColor="text1"/>
          <w:sz w:val="24"/>
          <w:szCs w:val="24"/>
        </w:rPr>
        <w:lastRenderedPageBreak/>
        <w:t>reviews</w:t>
      </w:r>
      <w:r>
        <w:rPr>
          <w:rFonts w:ascii="Arial" w:eastAsia="Calibri" w:hAnsi="Arial" w:cs="Arial"/>
          <w:color w:val="000000" w:themeColor="text1"/>
          <w:sz w:val="24"/>
          <w:szCs w:val="24"/>
        </w:rPr>
        <w:t xml:space="preserve">; including Rapid reviews (RRs) and </w:t>
      </w:r>
      <w:r w:rsidRPr="00D91E0A">
        <w:rPr>
          <w:rFonts w:ascii="Arial" w:eastAsia="Calibri" w:hAnsi="Arial" w:cs="Arial"/>
          <w:color w:val="000000" w:themeColor="text1"/>
          <w:sz w:val="24"/>
          <w:szCs w:val="24"/>
        </w:rPr>
        <w:t xml:space="preserve">Local Child Safeguarding Practice Reviews (LCSPRs) as outlined in legislation. </w:t>
      </w:r>
      <w:r>
        <w:rPr>
          <w:rFonts w:ascii="Arial" w:eastAsia="Calibri" w:hAnsi="Arial" w:cs="Arial"/>
          <w:color w:val="000000" w:themeColor="text1"/>
          <w:sz w:val="24"/>
          <w:szCs w:val="24"/>
        </w:rPr>
        <w:t xml:space="preserve">The ICB </w:t>
      </w:r>
      <w:r w:rsidRPr="00D91E0A">
        <w:rPr>
          <w:rFonts w:ascii="Arial" w:eastAsia="Calibri" w:hAnsi="Arial" w:cs="Arial"/>
          <w:color w:val="000000" w:themeColor="text1"/>
          <w:sz w:val="24"/>
          <w:szCs w:val="24"/>
        </w:rPr>
        <w:t xml:space="preserve">contributes to all reviews via the </w:t>
      </w:r>
      <w:r>
        <w:rPr>
          <w:rFonts w:ascii="Arial" w:eastAsia="Calibri" w:hAnsi="Arial" w:cs="Arial"/>
          <w:color w:val="000000" w:themeColor="text1"/>
          <w:sz w:val="24"/>
          <w:szCs w:val="24"/>
        </w:rPr>
        <w:t>s</w:t>
      </w:r>
      <w:r w:rsidRPr="00D91E0A">
        <w:rPr>
          <w:rFonts w:ascii="Arial" w:eastAsia="Calibri" w:hAnsi="Arial" w:cs="Arial"/>
          <w:color w:val="000000" w:themeColor="text1"/>
          <w:sz w:val="24"/>
          <w:szCs w:val="24"/>
        </w:rPr>
        <w:t xml:space="preserve">afeguarding </w:t>
      </w:r>
      <w:r>
        <w:rPr>
          <w:rFonts w:ascii="Arial" w:eastAsia="Calibri" w:hAnsi="Arial" w:cs="Arial"/>
          <w:color w:val="000000" w:themeColor="text1"/>
          <w:sz w:val="24"/>
          <w:szCs w:val="24"/>
        </w:rPr>
        <w:t>children t</w:t>
      </w:r>
      <w:r w:rsidRPr="00D91E0A">
        <w:rPr>
          <w:rFonts w:ascii="Arial" w:eastAsia="Calibri" w:hAnsi="Arial" w:cs="Arial"/>
          <w:color w:val="000000" w:themeColor="text1"/>
          <w:sz w:val="24"/>
          <w:szCs w:val="24"/>
        </w:rPr>
        <w:t xml:space="preserve">eam </w:t>
      </w:r>
      <w:r>
        <w:rPr>
          <w:rFonts w:ascii="Arial" w:eastAsia="Calibri" w:hAnsi="Arial" w:cs="Arial"/>
          <w:color w:val="000000" w:themeColor="text1"/>
          <w:sz w:val="24"/>
          <w:szCs w:val="24"/>
        </w:rPr>
        <w:t>and</w:t>
      </w:r>
      <w:r w:rsidRPr="00D91E0A">
        <w:rPr>
          <w:rFonts w:ascii="Arial" w:eastAsia="Calibri" w:hAnsi="Arial" w:cs="Arial"/>
          <w:color w:val="000000" w:themeColor="text1"/>
          <w:sz w:val="24"/>
          <w:szCs w:val="24"/>
        </w:rPr>
        <w:t xml:space="preserve"> as statutory partners of the review panel processes.</w:t>
      </w:r>
      <w:r>
        <w:rPr>
          <w:rFonts w:ascii="Arial" w:eastAsia="Calibri" w:hAnsi="Arial" w:cs="Arial"/>
          <w:color w:val="000000" w:themeColor="text1"/>
          <w:sz w:val="24"/>
          <w:szCs w:val="24"/>
        </w:rPr>
        <w:t xml:space="preserve"> </w:t>
      </w:r>
      <w:r w:rsidRPr="00D91E0A">
        <w:rPr>
          <w:rFonts w:ascii="Arial" w:eastAsia="Calibri" w:hAnsi="Arial" w:cs="Arial"/>
          <w:color w:val="000000" w:themeColor="text1"/>
          <w:sz w:val="24"/>
          <w:szCs w:val="24"/>
        </w:rPr>
        <w:t>Learning from these reviews has informed system level development and improved outcomes for our population</w:t>
      </w:r>
      <w:r>
        <w:rPr>
          <w:rFonts w:ascii="Arial" w:eastAsia="Calibri" w:hAnsi="Arial" w:cs="Arial"/>
          <w:color w:val="000000" w:themeColor="text1"/>
          <w:sz w:val="24"/>
          <w:szCs w:val="24"/>
        </w:rPr>
        <w:t>.</w:t>
      </w:r>
    </w:p>
    <w:p w14:paraId="0D58DAC9" w14:textId="77777777" w:rsidR="00007224" w:rsidRDefault="00007224" w:rsidP="007A0986">
      <w:pPr>
        <w:spacing w:after="0" w:line="240" w:lineRule="auto"/>
        <w:ind w:left="709" w:hanging="709"/>
        <w:rPr>
          <w:rFonts w:ascii="Arial" w:eastAsia="Calibri" w:hAnsi="Arial" w:cs="Arial"/>
          <w:color w:val="000000" w:themeColor="text1"/>
          <w:sz w:val="24"/>
          <w:szCs w:val="24"/>
        </w:rPr>
      </w:pPr>
    </w:p>
    <w:p w14:paraId="77AE4947" w14:textId="28BAF208" w:rsidR="0025001B" w:rsidRPr="007A0986" w:rsidRDefault="00D91E0A" w:rsidP="007A0986">
      <w:pPr>
        <w:spacing w:after="0" w:line="240" w:lineRule="auto"/>
        <w:ind w:left="709" w:hanging="709"/>
        <w:rPr>
          <w:rFonts w:ascii="Arial" w:hAnsi="Arial" w:cs="Arial"/>
          <w:sz w:val="24"/>
          <w:szCs w:val="24"/>
        </w:rPr>
      </w:pPr>
      <w:r w:rsidRPr="00D91E0A">
        <w:rPr>
          <w:rFonts w:ascii="Arial" w:eastAsia="Calibri" w:hAnsi="Arial" w:cs="Arial"/>
          <w:color w:val="000000" w:themeColor="text1"/>
          <w:sz w:val="24"/>
          <w:szCs w:val="24"/>
        </w:rPr>
        <w:t>3.7.4</w:t>
      </w:r>
      <w:r w:rsidRPr="00D91E0A">
        <w:rPr>
          <w:rFonts w:ascii="Arial" w:eastAsia="Calibri" w:hAnsi="Arial" w:cs="Arial"/>
          <w:color w:val="000000" w:themeColor="text1"/>
          <w:sz w:val="24"/>
          <w:szCs w:val="24"/>
        </w:rPr>
        <w:tab/>
      </w:r>
      <w:r w:rsidR="0025001B" w:rsidRPr="0025001B">
        <w:rPr>
          <w:rFonts w:ascii="Arial" w:eastAsia="Calibri" w:hAnsi="Arial" w:cs="Arial"/>
          <w:color w:val="000000" w:themeColor="text1"/>
          <w:sz w:val="24"/>
          <w:szCs w:val="24"/>
          <w:u w:val="single"/>
        </w:rPr>
        <w:t>Safeguarding</w:t>
      </w:r>
      <w:r w:rsidR="005F1C0A">
        <w:rPr>
          <w:rFonts w:ascii="Arial" w:eastAsia="Calibri" w:hAnsi="Arial" w:cs="Arial"/>
          <w:color w:val="000000" w:themeColor="text1"/>
          <w:sz w:val="24"/>
          <w:szCs w:val="24"/>
          <w:u w:val="single"/>
        </w:rPr>
        <w:t xml:space="preserve"> Children</w:t>
      </w:r>
      <w:r w:rsidR="0025001B" w:rsidRPr="0025001B">
        <w:rPr>
          <w:rFonts w:ascii="Arial" w:eastAsia="Calibri" w:hAnsi="Arial" w:cs="Arial"/>
          <w:color w:val="000000" w:themeColor="text1"/>
          <w:sz w:val="24"/>
          <w:szCs w:val="24"/>
          <w:u w:val="single"/>
        </w:rPr>
        <w:t xml:space="preserve"> Assurance Visits</w:t>
      </w:r>
      <w:r w:rsidR="0025001B">
        <w:rPr>
          <w:rFonts w:ascii="Arial" w:eastAsia="Calibri" w:hAnsi="Arial" w:cs="Arial"/>
          <w:color w:val="000000" w:themeColor="text1"/>
          <w:sz w:val="24"/>
          <w:szCs w:val="24"/>
        </w:rPr>
        <w:t xml:space="preserve">: </w:t>
      </w:r>
      <w:r w:rsidR="0025001B" w:rsidRPr="0025001B">
        <w:rPr>
          <w:rFonts w:ascii="Arial" w:hAnsi="Arial" w:cs="Arial"/>
          <w:sz w:val="24"/>
          <w:szCs w:val="24"/>
        </w:rPr>
        <w:t>T</w:t>
      </w:r>
      <w:r w:rsidR="00BE4C7B">
        <w:rPr>
          <w:rFonts w:ascii="Arial" w:hAnsi="Arial" w:cs="Arial"/>
          <w:sz w:val="24"/>
          <w:szCs w:val="24"/>
        </w:rPr>
        <w:t>hroughout 2024 to 2025 t</w:t>
      </w:r>
      <w:r w:rsidR="0025001B" w:rsidRPr="0025001B">
        <w:rPr>
          <w:rFonts w:ascii="Arial" w:hAnsi="Arial" w:cs="Arial"/>
          <w:sz w:val="24"/>
          <w:szCs w:val="24"/>
        </w:rPr>
        <w:t>he ICB Safeguarding Team under</w:t>
      </w:r>
      <w:r w:rsidR="00BE4C7B">
        <w:rPr>
          <w:rFonts w:ascii="Arial" w:hAnsi="Arial" w:cs="Arial"/>
          <w:sz w:val="24"/>
          <w:szCs w:val="24"/>
        </w:rPr>
        <w:t>took</w:t>
      </w:r>
      <w:r w:rsidR="0025001B" w:rsidRPr="0025001B">
        <w:rPr>
          <w:rFonts w:ascii="Arial" w:hAnsi="Arial" w:cs="Arial"/>
          <w:sz w:val="24"/>
          <w:szCs w:val="24"/>
        </w:rPr>
        <w:t xml:space="preserve"> quality assurance visits to GP</w:t>
      </w:r>
      <w:r w:rsidR="0025001B">
        <w:rPr>
          <w:rFonts w:ascii="Arial" w:hAnsi="Arial" w:cs="Arial"/>
          <w:sz w:val="24"/>
          <w:szCs w:val="24"/>
        </w:rPr>
        <w:t xml:space="preserve"> practices</w:t>
      </w:r>
      <w:r w:rsidR="0025001B" w:rsidRPr="0025001B">
        <w:rPr>
          <w:rFonts w:ascii="Arial" w:hAnsi="Arial" w:cs="Arial"/>
          <w:sz w:val="24"/>
          <w:szCs w:val="24"/>
        </w:rPr>
        <w:t xml:space="preserve"> </w:t>
      </w:r>
      <w:r w:rsidR="005F1C0A">
        <w:rPr>
          <w:rFonts w:ascii="Arial" w:hAnsi="Arial" w:cs="Arial"/>
          <w:sz w:val="24"/>
          <w:szCs w:val="24"/>
        </w:rPr>
        <w:t>to</w:t>
      </w:r>
      <w:r w:rsidR="0025001B" w:rsidRPr="0025001B">
        <w:rPr>
          <w:rFonts w:ascii="Arial" w:hAnsi="Arial" w:cs="Arial"/>
          <w:sz w:val="24"/>
          <w:szCs w:val="24"/>
        </w:rPr>
        <w:t xml:space="preserve"> explore </w:t>
      </w:r>
      <w:r w:rsidR="0025001B">
        <w:rPr>
          <w:rFonts w:ascii="Arial" w:hAnsi="Arial" w:cs="Arial"/>
          <w:sz w:val="24"/>
          <w:szCs w:val="24"/>
        </w:rPr>
        <w:t>safeguarding</w:t>
      </w:r>
      <w:r w:rsidR="0025001B" w:rsidRPr="0025001B">
        <w:rPr>
          <w:rFonts w:ascii="Arial" w:hAnsi="Arial" w:cs="Arial"/>
          <w:sz w:val="24"/>
          <w:szCs w:val="24"/>
        </w:rPr>
        <w:t xml:space="preserve"> practice and support the identification of any areas for learning and development. </w:t>
      </w:r>
      <w:r w:rsidR="00444034" w:rsidRPr="00444034">
        <w:rPr>
          <w:rFonts w:ascii="Arial" w:hAnsi="Arial" w:cs="Arial"/>
          <w:sz w:val="24"/>
          <w:szCs w:val="24"/>
        </w:rPr>
        <w:t xml:space="preserve">Fewer visits </w:t>
      </w:r>
      <w:r w:rsidR="00444034">
        <w:rPr>
          <w:rFonts w:ascii="Arial" w:hAnsi="Arial" w:cs="Arial"/>
          <w:sz w:val="24"/>
          <w:szCs w:val="24"/>
        </w:rPr>
        <w:t>took</w:t>
      </w:r>
      <w:r w:rsidR="00444034" w:rsidRPr="00444034">
        <w:rPr>
          <w:rFonts w:ascii="Arial" w:hAnsi="Arial" w:cs="Arial"/>
          <w:sz w:val="24"/>
          <w:szCs w:val="24"/>
        </w:rPr>
        <w:t xml:space="preserve"> place during </w:t>
      </w:r>
      <w:r w:rsidR="00444034">
        <w:rPr>
          <w:rFonts w:ascii="Arial" w:hAnsi="Arial" w:cs="Arial"/>
          <w:sz w:val="24"/>
          <w:szCs w:val="24"/>
        </w:rPr>
        <w:t>w</w:t>
      </w:r>
      <w:r w:rsidR="00444034" w:rsidRPr="00444034">
        <w:rPr>
          <w:rFonts w:ascii="Arial" w:hAnsi="Arial" w:cs="Arial"/>
          <w:sz w:val="24"/>
          <w:szCs w:val="24"/>
        </w:rPr>
        <w:t>inter due to primary care pressures, but they continue</w:t>
      </w:r>
      <w:r w:rsidR="00BE4C7B">
        <w:rPr>
          <w:rFonts w:ascii="Arial" w:hAnsi="Arial" w:cs="Arial"/>
          <w:sz w:val="24"/>
          <w:szCs w:val="24"/>
        </w:rPr>
        <w:t>d</w:t>
      </w:r>
      <w:r w:rsidR="00444034" w:rsidRPr="00444034">
        <w:rPr>
          <w:rFonts w:ascii="Arial" w:hAnsi="Arial" w:cs="Arial"/>
          <w:sz w:val="24"/>
          <w:szCs w:val="24"/>
        </w:rPr>
        <w:t xml:space="preserve"> throughout the year</w:t>
      </w:r>
      <w:r w:rsidR="00444034">
        <w:rPr>
          <w:rFonts w:ascii="Arial" w:hAnsi="Arial" w:cs="Arial"/>
          <w:sz w:val="24"/>
          <w:szCs w:val="24"/>
        </w:rPr>
        <w:t xml:space="preserve">. </w:t>
      </w:r>
      <w:r w:rsidR="00444034" w:rsidRPr="00444034">
        <w:rPr>
          <w:rFonts w:ascii="Arial" w:hAnsi="Arial" w:cs="Arial"/>
          <w:sz w:val="24"/>
          <w:szCs w:val="24"/>
        </w:rPr>
        <w:t xml:space="preserve">Selection for 2024–2025 visits was based on the 2023–2024 safeguarding returns, including practices </w:t>
      </w:r>
      <w:r w:rsidR="00BE4C7B">
        <w:rPr>
          <w:rFonts w:ascii="Arial" w:hAnsi="Arial" w:cs="Arial"/>
          <w:sz w:val="24"/>
          <w:szCs w:val="24"/>
        </w:rPr>
        <w:t>that</w:t>
      </w:r>
      <w:r w:rsidR="00444034" w:rsidRPr="00444034">
        <w:rPr>
          <w:rFonts w:ascii="Arial" w:hAnsi="Arial" w:cs="Arial"/>
          <w:sz w:val="24"/>
          <w:szCs w:val="24"/>
        </w:rPr>
        <w:t xml:space="preserve"> identified gaps</w:t>
      </w:r>
      <w:r w:rsidR="00444034">
        <w:rPr>
          <w:rFonts w:ascii="Arial" w:hAnsi="Arial" w:cs="Arial"/>
          <w:sz w:val="24"/>
          <w:szCs w:val="24"/>
        </w:rPr>
        <w:t xml:space="preserve"> in safeguarding practice</w:t>
      </w:r>
      <w:r w:rsidR="00444034" w:rsidRPr="00444034">
        <w:rPr>
          <w:rFonts w:ascii="Arial" w:hAnsi="Arial" w:cs="Arial"/>
          <w:sz w:val="24"/>
          <w:szCs w:val="24"/>
        </w:rPr>
        <w:t xml:space="preserve"> and those</w:t>
      </w:r>
      <w:r w:rsidR="00BE4C7B">
        <w:rPr>
          <w:rFonts w:ascii="Arial" w:hAnsi="Arial" w:cs="Arial"/>
          <w:sz w:val="24"/>
          <w:szCs w:val="24"/>
        </w:rPr>
        <w:t xml:space="preserve"> that</w:t>
      </w:r>
      <w:r w:rsidR="00444034" w:rsidRPr="00444034">
        <w:rPr>
          <w:rFonts w:ascii="Arial" w:hAnsi="Arial" w:cs="Arial"/>
          <w:sz w:val="24"/>
          <w:szCs w:val="24"/>
        </w:rPr>
        <w:t xml:space="preserve"> report</w:t>
      </w:r>
      <w:r w:rsidR="00BE4C7B">
        <w:rPr>
          <w:rFonts w:ascii="Arial" w:hAnsi="Arial" w:cs="Arial"/>
          <w:sz w:val="24"/>
          <w:szCs w:val="24"/>
        </w:rPr>
        <w:t>ed they had</w:t>
      </w:r>
      <w:r w:rsidR="00444034" w:rsidRPr="00444034">
        <w:rPr>
          <w:rFonts w:ascii="Arial" w:hAnsi="Arial" w:cs="Arial"/>
          <w:sz w:val="24"/>
          <w:szCs w:val="24"/>
        </w:rPr>
        <w:t xml:space="preserve"> robust</w:t>
      </w:r>
      <w:r w:rsidR="00BE4C7B">
        <w:rPr>
          <w:rFonts w:ascii="Arial" w:hAnsi="Arial" w:cs="Arial"/>
          <w:sz w:val="24"/>
          <w:szCs w:val="24"/>
        </w:rPr>
        <w:t xml:space="preserve"> safeguarding</w:t>
      </w:r>
      <w:r w:rsidR="00444034" w:rsidRPr="00444034">
        <w:rPr>
          <w:rFonts w:ascii="Arial" w:hAnsi="Arial" w:cs="Arial"/>
          <w:sz w:val="24"/>
          <w:szCs w:val="24"/>
        </w:rPr>
        <w:t xml:space="preserve"> arrangements</w:t>
      </w:r>
      <w:r w:rsidR="00BE4C7B">
        <w:rPr>
          <w:rFonts w:ascii="Arial" w:hAnsi="Arial" w:cs="Arial"/>
          <w:sz w:val="24"/>
          <w:szCs w:val="24"/>
        </w:rPr>
        <w:t xml:space="preserve"> in place</w:t>
      </w:r>
      <w:r w:rsidR="00444034" w:rsidRPr="00444034">
        <w:rPr>
          <w:rFonts w:ascii="Arial" w:hAnsi="Arial" w:cs="Arial"/>
          <w:sz w:val="24"/>
          <w:szCs w:val="24"/>
        </w:rPr>
        <w:t>.</w:t>
      </w:r>
      <w:r w:rsidR="0025001B">
        <w:rPr>
          <w:rFonts w:ascii="Arial" w:hAnsi="Arial" w:cs="Arial"/>
          <w:sz w:val="24"/>
          <w:szCs w:val="24"/>
        </w:rPr>
        <w:t xml:space="preserve"> </w:t>
      </w:r>
    </w:p>
    <w:p w14:paraId="763F2539" w14:textId="77777777" w:rsidR="00444034" w:rsidRDefault="00444034" w:rsidP="00444034">
      <w:pPr>
        <w:spacing w:after="0" w:line="240" w:lineRule="auto"/>
        <w:ind w:left="720"/>
        <w:rPr>
          <w:rFonts w:ascii="Arial" w:eastAsia="Calibri" w:hAnsi="Arial" w:cs="Arial"/>
          <w:color w:val="000000" w:themeColor="text1"/>
          <w:sz w:val="24"/>
          <w:szCs w:val="24"/>
          <w:u w:val="single"/>
        </w:rPr>
      </w:pPr>
    </w:p>
    <w:p w14:paraId="67853F2E" w14:textId="37095E4C" w:rsidR="005F1C0A" w:rsidRDefault="0080041E" w:rsidP="0080041E">
      <w:pPr>
        <w:spacing w:after="0" w:line="240" w:lineRule="auto"/>
        <w:ind w:left="709" w:hanging="709"/>
        <w:rPr>
          <w:rFonts w:ascii="Arial" w:eastAsia="Calibri" w:hAnsi="Arial" w:cs="Arial"/>
          <w:color w:val="000000" w:themeColor="text1"/>
          <w:sz w:val="24"/>
          <w:szCs w:val="24"/>
        </w:rPr>
      </w:pPr>
      <w:r w:rsidRPr="0080041E">
        <w:rPr>
          <w:rFonts w:ascii="Arial" w:eastAsia="Calibri" w:hAnsi="Arial" w:cs="Arial"/>
          <w:color w:val="000000" w:themeColor="text1"/>
          <w:sz w:val="24"/>
          <w:szCs w:val="24"/>
        </w:rPr>
        <w:t>3.7.</w:t>
      </w:r>
      <w:r w:rsidR="00D91E0A">
        <w:rPr>
          <w:rFonts w:ascii="Arial" w:eastAsia="Calibri" w:hAnsi="Arial" w:cs="Arial"/>
          <w:color w:val="000000" w:themeColor="text1"/>
          <w:sz w:val="24"/>
          <w:szCs w:val="24"/>
        </w:rPr>
        <w:t>5</w:t>
      </w:r>
      <w:r w:rsidRPr="0080041E">
        <w:rPr>
          <w:rFonts w:ascii="Arial" w:eastAsia="Calibri" w:hAnsi="Arial" w:cs="Arial"/>
          <w:color w:val="000000" w:themeColor="text1"/>
          <w:sz w:val="24"/>
          <w:szCs w:val="24"/>
        </w:rPr>
        <w:tab/>
      </w:r>
      <w:r w:rsidR="00126D15" w:rsidRPr="00126D15">
        <w:rPr>
          <w:rFonts w:ascii="Arial" w:eastAsia="Calibri" w:hAnsi="Arial" w:cs="Arial"/>
          <w:color w:val="000000" w:themeColor="text1"/>
          <w:sz w:val="24"/>
          <w:szCs w:val="24"/>
          <w:u w:val="single"/>
        </w:rPr>
        <w:t>Policies and Procedures:</w:t>
      </w:r>
      <w:r w:rsidR="00126D15" w:rsidRPr="00126D15">
        <w:rPr>
          <w:rFonts w:ascii="Arial" w:eastAsia="Calibri" w:hAnsi="Arial" w:cs="Arial"/>
          <w:color w:val="000000" w:themeColor="text1"/>
          <w:sz w:val="24"/>
          <w:szCs w:val="24"/>
        </w:rPr>
        <w:t xml:space="preserve"> </w:t>
      </w:r>
      <w:r w:rsidR="00064251">
        <w:rPr>
          <w:rFonts w:ascii="Arial" w:eastAsia="Calibri" w:hAnsi="Arial" w:cs="Arial"/>
          <w:color w:val="000000" w:themeColor="text1"/>
          <w:sz w:val="24"/>
          <w:szCs w:val="24"/>
        </w:rPr>
        <w:t xml:space="preserve">Between March and June 2024 a member of the ICB safeguarding team led in the development of a National Network of Designated Health Professionals (NNDHP) Position Statement on Free Birthing, as well as a partnership protocol for the management of Termination of Pregnancies (TOPs) in children under 13 years. </w:t>
      </w:r>
      <w:r w:rsidR="008E02CC">
        <w:rPr>
          <w:rFonts w:ascii="Arial" w:eastAsia="Calibri" w:hAnsi="Arial" w:cs="Arial"/>
          <w:color w:val="000000" w:themeColor="text1"/>
          <w:sz w:val="24"/>
          <w:szCs w:val="24"/>
        </w:rPr>
        <w:t xml:space="preserve">In March 2025 guidance for Primary Care in relation to </w:t>
      </w:r>
      <w:r w:rsidR="005F1C0A">
        <w:rPr>
          <w:rFonts w:ascii="Arial" w:eastAsia="Calibri" w:hAnsi="Arial" w:cs="Arial"/>
          <w:color w:val="000000" w:themeColor="text1"/>
          <w:sz w:val="24"/>
          <w:szCs w:val="24"/>
        </w:rPr>
        <w:t>the following was created:</w:t>
      </w:r>
    </w:p>
    <w:p w14:paraId="4071F6BD" w14:textId="4FE428C4" w:rsidR="005F1C0A" w:rsidRPr="00444034" w:rsidRDefault="005F1C0A" w:rsidP="00444034">
      <w:pPr>
        <w:pStyle w:val="ListParagraph"/>
        <w:numPr>
          <w:ilvl w:val="0"/>
          <w:numId w:val="27"/>
        </w:numPr>
        <w:ind w:left="1134" w:hanging="425"/>
        <w:rPr>
          <w:rFonts w:ascii="Arial" w:eastAsia="Times New Roman" w:hAnsi="Arial" w:cs="Arial"/>
          <w:kern w:val="0"/>
          <w:sz w:val="24"/>
          <w:szCs w:val="24"/>
          <w14:ligatures w14:val="none"/>
        </w:rPr>
      </w:pPr>
      <w:r w:rsidRPr="00444034">
        <w:rPr>
          <w:rFonts w:ascii="Arial" w:eastAsia="Times New Roman" w:hAnsi="Arial" w:cs="Arial"/>
          <w:kern w:val="0"/>
          <w:sz w:val="24"/>
          <w:szCs w:val="24"/>
          <w14:ligatures w14:val="none"/>
        </w:rPr>
        <w:t>S</w:t>
      </w:r>
      <w:r w:rsidR="008E02CC" w:rsidRPr="00444034">
        <w:rPr>
          <w:rFonts w:ascii="Arial" w:eastAsia="Times New Roman" w:hAnsi="Arial" w:cs="Arial"/>
          <w:kern w:val="0"/>
          <w:sz w:val="24"/>
          <w:szCs w:val="24"/>
          <w14:ligatures w14:val="none"/>
        </w:rPr>
        <w:t>afeguarding alerts, coding and uploading of safeguarding documents</w:t>
      </w:r>
      <w:r w:rsidRPr="00444034">
        <w:rPr>
          <w:rFonts w:ascii="Arial" w:eastAsia="Times New Roman" w:hAnsi="Arial" w:cs="Arial"/>
          <w:kern w:val="0"/>
          <w:sz w:val="24"/>
          <w:szCs w:val="24"/>
          <w14:ligatures w14:val="none"/>
        </w:rPr>
        <w:t xml:space="preserve"> to GP records</w:t>
      </w:r>
      <w:r w:rsidR="008E02CC" w:rsidRPr="00444034">
        <w:rPr>
          <w:rFonts w:ascii="Arial" w:eastAsia="Times New Roman" w:hAnsi="Arial" w:cs="Arial"/>
          <w:kern w:val="0"/>
          <w:sz w:val="24"/>
          <w:szCs w:val="24"/>
          <w14:ligatures w14:val="none"/>
        </w:rPr>
        <w:t xml:space="preserve"> </w:t>
      </w:r>
    </w:p>
    <w:p w14:paraId="76179F1B" w14:textId="4529EAC4" w:rsidR="005F1C0A" w:rsidRPr="00444034" w:rsidRDefault="005F1C0A" w:rsidP="007A0986">
      <w:pPr>
        <w:pStyle w:val="ListParagraph"/>
        <w:numPr>
          <w:ilvl w:val="0"/>
          <w:numId w:val="27"/>
        </w:numPr>
        <w:spacing w:after="0" w:line="240" w:lineRule="auto"/>
        <w:ind w:left="1134" w:hanging="425"/>
        <w:rPr>
          <w:rFonts w:ascii="Arial" w:eastAsia="Times New Roman" w:hAnsi="Arial" w:cs="Arial"/>
          <w:kern w:val="0"/>
          <w:sz w:val="24"/>
          <w:szCs w:val="24"/>
          <w14:ligatures w14:val="none"/>
        </w:rPr>
      </w:pPr>
      <w:r w:rsidRPr="00444034">
        <w:rPr>
          <w:rFonts w:ascii="Arial" w:eastAsia="Times New Roman" w:hAnsi="Arial" w:cs="Arial"/>
          <w:kern w:val="0"/>
          <w:sz w:val="24"/>
          <w:szCs w:val="24"/>
          <w14:ligatures w14:val="none"/>
        </w:rPr>
        <w:t>Identification and response to, as well as statutory responsibilities regarding, Female Genital Mutilation</w:t>
      </w:r>
      <w:r w:rsidR="008E02CC" w:rsidRPr="00444034">
        <w:rPr>
          <w:rFonts w:ascii="Arial" w:eastAsia="Times New Roman" w:hAnsi="Arial" w:cs="Arial"/>
          <w:kern w:val="0"/>
          <w:sz w:val="24"/>
          <w:szCs w:val="24"/>
          <w14:ligatures w14:val="none"/>
        </w:rPr>
        <w:t xml:space="preserve">. </w:t>
      </w:r>
    </w:p>
    <w:p w14:paraId="68E7C0B7" w14:textId="2F7C331A" w:rsidR="008E02CC" w:rsidRDefault="00126D15" w:rsidP="007A0986">
      <w:pPr>
        <w:spacing w:after="0" w:line="240" w:lineRule="auto"/>
        <w:ind w:left="720"/>
        <w:rPr>
          <w:rFonts w:ascii="Arial" w:hAnsi="Arial" w:cs="Arial"/>
          <w:sz w:val="24"/>
          <w:szCs w:val="24"/>
        </w:rPr>
      </w:pPr>
      <w:r w:rsidRPr="005F1C0A">
        <w:rPr>
          <w:rFonts w:ascii="Arial" w:eastAsia="Calibri" w:hAnsi="Arial" w:cs="Arial"/>
          <w:color w:val="000000" w:themeColor="text1"/>
          <w:sz w:val="24"/>
          <w:szCs w:val="24"/>
        </w:rPr>
        <w:t>The ICB’s Safeguarding Children policy sets out our commitment and approach to safeguarding children</w:t>
      </w:r>
      <w:r w:rsidR="008E02CC" w:rsidRPr="005F1C0A">
        <w:rPr>
          <w:rFonts w:ascii="Arial" w:eastAsia="Calibri" w:hAnsi="Arial" w:cs="Arial"/>
          <w:color w:val="000000" w:themeColor="text1"/>
          <w:sz w:val="24"/>
          <w:szCs w:val="24"/>
        </w:rPr>
        <w:t>. It</w:t>
      </w:r>
      <w:r w:rsidRPr="005F1C0A">
        <w:rPr>
          <w:rFonts w:ascii="Arial" w:eastAsia="Calibri" w:hAnsi="Arial" w:cs="Arial"/>
          <w:color w:val="000000" w:themeColor="text1"/>
          <w:sz w:val="24"/>
          <w:szCs w:val="24"/>
        </w:rPr>
        <w:t xml:space="preserve"> </w:t>
      </w:r>
      <w:r w:rsidR="008E02CC" w:rsidRPr="005F1C0A">
        <w:rPr>
          <w:rFonts w:ascii="Arial" w:eastAsia="Calibri" w:hAnsi="Arial" w:cs="Arial"/>
          <w:color w:val="000000" w:themeColor="text1"/>
          <w:sz w:val="24"/>
          <w:szCs w:val="24"/>
        </w:rPr>
        <w:t>requires</w:t>
      </w:r>
      <w:r w:rsidRPr="005F1C0A">
        <w:rPr>
          <w:rFonts w:ascii="Arial" w:eastAsia="Calibri" w:hAnsi="Arial" w:cs="Arial"/>
          <w:color w:val="000000" w:themeColor="text1"/>
          <w:sz w:val="24"/>
          <w:szCs w:val="24"/>
        </w:rPr>
        <w:t xml:space="preserve"> updat</w:t>
      </w:r>
      <w:r w:rsidR="008E02CC" w:rsidRPr="005F1C0A">
        <w:rPr>
          <w:rFonts w:ascii="Arial" w:eastAsia="Calibri" w:hAnsi="Arial" w:cs="Arial"/>
          <w:color w:val="000000" w:themeColor="text1"/>
          <w:sz w:val="24"/>
          <w:szCs w:val="24"/>
        </w:rPr>
        <w:t>ing</w:t>
      </w:r>
      <w:r w:rsidRPr="005F1C0A">
        <w:rPr>
          <w:rFonts w:ascii="Arial" w:eastAsia="Calibri" w:hAnsi="Arial" w:cs="Arial"/>
          <w:color w:val="000000" w:themeColor="text1"/>
          <w:sz w:val="24"/>
          <w:szCs w:val="24"/>
        </w:rPr>
        <w:t xml:space="preserve"> </w:t>
      </w:r>
      <w:r w:rsidR="008E02CC" w:rsidRPr="005F1C0A">
        <w:rPr>
          <w:rFonts w:ascii="Arial" w:eastAsia="Calibri" w:hAnsi="Arial" w:cs="Arial"/>
          <w:color w:val="000000" w:themeColor="text1"/>
          <w:sz w:val="24"/>
          <w:szCs w:val="24"/>
        </w:rPr>
        <w:t xml:space="preserve">but a refreshed policy is </w:t>
      </w:r>
      <w:r w:rsidR="005F1C0A">
        <w:rPr>
          <w:rFonts w:ascii="Arial" w:eastAsia="Calibri" w:hAnsi="Arial" w:cs="Arial"/>
          <w:color w:val="000000" w:themeColor="text1"/>
          <w:sz w:val="24"/>
          <w:szCs w:val="24"/>
        </w:rPr>
        <w:t xml:space="preserve">currently </w:t>
      </w:r>
      <w:r w:rsidR="008E02CC" w:rsidRPr="005F1C0A">
        <w:rPr>
          <w:rFonts w:ascii="Arial" w:eastAsia="Calibri" w:hAnsi="Arial" w:cs="Arial"/>
          <w:color w:val="000000" w:themeColor="text1"/>
          <w:sz w:val="24"/>
          <w:szCs w:val="24"/>
        </w:rPr>
        <w:t xml:space="preserve">on hold </w:t>
      </w:r>
      <w:r w:rsidR="00EC4A32" w:rsidRPr="005F1C0A">
        <w:rPr>
          <w:rFonts w:ascii="Arial" w:eastAsia="Calibri" w:hAnsi="Arial" w:cs="Arial"/>
          <w:color w:val="000000" w:themeColor="text1"/>
          <w:sz w:val="24"/>
          <w:szCs w:val="24"/>
        </w:rPr>
        <w:t>considering</w:t>
      </w:r>
      <w:r w:rsidR="008E02CC" w:rsidRPr="005F1C0A">
        <w:rPr>
          <w:rFonts w:ascii="Arial" w:eastAsia="Calibri" w:hAnsi="Arial" w:cs="Arial"/>
          <w:color w:val="000000" w:themeColor="text1"/>
          <w:sz w:val="24"/>
          <w:szCs w:val="24"/>
        </w:rPr>
        <w:t xml:space="preserve"> the move to an ICB cluster, pending legislative changes, and potential impact of the whole system changes outlined in section 2.3 of this report</w:t>
      </w:r>
      <w:r w:rsidRPr="005F1C0A">
        <w:rPr>
          <w:rFonts w:ascii="Arial" w:eastAsia="Calibri" w:hAnsi="Arial" w:cs="Arial"/>
          <w:color w:val="000000" w:themeColor="text1"/>
          <w:sz w:val="24"/>
          <w:szCs w:val="24"/>
        </w:rPr>
        <w:t xml:space="preserve">. </w:t>
      </w:r>
      <w:r w:rsidRPr="005F1C0A">
        <w:rPr>
          <w:rFonts w:ascii="Arial" w:hAnsi="Arial" w:cs="Arial"/>
          <w:bCs/>
          <w:sz w:val="24"/>
          <w:szCs w:val="24"/>
          <w:lang w:val="en-US"/>
        </w:rPr>
        <w:t>The current version</w:t>
      </w:r>
      <w:r w:rsidR="008E02CC" w:rsidRPr="005F1C0A">
        <w:rPr>
          <w:rFonts w:ascii="Arial" w:hAnsi="Arial" w:cs="Arial"/>
          <w:bCs/>
          <w:sz w:val="24"/>
          <w:szCs w:val="24"/>
          <w:lang w:val="en-US"/>
        </w:rPr>
        <w:t>s</w:t>
      </w:r>
      <w:r w:rsidRPr="005F1C0A">
        <w:rPr>
          <w:rFonts w:ascii="Arial" w:hAnsi="Arial" w:cs="Arial"/>
          <w:bCs/>
          <w:sz w:val="24"/>
          <w:szCs w:val="24"/>
          <w:lang w:val="en-US"/>
        </w:rPr>
        <w:t xml:space="preserve"> of </w:t>
      </w:r>
      <w:r w:rsidR="008E02CC" w:rsidRPr="005F1C0A">
        <w:rPr>
          <w:rFonts w:ascii="Arial" w:hAnsi="Arial" w:cs="Arial"/>
          <w:bCs/>
          <w:sz w:val="24"/>
          <w:szCs w:val="24"/>
          <w:lang w:val="en-US"/>
        </w:rPr>
        <w:t>all</w:t>
      </w:r>
      <w:r w:rsidRPr="005F1C0A">
        <w:rPr>
          <w:rFonts w:ascii="Arial" w:hAnsi="Arial" w:cs="Arial"/>
          <w:bCs/>
          <w:sz w:val="24"/>
          <w:szCs w:val="24"/>
          <w:lang w:val="en-US"/>
        </w:rPr>
        <w:t xml:space="preserve"> polic</w:t>
      </w:r>
      <w:r w:rsidR="008E02CC" w:rsidRPr="005F1C0A">
        <w:rPr>
          <w:rFonts w:ascii="Arial" w:hAnsi="Arial" w:cs="Arial"/>
          <w:bCs/>
          <w:sz w:val="24"/>
          <w:szCs w:val="24"/>
          <w:lang w:val="en-US"/>
        </w:rPr>
        <w:t>ies related to safeguarding children are</w:t>
      </w:r>
      <w:r w:rsidRPr="005F1C0A">
        <w:rPr>
          <w:rFonts w:ascii="Arial" w:hAnsi="Arial" w:cs="Arial"/>
          <w:bCs/>
          <w:sz w:val="24"/>
          <w:szCs w:val="24"/>
          <w:lang w:val="en-US"/>
        </w:rPr>
        <w:t xml:space="preserve"> located here: </w:t>
      </w:r>
      <w:hyperlink r:id="rId26" w:history="1">
        <w:r w:rsidR="008E02CC" w:rsidRPr="005F1C0A">
          <w:rPr>
            <w:rStyle w:val="Hyperlink"/>
            <w:rFonts w:ascii="Arial" w:hAnsi="Arial" w:cs="Arial"/>
            <w:sz w:val="24"/>
            <w:szCs w:val="24"/>
          </w:rPr>
          <w:t>https://nhssomerset.nhs.uk/health/safeguarding-adults-and-children/safeguarding-policies-guidance/</w:t>
        </w:r>
      </w:hyperlink>
      <w:r w:rsidR="008E02CC" w:rsidRPr="005F1C0A">
        <w:rPr>
          <w:rFonts w:ascii="Arial" w:hAnsi="Arial" w:cs="Arial"/>
          <w:sz w:val="24"/>
          <w:szCs w:val="24"/>
        </w:rPr>
        <w:t>.</w:t>
      </w:r>
      <w:r w:rsidR="00064251">
        <w:rPr>
          <w:rFonts w:ascii="Arial" w:hAnsi="Arial" w:cs="Arial"/>
          <w:sz w:val="24"/>
          <w:szCs w:val="24"/>
        </w:rPr>
        <w:t xml:space="preserve"> </w:t>
      </w:r>
    </w:p>
    <w:p w14:paraId="4967EE32" w14:textId="77777777" w:rsidR="005F1C0A" w:rsidRPr="005F1C0A" w:rsidRDefault="005F1C0A" w:rsidP="005F1C0A">
      <w:pPr>
        <w:spacing w:after="0" w:line="240" w:lineRule="auto"/>
        <w:ind w:left="720"/>
        <w:rPr>
          <w:rFonts w:ascii="Arial" w:hAnsi="Arial" w:cs="Arial"/>
          <w:sz w:val="24"/>
          <w:szCs w:val="24"/>
        </w:rPr>
      </w:pPr>
    </w:p>
    <w:p w14:paraId="1554D57A" w14:textId="25AECCF6" w:rsidR="007B535F" w:rsidRDefault="00126D15" w:rsidP="007B535F">
      <w:pPr>
        <w:spacing w:after="0" w:line="240" w:lineRule="auto"/>
        <w:ind w:left="720" w:hanging="720"/>
        <w:rPr>
          <w:rFonts w:ascii="Arial" w:eastAsia="Calibri" w:hAnsi="Arial" w:cs="Arial"/>
          <w:color w:val="000000" w:themeColor="text1"/>
          <w:sz w:val="24"/>
          <w:szCs w:val="24"/>
        </w:rPr>
      </w:pPr>
      <w:r w:rsidRPr="003A11C4">
        <w:rPr>
          <w:rFonts w:ascii="Arial" w:eastAsia="Calibri" w:hAnsi="Arial" w:cs="Arial"/>
          <w:color w:val="000000" w:themeColor="text1"/>
          <w:sz w:val="24"/>
          <w:szCs w:val="24"/>
        </w:rPr>
        <w:t>3.</w:t>
      </w:r>
      <w:r w:rsidR="00DB0DDB">
        <w:rPr>
          <w:rFonts w:ascii="Arial" w:eastAsia="Calibri" w:hAnsi="Arial" w:cs="Arial"/>
          <w:color w:val="000000" w:themeColor="text1"/>
          <w:sz w:val="24"/>
          <w:szCs w:val="24"/>
        </w:rPr>
        <w:t>7</w:t>
      </w:r>
      <w:r w:rsidRPr="003A11C4">
        <w:rPr>
          <w:rFonts w:ascii="Arial" w:eastAsia="Calibri" w:hAnsi="Arial" w:cs="Arial"/>
          <w:color w:val="000000" w:themeColor="text1"/>
          <w:sz w:val="24"/>
          <w:szCs w:val="24"/>
        </w:rPr>
        <w:t>.</w:t>
      </w:r>
      <w:r w:rsidR="00D91E0A">
        <w:rPr>
          <w:rFonts w:ascii="Arial" w:eastAsia="Calibri" w:hAnsi="Arial" w:cs="Arial"/>
          <w:color w:val="000000" w:themeColor="text1"/>
          <w:sz w:val="24"/>
          <w:szCs w:val="24"/>
        </w:rPr>
        <w:t>6</w:t>
      </w:r>
      <w:r w:rsidRPr="00126D15">
        <w:rPr>
          <w:rFonts w:ascii="Arial" w:eastAsia="Calibri" w:hAnsi="Arial" w:cs="Arial"/>
          <w:color w:val="000000" w:themeColor="text1"/>
          <w:sz w:val="24"/>
          <w:szCs w:val="24"/>
        </w:rPr>
        <w:tab/>
      </w:r>
      <w:r w:rsidRPr="00BA6ECD">
        <w:rPr>
          <w:rFonts w:ascii="Arial" w:eastAsia="Calibri" w:hAnsi="Arial" w:cs="Arial"/>
          <w:color w:val="000000" w:themeColor="text1"/>
          <w:sz w:val="24"/>
          <w:szCs w:val="24"/>
          <w:u w:val="single"/>
        </w:rPr>
        <w:t>Safeguarding Training:</w:t>
      </w:r>
      <w:r w:rsidRPr="00BA6ECD">
        <w:rPr>
          <w:rFonts w:ascii="Arial" w:eastAsia="Calibri" w:hAnsi="Arial" w:cs="Arial"/>
          <w:color w:val="000000" w:themeColor="text1"/>
          <w:sz w:val="24"/>
          <w:szCs w:val="24"/>
        </w:rPr>
        <w:t xml:space="preserve"> </w:t>
      </w:r>
      <w:r w:rsidR="007B535F">
        <w:rPr>
          <w:rFonts w:ascii="Arial" w:eastAsia="Calibri" w:hAnsi="Arial" w:cs="Arial"/>
          <w:color w:val="000000" w:themeColor="text1"/>
          <w:sz w:val="24"/>
          <w:szCs w:val="24"/>
        </w:rPr>
        <w:t>During the reporting period the</w:t>
      </w:r>
      <w:r>
        <w:rPr>
          <w:rFonts w:ascii="Arial" w:eastAsia="Calibri" w:hAnsi="Arial" w:cs="Arial"/>
          <w:color w:val="000000" w:themeColor="text1"/>
          <w:sz w:val="24"/>
          <w:szCs w:val="24"/>
        </w:rPr>
        <w:t xml:space="preserve"> Designated Professionals for Safeguarding Children and Child Death delivered the </w:t>
      </w:r>
      <w:r w:rsidR="007B535F">
        <w:rPr>
          <w:rFonts w:ascii="Arial" w:eastAsia="Calibri" w:hAnsi="Arial" w:cs="Arial"/>
          <w:color w:val="000000" w:themeColor="text1"/>
          <w:sz w:val="24"/>
          <w:szCs w:val="24"/>
        </w:rPr>
        <w:t>following</w:t>
      </w:r>
      <w:r w:rsidR="001F58E8">
        <w:rPr>
          <w:rFonts w:ascii="Arial" w:eastAsia="Calibri" w:hAnsi="Arial" w:cs="Arial"/>
          <w:color w:val="000000" w:themeColor="text1"/>
          <w:sz w:val="24"/>
          <w:szCs w:val="24"/>
        </w:rPr>
        <w:t xml:space="preserve"> training</w:t>
      </w:r>
      <w:r w:rsidR="007B535F">
        <w:rPr>
          <w:rFonts w:ascii="Arial" w:eastAsia="Calibri" w:hAnsi="Arial" w:cs="Arial"/>
          <w:color w:val="000000" w:themeColor="text1"/>
          <w:sz w:val="24"/>
          <w:szCs w:val="24"/>
        </w:rPr>
        <w:t>:</w:t>
      </w:r>
    </w:p>
    <w:p w14:paraId="30C3E36D" w14:textId="336D9255" w:rsidR="007B535F" w:rsidRPr="007B535F" w:rsidRDefault="007B535F" w:rsidP="007B535F">
      <w:pPr>
        <w:pStyle w:val="ListParagraph"/>
        <w:numPr>
          <w:ilvl w:val="0"/>
          <w:numId w:val="27"/>
        </w:numPr>
        <w:spacing w:after="0" w:line="240" w:lineRule="auto"/>
        <w:ind w:left="1134" w:hanging="425"/>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The </w:t>
      </w:r>
      <w:r w:rsidR="00126D15">
        <w:rPr>
          <w:rFonts w:ascii="Arial" w:eastAsia="Calibri" w:hAnsi="Arial" w:cs="Arial"/>
          <w:color w:val="000000" w:themeColor="text1"/>
          <w:sz w:val="24"/>
          <w:szCs w:val="24"/>
        </w:rPr>
        <w:t>first ever joint Pan Dorset and Somerset CDOP learning event</w:t>
      </w:r>
      <w:r w:rsidR="001F58E8">
        <w:rPr>
          <w:rFonts w:ascii="Arial" w:eastAsia="Calibri" w:hAnsi="Arial" w:cs="Arial"/>
          <w:color w:val="000000" w:themeColor="text1"/>
          <w:sz w:val="24"/>
          <w:szCs w:val="24"/>
        </w:rPr>
        <w:t>;</w:t>
      </w:r>
      <w:r w:rsidR="00126D15">
        <w:rPr>
          <w:rFonts w:ascii="Arial" w:eastAsia="Calibri" w:hAnsi="Arial" w:cs="Arial"/>
          <w:color w:val="000000" w:themeColor="text1"/>
          <w:sz w:val="24"/>
          <w:szCs w:val="24"/>
        </w:rPr>
        <w:t xml:space="preserve"> alongside CDOP members from Pan Dorset and Somerset Council. </w:t>
      </w:r>
    </w:p>
    <w:p w14:paraId="3C2193A6" w14:textId="18F4BC25" w:rsidR="007B535F" w:rsidRPr="007B535F" w:rsidRDefault="007B535F" w:rsidP="007B535F">
      <w:pPr>
        <w:pStyle w:val="ListParagraph"/>
        <w:numPr>
          <w:ilvl w:val="0"/>
          <w:numId w:val="27"/>
        </w:numPr>
        <w:spacing w:after="0" w:line="240" w:lineRule="auto"/>
        <w:ind w:left="1134" w:hanging="425"/>
        <w:rPr>
          <w:rFonts w:ascii="Arial" w:eastAsia="Calibri" w:hAnsi="Arial" w:cs="Arial"/>
          <w:color w:val="000000" w:themeColor="text1"/>
          <w:sz w:val="24"/>
          <w:szCs w:val="24"/>
        </w:rPr>
      </w:pPr>
      <w:r>
        <w:rPr>
          <w:rFonts w:ascii="Arial" w:eastAsia="Times New Roman" w:hAnsi="Arial" w:cs="Arial"/>
          <w:kern w:val="0"/>
          <w:sz w:val="24"/>
          <w:szCs w:val="24"/>
          <w14:ligatures w14:val="none"/>
        </w:rPr>
        <w:t>New Dads Supporters Training</w:t>
      </w:r>
      <w:r w:rsidR="001C5572">
        <w:rPr>
          <w:rFonts w:ascii="Arial" w:eastAsia="Times New Roman" w:hAnsi="Arial" w:cs="Arial"/>
          <w:kern w:val="0"/>
          <w:sz w:val="24"/>
          <w:szCs w:val="24"/>
          <w14:ligatures w14:val="none"/>
        </w:rPr>
        <w:t>.</w:t>
      </w:r>
    </w:p>
    <w:p w14:paraId="72CFF8DD" w14:textId="1C2029EA" w:rsidR="007B535F" w:rsidRPr="007B535F" w:rsidRDefault="007B535F" w:rsidP="007B535F">
      <w:pPr>
        <w:pStyle w:val="ListParagraph"/>
        <w:numPr>
          <w:ilvl w:val="0"/>
          <w:numId w:val="27"/>
        </w:numPr>
        <w:spacing w:after="0" w:line="240" w:lineRule="auto"/>
        <w:ind w:left="1134" w:hanging="425"/>
        <w:rPr>
          <w:rFonts w:ascii="Arial" w:eastAsia="Calibri" w:hAnsi="Arial" w:cs="Arial"/>
          <w:color w:val="000000" w:themeColor="text1"/>
          <w:sz w:val="24"/>
          <w:szCs w:val="24"/>
        </w:rPr>
      </w:pPr>
      <w:r>
        <w:rPr>
          <w:rFonts w:ascii="Arial" w:eastAsia="Times New Roman" w:hAnsi="Arial" w:cs="Arial"/>
          <w:kern w:val="0"/>
          <w:sz w:val="24"/>
          <w:szCs w:val="24"/>
          <w14:ligatures w14:val="none"/>
        </w:rPr>
        <w:t>Supporting children questioning their Gender</w:t>
      </w:r>
      <w:r w:rsidR="001C5572">
        <w:rPr>
          <w:rFonts w:ascii="Arial" w:eastAsia="Times New Roman" w:hAnsi="Arial" w:cs="Arial"/>
          <w:kern w:val="0"/>
          <w:sz w:val="24"/>
          <w:szCs w:val="24"/>
          <w14:ligatures w14:val="none"/>
        </w:rPr>
        <w:t>; alongside ICB colleagues.</w:t>
      </w:r>
      <w:r>
        <w:rPr>
          <w:rFonts w:ascii="Arial" w:eastAsia="Times New Roman" w:hAnsi="Arial" w:cs="Arial"/>
          <w:kern w:val="0"/>
          <w:sz w:val="24"/>
          <w:szCs w:val="24"/>
          <w14:ligatures w14:val="none"/>
        </w:rPr>
        <w:t xml:space="preserve"> </w:t>
      </w:r>
    </w:p>
    <w:p w14:paraId="45B061DF" w14:textId="30746EC6" w:rsidR="007B535F" w:rsidRPr="007B535F" w:rsidRDefault="007B535F" w:rsidP="007B535F">
      <w:pPr>
        <w:pStyle w:val="ListParagraph"/>
        <w:numPr>
          <w:ilvl w:val="0"/>
          <w:numId w:val="27"/>
        </w:numPr>
        <w:spacing w:after="0" w:line="240" w:lineRule="auto"/>
        <w:ind w:left="1134" w:hanging="425"/>
        <w:rPr>
          <w:rFonts w:ascii="Arial" w:eastAsia="Calibri" w:hAnsi="Arial" w:cs="Arial"/>
          <w:color w:val="000000" w:themeColor="text1"/>
          <w:sz w:val="24"/>
          <w:szCs w:val="24"/>
        </w:rPr>
      </w:pPr>
      <w:r>
        <w:rPr>
          <w:rFonts w:ascii="Arial" w:eastAsia="Calibri" w:hAnsi="Arial" w:cs="Arial"/>
          <w:color w:val="000000" w:themeColor="text1"/>
          <w:sz w:val="24"/>
          <w:szCs w:val="24"/>
        </w:rPr>
        <w:t>Safeguarding children updates to Somerset GP Education Trust</w:t>
      </w:r>
      <w:r w:rsidR="001C5572">
        <w:rPr>
          <w:rFonts w:ascii="Arial" w:eastAsia="Calibri" w:hAnsi="Arial" w:cs="Arial"/>
          <w:color w:val="000000" w:themeColor="text1"/>
          <w:sz w:val="24"/>
          <w:szCs w:val="24"/>
        </w:rPr>
        <w:t xml:space="preserve"> (SGPET)</w:t>
      </w:r>
    </w:p>
    <w:p w14:paraId="3FFC2834" w14:textId="3EDAA624" w:rsidR="00126D15" w:rsidRPr="007B535F" w:rsidRDefault="007B535F" w:rsidP="007B535F">
      <w:pPr>
        <w:spacing w:after="0" w:line="240" w:lineRule="auto"/>
        <w:ind w:left="709"/>
        <w:rPr>
          <w:rFonts w:ascii="Arial" w:eastAsia="Calibri" w:hAnsi="Arial" w:cs="Arial"/>
          <w:color w:val="000000" w:themeColor="text1"/>
          <w:sz w:val="24"/>
          <w:szCs w:val="24"/>
        </w:rPr>
      </w:pPr>
      <w:r>
        <w:rPr>
          <w:rFonts w:ascii="Arial" w:eastAsia="Times New Roman" w:hAnsi="Arial" w:cs="Arial"/>
          <w:kern w:val="0"/>
          <w:sz w:val="24"/>
          <w:szCs w:val="24"/>
          <w14:ligatures w14:val="none"/>
        </w:rPr>
        <w:t>I</w:t>
      </w:r>
      <w:r w:rsidR="00126D15" w:rsidRPr="007B535F">
        <w:rPr>
          <w:rFonts w:ascii="Arial" w:eastAsia="Times New Roman" w:hAnsi="Arial" w:cs="Arial"/>
          <w:kern w:val="0"/>
          <w:sz w:val="24"/>
          <w:szCs w:val="24"/>
          <w14:ligatures w14:val="none"/>
        </w:rPr>
        <w:t>n</w:t>
      </w:r>
      <w:r w:rsidR="00126D15" w:rsidRPr="007B535F">
        <w:rPr>
          <w:rFonts w:ascii="Arial" w:eastAsia="Calibri" w:hAnsi="Arial" w:cs="Arial"/>
          <w:color w:val="000000" w:themeColor="text1"/>
          <w:sz w:val="24"/>
          <w:szCs w:val="24"/>
        </w:rPr>
        <w:t xml:space="preserve"> partnership with the wider safeguarding team three all day safeguarding training events were provided to GP safeguarding leads and ICB staff throughout 2024/2025; one on the theme of Domestic Abuse and two on the theme of Exploitation and Serious Youth Violence. </w:t>
      </w:r>
      <w:r w:rsidR="003A11C4" w:rsidRPr="007B535F">
        <w:rPr>
          <w:rFonts w:ascii="Arial" w:eastAsia="Calibri" w:hAnsi="Arial" w:cs="Arial"/>
          <w:color w:val="000000" w:themeColor="text1"/>
          <w:sz w:val="24"/>
          <w:szCs w:val="24"/>
        </w:rPr>
        <w:t>In Winter 2024</w:t>
      </w:r>
      <w:r w:rsidR="00126D15" w:rsidRPr="007B535F">
        <w:rPr>
          <w:rFonts w:ascii="Arial" w:eastAsia="Calibri" w:hAnsi="Arial" w:cs="Arial"/>
          <w:color w:val="000000" w:themeColor="text1"/>
          <w:sz w:val="24"/>
          <w:szCs w:val="24"/>
        </w:rPr>
        <w:t xml:space="preserve"> </w:t>
      </w:r>
      <w:r w:rsidR="003A11C4" w:rsidRPr="007B535F">
        <w:rPr>
          <w:rFonts w:ascii="Arial" w:eastAsia="Calibri" w:hAnsi="Arial" w:cs="Arial"/>
          <w:color w:val="000000" w:themeColor="text1"/>
          <w:sz w:val="24"/>
          <w:szCs w:val="24"/>
        </w:rPr>
        <w:t>the</w:t>
      </w:r>
      <w:r w:rsidR="00126D15" w:rsidRPr="007B535F">
        <w:rPr>
          <w:rFonts w:ascii="Arial" w:eastAsia="Calibri" w:hAnsi="Arial" w:cs="Arial"/>
          <w:color w:val="000000" w:themeColor="text1"/>
          <w:sz w:val="24"/>
          <w:szCs w:val="24"/>
        </w:rPr>
        <w:t xml:space="preserve"> rolling programme of Back to Basic Safeguarding lunch and learn sessions delivered by the strategic safeguarding team</w:t>
      </w:r>
      <w:r w:rsidR="003A11C4" w:rsidRPr="007B535F">
        <w:rPr>
          <w:rFonts w:ascii="Arial" w:eastAsia="Calibri" w:hAnsi="Arial" w:cs="Arial"/>
          <w:color w:val="000000" w:themeColor="text1"/>
          <w:sz w:val="24"/>
          <w:szCs w:val="24"/>
        </w:rPr>
        <w:t xml:space="preserve"> was tailored back, in recognition of winter pressures on frontline staff which was </w:t>
      </w:r>
      <w:r w:rsidR="005E1151" w:rsidRPr="007B535F">
        <w:rPr>
          <w:rFonts w:ascii="Arial" w:eastAsia="Calibri" w:hAnsi="Arial" w:cs="Arial"/>
          <w:color w:val="000000" w:themeColor="text1"/>
          <w:sz w:val="24"/>
          <w:szCs w:val="24"/>
        </w:rPr>
        <w:t>reflected</w:t>
      </w:r>
      <w:r w:rsidR="003A11C4" w:rsidRPr="007B535F">
        <w:rPr>
          <w:rFonts w:ascii="Arial" w:eastAsia="Calibri" w:hAnsi="Arial" w:cs="Arial"/>
          <w:color w:val="000000" w:themeColor="text1"/>
          <w:sz w:val="24"/>
          <w:szCs w:val="24"/>
        </w:rPr>
        <w:t xml:space="preserve"> in the drop in attendance rates</w:t>
      </w:r>
      <w:r w:rsidR="00126D15" w:rsidRPr="007B535F">
        <w:rPr>
          <w:rFonts w:ascii="Arial" w:eastAsia="Calibri" w:hAnsi="Arial" w:cs="Arial"/>
          <w:color w:val="000000" w:themeColor="text1"/>
          <w:sz w:val="24"/>
          <w:szCs w:val="24"/>
        </w:rPr>
        <w:t>.</w:t>
      </w:r>
      <w:r w:rsidR="003A11C4" w:rsidRPr="007B535F">
        <w:rPr>
          <w:rFonts w:ascii="Arial" w:eastAsia="Calibri" w:hAnsi="Arial" w:cs="Arial"/>
          <w:color w:val="000000" w:themeColor="text1"/>
          <w:sz w:val="24"/>
          <w:szCs w:val="24"/>
        </w:rPr>
        <w:t xml:space="preserve"> However, s</w:t>
      </w:r>
      <w:r w:rsidR="00126D15" w:rsidRPr="007B535F">
        <w:rPr>
          <w:rFonts w:ascii="Arial" w:eastAsia="Calibri" w:hAnsi="Arial" w:cs="Arial"/>
          <w:color w:val="000000" w:themeColor="text1"/>
          <w:sz w:val="24"/>
          <w:szCs w:val="24"/>
        </w:rPr>
        <w:t xml:space="preserve">essions </w:t>
      </w:r>
      <w:r w:rsidR="003A11C4" w:rsidRPr="007B535F">
        <w:rPr>
          <w:rFonts w:ascii="Arial" w:eastAsia="Calibri" w:hAnsi="Arial" w:cs="Arial"/>
          <w:color w:val="000000" w:themeColor="text1"/>
          <w:sz w:val="24"/>
          <w:szCs w:val="24"/>
        </w:rPr>
        <w:t>on</w:t>
      </w:r>
      <w:r w:rsidR="00126D15" w:rsidRPr="007B535F">
        <w:rPr>
          <w:rFonts w:ascii="Arial" w:eastAsia="Calibri" w:hAnsi="Arial" w:cs="Arial"/>
          <w:color w:val="000000" w:themeColor="text1"/>
          <w:sz w:val="24"/>
          <w:szCs w:val="24"/>
        </w:rPr>
        <w:t xml:space="preserve"> </w:t>
      </w:r>
      <w:r w:rsidR="001C5572">
        <w:rPr>
          <w:rFonts w:ascii="Arial" w:eastAsia="Calibri" w:hAnsi="Arial" w:cs="Arial"/>
          <w:color w:val="000000" w:themeColor="text1"/>
          <w:sz w:val="24"/>
          <w:szCs w:val="24"/>
        </w:rPr>
        <w:t>‘</w:t>
      </w:r>
      <w:r w:rsidR="006E71E1" w:rsidRPr="007B535F">
        <w:rPr>
          <w:rFonts w:ascii="Arial" w:eastAsia="Calibri" w:hAnsi="Arial" w:cs="Arial"/>
          <w:color w:val="000000" w:themeColor="text1"/>
          <w:sz w:val="24"/>
          <w:szCs w:val="24"/>
        </w:rPr>
        <w:t xml:space="preserve">Safeguarding in the </w:t>
      </w:r>
      <w:r w:rsidR="003A11C4" w:rsidRPr="007B535F">
        <w:rPr>
          <w:rFonts w:ascii="Arial" w:eastAsia="Calibri" w:hAnsi="Arial" w:cs="Arial"/>
          <w:color w:val="000000" w:themeColor="text1"/>
          <w:sz w:val="24"/>
          <w:szCs w:val="24"/>
        </w:rPr>
        <w:t>Pre Birth</w:t>
      </w:r>
      <w:r w:rsidR="006E71E1" w:rsidRPr="007B535F">
        <w:rPr>
          <w:rFonts w:ascii="Arial" w:eastAsia="Calibri" w:hAnsi="Arial" w:cs="Arial"/>
          <w:color w:val="000000" w:themeColor="text1"/>
          <w:sz w:val="24"/>
          <w:szCs w:val="24"/>
        </w:rPr>
        <w:t xml:space="preserve"> period</w:t>
      </w:r>
      <w:r w:rsidR="001C5572">
        <w:rPr>
          <w:rFonts w:ascii="Arial" w:eastAsia="Calibri" w:hAnsi="Arial" w:cs="Arial"/>
          <w:color w:val="000000" w:themeColor="text1"/>
          <w:sz w:val="24"/>
          <w:szCs w:val="24"/>
        </w:rPr>
        <w:t>’</w:t>
      </w:r>
      <w:r w:rsidR="003A11C4" w:rsidRPr="007B535F">
        <w:rPr>
          <w:rFonts w:ascii="Arial" w:eastAsia="Calibri" w:hAnsi="Arial" w:cs="Arial"/>
          <w:color w:val="000000" w:themeColor="text1"/>
          <w:sz w:val="24"/>
          <w:szCs w:val="24"/>
        </w:rPr>
        <w:t xml:space="preserve"> and </w:t>
      </w:r>
      <w:r w:rsidR="001C5572">
        <w:rPr>
          <w:rFonts w:ascii="Arial" w:eastAsia="Calibri" w:hAnsi="Arial" w:cs="Arial"/>
          <w:color w:val="000000" w:themeColor="text1"/>
          <w:sz w:val="24"/>
          <w:szCs w:val="24"/>
        </w:rPr>
        <w:t>‘</w:t>
      </w:r>
      <w:r w:rsidR="003A11C4" w:rsidRPr="007B535F">
        <w:rPr>
          <w:rFonts w:ascii="Arial" w:eastAsia="Calibri" w:hAnsi="Arial" w:cs="Arial"/>
          <w:color w:val="000000" w:themeColor="text1"/>
          <w:sz w:val="24"/>
          <w:szCs w:val="24"/>
        </w:rPr>
        <w:t xml:space="preserve">Female Genital </w:t>
      </w:r>
      <w:r w:rsidR="00FB1A85" w:rsidRPr="007B535F">
        <w:rPr>
          <w:rFonts w:ascii="Arial" w:eastAsia="Calibri" w:hAnsi="Arial" w:cs="Arial"/>
          <w:color w:val="000000" w:themeColor="text1"/>
          <w:sz w:val="24"/>
          <w:szCs w:val="24"/>
        </w:rPr>
        <w:t>Mutilation</w:t>
      </w:r>
      <w:r w:rsidR="001C5572">
        <w:rPr>
          <w:rFonts w:ascii="Arial" w:eastAsia="Calibri" w:hAnsi="Arial" w:cs="Arial"/>
          <w:color w:val="000000" w:themeColor="text1"/>
          <w:sz w:val="24"/>
          <w:szCs w:val="24"/>
        </w:rPr>
        <w:t>’</w:t>
      </w:r>
      <w:r w:rsidR="003A11C4" w:rsidRPr="007B535F">
        <w:rPr>
          <w:rFonts w:ascii="Arial" w:eastAsia="Calibri" w:hAnsi="Arial" w:cs="Arial"/>
          <w:color w:val="000000" w:themeColor="text1"/>
          <w:sz w:val="24"/>
          <w:szCs w:val="24"/>
        </w:rPr>
        <w:t xml:space="preserve"> (</w:t>
      </w:r>
      <w:r w:rsidR="00FB1A85" w:rsidRPr="007B535F">
        <w:rPr>
          <w:rFonts w:ascii="Arial" w:eastAsia="Calibri" w:hAnsi="Arial" w:cs="Arial"/>
          <w:color w:val="000000" w:themeColor="text1"/>
          <w:sz w:val="24"/>
          <w:szCs w:val="24"/>
        </w:rPr>
        <w:t>Hereafter referred to as ‘</w:t>
      </w:r>
      <w:r w:rsidR="003A11C4" w:rsidRPr="007B535F">
        <w:rPr>
          <w:rFonts w:ascii="Arial" w:eastAsia="Calibri" w:hAnsi="Arial" w:cs="Arial"/>
          <w:color w:val="000000" w:themeColor="text1"/>
          <w:sz w:val="24"/>
          <w:szCs w:val="24"/>
        </w:rPr>
        <w:t>FGM</w:t>
      </w:r>
      <w:r w:rsidR="00FB1A85" w:rsidRPr="007B535F">
        <w:rPr>
          <w:rFonts w:ascii="Arial" w:eastAsia="Calibri" w:hAnsi="Arial" w:cs="Arial"/>
          <w:color w:val="000000" w:themeColor="text1"/>
          <w:sz w:val="24"/>
          <w:szCs w:val="24"/>
        </w:rPr>
        <w:t>’</w:t>
      </w:r>
      <w:r w:rsidR="003A11C4" w:rsidRPr="007B535F">
        <w:rPr>
          <w:rFonts w:ascii="Arial" w:eastAsia="Calibri" w:hAnsi="Arial" w:cs="Arial"/>
          <w:color w:val="000000" w:themeColor="text1"/>
          <w:sz w:val="24"/>
          <w:szCs w:val="24"/>
        </w:rPr>
        <w:t>) were provided during 2024</w:t>
      </w:r>
      <w:r w:rsidR="007E3BF7" w:rsidRPr="007B535F">
        <w:rPr>
          <w:rFonts w:ascii="Arial" w:eastAsia="Calibri" w:hAnsi="Arial" w:cs="Arial"/>
          <w:color w:val="000000" w:themeColor="text1"/>
          <w:sz w:val="24"/>
          <w:szCs w:val="24"/>
        </w:rPr>
        <w:t>/</w:t>
      </w:r>
      <w:r w:rsidR="003A11C4" w:rsidRPr="007B535F">
        <w:rPr>
          <w:rFonts w:ascii="Arial" w:eastAsia="Calibri" w:hAnsi="Arial" w:cs="Arial"/>
          <w:color w:val="000000" w:themeColor="text1"/>
          <w:sz w:val="24"/>
          <w:szCs w:val="24"/>
        </w:rPr>
        <w:t xml:space="preserve">2025, </w:t>
      </w:r>
      <w:r w:rsidR="001C5572">
        <w:rPr>
          <w:rFonts w:ascii="Arial" w:eastAsia="Calibri" w:hAnsi="Arial" w:cs="Arial"/>
          <w:color w:val="000000" w:themeColor="text1"/>
          <w:sz w:val="24"/>
          <w:szCs w:val="24"/>
        </w:rPr>
        <w:t>as</w:t>
      </w:r>
      <w:r w:rsidR="003A11C4" w:rsidRPr="007B535F">
        <w:rPr>
          <w:rFonts w:ascii="Arial" w:eastAsia="Calibri" w:hAnsi="Arial" w:cs="Arial"/>
          <w:color w:val="000000" w:themeColor="text1"/>
          <w:sz w:val="24"/>
          <w:szCs w:val="24"/>
        </w:rPr>
        <w:t xml:space="preserve"> learning related to </w:t>
      </w:r>
      <w:r w:rsidR="000F7406" w:rsidRPr="007B535F">
        <w:rPr>
          <w:rFonts w:ascii="Arial" w:eastAsia="Calibri" w:hAnsi="Arial" w:cs="Arial"/>
          <w:color w:val="000000" w:themeColor="text1"/>
          <w:sz w:val="24"/>
          <w:szCs w:val="24"/>
        </w:rPr>
        <w:t xml:space="preserve">safeguarding unborn in the pre-birth period featured as part of </w:t>
      </w:r>
      <w:r w:rsidR="003A11C4" w:rsidRPr="007B535F">
        <w:rPr>
          <w:rFonts w:ascii="Arial" w:eastAsia="Calibri" w:hAnsi="Arial" w:cs="Arial"/>
          <w:color w:val="000000" w:themeColor="text1"/>
          <w:sz w:val="24"/>
          <w:szCs w:val="24"/>
        </w:rPr>
        <w:t xml:space="preserve">child safeguarding reviews and </w:t>
      </w:r>
      <w:r w:rsidR="001C5572">
        <w:rPr>
          <w:rFonts w:ascii="Arial" w:eastAsia="Calibri" w:hAnsi="Arial" w:cs="Arial"/>
          <w:color w:val="000000" w:themeColor="text1"/>
          <w:sz w:val="24"/>
          <w:szCs w:val="24"/>
        </w:rPr>
        <w:t xml:space="preserve">there was </w:t>
      </w:r>
      <w:r w:rsidR="003A11C4" w:rsidRPr="007B535F">
        <w:rPr>
          <w:rFonts w:ascii="Arial" w:eastAsia="Calibri" w:hAnsi="Arial" w:cs="Arial"/>
          <w:color w:val="000000" w:themeColor="text1"/>
          <w:sz w:val="24"/>
          <w:szCs w:val="24"/>
        </w:rPr>
        <w:t xml:space="preserve">an increase in </w:t>
      </w:r>
      <w:r w:rsidR="006E71E1" w:rsidRPr="007B535F">
        <w:rPr>
          <w:rFonts w:ascii="Arial" w:eastAsia="Calibri" w:hAnsi="Arial" w:cs="Arial"/>
          <w:color w:val="000000" w:themeColor="text1"/>
          <w:sz w:val="24"/>
          <w:szCs w:val="24"/>
        </w:rPr>
        <w:t xml:space="preserve">the </w:t>
      </w:r>
      <w:r w:rsidR="003A11C4" w:rsidRPr="007B535F">
        <w:rPr>
          <w:rFonts w:ascii="Arial" w:eastAsia="Calibri" w:hAnsi="Arial" w:cs="Arial"/>
          <w:color w:val="000000" w:themeColor="text1"/>
          <w:sz w:val="24"/>
          <w:szCs w:val="24"/>
        </w:rPr>
        <w:t xml:space="preserve">numbers of FGM cases being reported. </w:t>
      </w:r>
      <w:r w:rsidR="00126D15" w:rsidRPr="007B535F">
        <w:rPr>
          <w:rFonts w:ascii="Arial" w:eastAsia="Calibri" w:hAnsi="Arial" w:cs="Arial"/>
          <w:color w:val="000000" w:themeColor="text1"/>
          <w:sz w:val="24"/>
          <w:szCs w:val="24"/>
        </w:rPr>
        <w:t>Th</w:t>
      </w:r>
      <w:r w:rsidR="001C5572">
        <w:rPr>
          <w:rFonts w:ascii="Arial" w:eastAsia="Calibri" w:hAnsi="Arial" w:cs="Arial"/>
          <w:color w:val="000000" w:themeColor="text1"/>
          <w:sz w:val="24"/>
          <w:szCs w:val="24"/>
        </w:rPr>
        <w:t>e above training</w:t>
      </w:r>
      <w:r w:rsidR="00126D15" w:rsidRPr="007B535F">
        <w:rPr>
          <w:rFonts w:ascii="Arial" w:eastAsia="Calibri" w:hAnsi="Arial" w:cs="Arial"/>
          <w:color w:val="000000" w:themeColor="text1"/>
          <w:sz w:val="24"/>
          <w:szCs w:val="24"/>
        </w:rPr>
        <w:t xml:space="preserve"> was in addition to training opportunities provided by the </w:t>
      </w:r>
      <w:hyperlink r:id="rId27" w:history="1">
        <w:r w:rsidR="00126D15" w:rsidRPr="007B535F">
          <w:rPr>
            <w:rFonts w:ascii="Arial" w:eastAsia="Calibri" w:hAnsi="Arial" w:cs="Arial"/>
            <w:color w:val="0563C1" w:themeColor="hyperlink"/>
            <w:sz w:val="24"/>
            <w:szCs w:val="24"/>
            <w:u w:val="single"/>
          </w:rPr>
          <w:t>Somerset Safeguarding Children Partnership (SSCP),</w:t>
        </w:r>
      </w:hyperlink>
      <w:r w:rsidR="00126D15" w:rsidRPr="007B535F">
        <w:rPr>
          <w:rFonts w:ascii="Arial" w:eastAsia="Calibri" w:hAnsi="Arial" w:cs="Arial"/>
          <w:color w:val="000000" w:themeColor="text1"/>
          <w:sz w:val="24"/>
          <w:szCs w:val="24"/>
        </w:rPr>
        <w:t xml:space="preserve"> and </w:t>
      </w:r>
      <w:hyperlink r:id="rId28" w:history="1">
        <w:r w:rsidR="00126D15" w:rsidRPr="007B535F">
          <w:rPr>
            <w:rFonts w:ascii="Arial" w:eastAsia="Calibri" w:hAnsi="Arial" w:cs="Arial"/>
            <w:color w:val="0563C1" w:themeColor="hyperlink"/>
            <w:sz w:val="24"/>
            <w:szCs w:val="24"/>
            <w:u w:val="single"/>
          </w:rPr>
          <w:t>Safer Somerset Partnership (SSP)</w:t>
        </w:r>
      </w:hyperlink>
      <w:r w:rsidR="00126D15" w:rsidRPr="007B535F">
        <w:rPr>
          <w:rFonts w:ascii="Arial" w:eastAsia="Calibri" w:hAnsi="Arial" w:cs="Arial"/>
          <w:color w:val="000000" w:themeColor="text1"/>
          <w:sz w:val="24"/>
          <w:szCs w:val="24"/>
        </w:rPr>
        <w:t>. Feedback from the training events referenced above</w:t>
      </w:r>
      <w:r w:rsidR="001C5572">
        <w:rPr>
          <w:rFonts w:ascii="Arial" w:eastAsia="Calibri" w:hAnsi="Arial" w:cs="Arial"/>
          <w:color w:val="000000" w:themeColor="text1"/>
          <w:sz w:val="24"/>
          <w:szCs w:val="24"/>
        </w:rPr>
        <w:t xml:space="preserve"> and provided by the ICB safeguarding team</w:t>
      </w:r>
      <w:r w:rsidR="00126D15" w:rsidRPr="007B535F">
        <w:rPr>
          <w:rFonts w:ascii="Arial" w:eastAsia="Calibri" w:hAnsi="Arial" w:cs="Arial"/>
          <w:color w:val="000000" w:themeColor="text1"/>
          <w:sz w:val="24"/>
          <w:szCs w:val="24"/>
        </w:rPr>
        <w:t xml:space="preserve"> included the following:</w:t>
      </w:r>
    </w:p>
    <w:p w14:paraId="5FBF1153" w14:textId="122A5813" w:rsidR="00444034" w:rsidRPr="00444034" w:rsidRDefault="00444034" w:rsidP="00444034">
      <w:pPr>
        <w:pStyle w:val="ListParagraph"/>
        <w:numPr>
          <w:ilvl w:val="0"/>
          <w:numId w:val="27"/>
        </w:numPr>
        <w:ind w:left="1134" w:hanging="425"/>
        <w:rPr>
          <w:rFonts w:ascii="Arial" w:eastAsia="Times New Roman" w:hAnsi="Arial" w:cs="Arial"/>
          <w:i/>
          <w:iCs/>
          <w:kern w:val="0"/>
          <w:sz w:val="24"/>
          <w:szCs w:val="24"/>
          <w14:ligatures w14:val="none"/>
        </w:rPr>
      </w:pPr>
      <w:r w:rsidRPr="00444034">
        <w:rPr>
          <w:rFonts w:ascii="Arial" w:eastAsia="Times New Roman" w:hAnsi="Arial" w:cs="Arial"/>
          <w:i/>
          <w:iCs/>
          <w:kern w:val="0"/>
          <w:sz w:val="24"/>
          <w:szCs w:val="24"/>
          <w14:ligatures w14:val="none"/>
        </w:rPr>
        <w:lastRenderedPageBreak/>
        <w:t>“Excellent, highly informative day as usual.”</w:t>
      </w:r>
    </w:p>
    <w:p w14:paraId="7162687B" w14:textId="618AC619" w:rsidR="00444034" w:rsidRPr="00444034" w:rsidRDefault="00444034" w:rsidP="00444034">
      <w:pPr>
        <w:pStyle w:val="ListParagraph"/>
        <w:numPr>
          <w:ilvl w:val="0"/>
          <w:numId w:val="27"/>
        </w:numPr>
        <w:ind w:left="1134" w:hanging="425"/>
        <w:rPr>
          <w:rFonts w:ascii="Arial" w:eastAsia="Times New Roman" w:hAnsi="Arial" w:cs="Arial"/>
          <w:i/>
          <w:iCs/>
          <w:kern w:val="0"/>
          <w:sz w:val="24"/>
          <w:szCs w:val="24"/>
          <w14:ligatures w14:val="none"/>
        </w:rPr>
      </w:pPr>
      <w:r w:rsidRPr="00444034">
        <w:rPr>
          <w:rFonts w:ascii="Arial" w:eastAsia="Times New Roman" w:hAnsi="Arial" w:cs="Arial"/>
          <w:i/>
          <w:iCs/>
          <w:kern w:val="0"/>
          <w:sz w:val="24"/>
          <w:szCs w:val="24"/>
          <w14:ligatures w14:val="none"/>
        </w:rPr>
        <w:t>“Thank you! What a brilliant day and I have learnt so much.”</w:t>
      </w:r>
    </w:p>
    <w:p w14:paraId="341FB73F" w14:textId="10B3BA31" w:rsidR="00444034" w:rsidRPr="00444034" w:rsidRDefault="00444034" w:rsidP="00444034">
      <w:pPr>
        <w:pStyle w:val="ListParagraph"/>
        <w:numPr>
          <w:ilvl w:val="0"/>
          <w:numId w:val="27"/>
        </w:numPr>
        <w:ind w:left="1134" w:hanging="425"/>
        <w:rPr>
          <w:rFonts w:ascii="Arial" w:eastAsia="Times New Roman" w:hAnsi="Arial" w:cs="Arial"/>
          <w:i/>
          <w:iCs/>
          <w:kern w:val="0"/>
          <w:sz w:val="24"/>
          <w:szCs w:val="24"/>
          <w14:ligatures w14:val="none"/>
        </w:rPr>
      </w:pPr>
      <w:r w:rsidRPr="00444034">
        <w:rPr>
          <w:rFonts w:ascii="Arial" w:eastAsia="Times New Roman" w:hAnsi="Arial" w:cs="Arial"/>
          <w:i/>
          <w:iCs/>
          <w:kern w:val="0"/>
          <w:sz w:val="24"/>
          <w:szCs w:val="24"/>
          <w14:ligatures w14:val="none"/>
        </w:rPr>
        <w:t>“I think this was effective and it was good to see the join up between the CSPR process and the CDOP process.”</w:t>
      </w:r>
    </w:p>
    <w:p w14:paraId="2A0B48E5" w14:textId="4560174B" w:rsidR="00444034" w:rsidRDefault="00444034" w:rsidP="000F7406">
      <w:pPr>
        <w:pStyle w:val="ListParagraph"/>
        <w:numPr>
          <w:ilvl w:val="0"/>
          <w:numId w:val="27"/>
        </w:numPr>
        <w:spacing w:after="0" w:line="240" w:lineRule="auto"/>
        <w:ind w:left="1134" w:hanging="425"/>
        <w:rPr>
          <w:rFonts w:ascii="Arial" w:eastAsia="Times New Roman" w:hAnsi="Arial" w:cs="Arial"/>
          <w:kern w:val="0"/>
          <w:sz w:val="24"/>
          <w:szCs w:val="24"/>
          <w14:ligatures w14:val="none"/>
        </w:rPr>
      </w:pPr>
      <w:r w:rsidRPr="00444034">
        <w:rPr>
          <w:rFonts w:ascii="Arial" w:eastAsia="Times New Roman" w:hAnsi="Arial" w:cs="Arial"/>
          <w:i/>
          <w:iCs/>
          <w:kern w:val="0"/>
          <w:sz w:val="24"/>
          <w:szCs w:val="24"/>
          <w14:ligatures w14:val="none"/>
        </w:rPr>
        <w:t>“Thank you for a well organised and informative event.  I enjoyed the break out session as felt more confident speaking in a smaller group, would have liked more time in smaller groups</w:t>
      </w:r>
      <w:r>
        <w:rPr>
          <w:rFonts w:ascii="Arial" w:eastAsia="Times New Roman" w:hAnsi="Arial" w:cs="Arial"/>
          <w:kern w:val="0"/>
          <w:sz w:val="24"/>
          <w:szCs w:val="24"/>
          <w14:ligatures w14:val="none"/>
        </w:rPr>
        <w:t>”</w:t>
      </w:r>
      <w:r w:rsidRPr="00444034">
        <w:rPr>
          <w:rFonts w:ascii="Arial" w:eastAsia="Times New Roman" w:hAnsi="Arial" w:cs="Arial"/>
          <w:kern w:val="0"/>
          <w:sz w:val="24"/>
          <w:szCs w:val="24"/>
          <w14:ligatures w14:val="none"/>
        </w:rPr>
        <w:t>.</w:t>
      </w:r>
    </w:p>
    <w:p w14:paraId="7A9D2C28" w14:textId="728A8463" w:rsidR="007B535F" w:rsidRDefault="007B535F" w:rsidP="000F7406">
      <w:pPr>
        <w:pStyle w:val="ListParagraph"/>
        <w:numPr>
          <w:ilvl w:val="0"/>
          <w:numId w:val="27"/>
        </w:numPr>
        <w:spacing w:after="0" w:line="240" w:lineRule="auto"/>
        <w:ind w:left="1134" w:hanging="425"/>
        <w:rPr>
          <w:rFonts w:ascii="Arial" w:eastAsia="Times New Roman" w:hAnsi="Arial" w:cs="Arial"/>
          <w:kern w:val="0"/>
          <w:sz w:val="24"/>
          <w:szCs w:val="24"/>
          <w14:ligatures w14:val="none"/>
        </w:rPr>
      </w:pPr>
      <w:r>
        <w:rPr>
          <w:rFonts w:ascii="Arial" w:eastAsia="Times New Roman" w:hAnsi="Arial" w:cs="Arial"/>
          <w:i/>
          <w:iCs/>
          <w:kern w:val="0"/>
          <w:sz w:val="24"/>
          <w:szCs w:val="24"/>
          <w14:ligatures w14:val="none"/>
        </w:rPr>
        <w:t>“</w:t>
      </w:r>
      <w:r w:rsidRPr="007B535F">
        <w:rPr>
          <w:rFonts w:ascii="Arial" w:eastAsia="Times New Roman" w:hAnsi="Arial" w:cs="Arial"/>
          <w:i/>
          <w:iCs/>
          <w:kern w:val="0"/>
          <w:sz w:val="24"/>
          <w:szCs w:val="24"/>
          <w14:ligatures w14:val="none"/>
        </w:rPr>
        <w:t xml:space="preserve">A good overview and update of this complex topic. Good guidance aimed at GPs especially relating to </w:t>
      </w:r>
      <w:r>
        <w:rPr>
          <w:rFonts w:ascii="Arial" w:eastAsia="Times New Roman" w:hAnsi="Arial" w:cs="Arial"/>
          <w:i/>
          <w:iCs/>
          <w:kern w:val="0"/>
          <w:sz w:val="24"/>
          <w:szCs w:val="24"/>
          <w14:ligatures w14:val="none"/>
        </w:rPr>
        <w:t xml:space="preserve">how to manage a very sensitive subject, </w:t>
      </w:r>
      <w:r w:rsidRPr="007B535F">
        <w:rPr>
          <w:rFonts w:ascii="Arial" w:eastAsia="Times New Roman" w:hAnsi="Arial" w:cs="Arial"/>
          <w:i/>
          <w:iCs/>
          <w:kern w:val="0"/>
          <w:sz w:val="24"/>
          <w:szCs w:val="24"/>
          <w14:ligatures w14:val="none"/>
        </w:rPr>
        <w:t>private providers and their requests for shared care</w:t>
      </w:r>
      <w:r>
        <w:rPr>
          <w:rFonts w:ascii="Arial" w:eastAsia="Times New Roman" w:hAnsi="Arial" w:cs="Arial"/>
          <w:i/>
          <w:iCs/>
          <w:kern w:val="0"/>
          <w:sz w:val="24"/>
          <w:szCs w:val="24"/>
          <w14:ligatures w14:val="none"/>
        </w:rPr>
        <w:t>”</w:t>
      </w:r>
      <w:r w:rsidRPr="007B535F">
        <w:rPr>
          <w:rFonts w:ascii="Arial" w:eastAsia="Times New Roman" w:hAnsi="Arial" w:cs="Arial"/>
          <w:kern w:val="0"/>
          <w:sz w:val="24"/>
          <w:szCs w:val="24"/>
          <w14:ligatures w14:val="none"/>
        </w:rPr>
        <w:t>.</w:t>
      </w:r>
    </w:p>
    <w:p w14:paraId="2D9036DD" w14:textId="77777777" w:rsidR="00444034" w:rsidRPr="00444034" w:rsidRDefault="00444034" w:rsidP="000F7406">
      <w:pPr>
        <w:pStyle w:val="ListParagraph"/>
        <w:spacing w:after="0" w:line="240" w:lineRule="auto"/>
        <w:ind w:left="1134"/>
        <w:rPr>
          <w:rFonts w:ascii="Arial" w:eastAsia="Times New Roman" w:hAnsi="Arial" w:cs="Arial"/>
          <w:kern w:val="0"/>
          <w:sz w:val="24"/>
          <w:szCs w:val="24"/>
          <w14:ligatures w14:val="none"/>
        </w:rPr>
      </w:pPr>
    </w:p>
    <w:p w14:paraId="25893051" w14:textId="4F80F19D" w:rsidR="006E71E1" w:rsidRPr="009443AB" w:rsidRDefault="00126D15" w:rsidP="000F7406">
      <w:pPr>
        <w:tabs>
          <w:tab w:val="left" w:pos="567"/>
        </w:tabs>
        <w:spacing w:after="0" w:line="240" w:lineRule="auto"/>
        <w:ind w:left="709" w:hanging="709"/>
        <w:rPr>
          <w:rFonts w:ascii="Arial" w:eastAsia="Calibri" w:hAnsi="Arial" w:cs="Arial"/>
          <w:color w:val="000000" w:themeColor="text1"/>
          <w:sz w:val="24"/>
          <w:szCs w:val="24"/>
        </w:rPr>
      </w:pPr>
      <w:r>
        <w:rPr>
          <w:rFonts w:ascii="Arial" w:eastAsia="Calibri" w:hAnsi="Arial" w:cs="Arial"/>
          <w:color w:val="000000" w:themeColor="text1"/>
          <w:szCs w:val="20"/>
        </w:rPr>
        <w:t>3.</w:t>
      </w:r>
      <w:r w:rsidR="006E71E1">
        <w:rPr>
          <w:rFonts w:ascii="Arial" w:eastAsia="Calibri" w:hAnsi="Arial" w:cs="Arial"/>
          <w:color w:val="000000" w:themeColor="text1"/>
          <w:szCs w:val="20"/>
        </w:rPr>
        <w:t>7</w:t>
      </w:r>
      <w:r>
        <w:rPr>
          <w:rFonts w:ascii="Arial" w:eastAsia="Calibri" w:hAnsi="Arial" w:cs="Arial"/>
          <w:color w:val="000000" w:themeColor="text1"/>
          <w:szCs w:val="20"/>
        </w:rPr>
        <w:t>.</w:t>
      </w:r>
      <w:r w:rsidR="00D91E0A">
        <w:rPr>
          <w:rFonts w:ascii="Arial" w:eastAsia="Calibri" w:hAnsi="Arial" w:cs="Arial"/>
          <w:color w:val="000000" w:themeColor="text1"/>
          <w:szCs w:val="20"/>
        </w:rPr>
        <w:t>7</w:t>
      </w:r>
      <w:r w:rsidRPr="00DF773B">
        <w:rPr>
          <w:rFonts w:ascii="Arial" w:eastAsia="Calibri" w:hAnsi="Arial" w:cs="Arial"/>
          <w:color w:val="000000" w:themeColor="text1"/>
          <w:szCs w:val="20"/>
        </w:rPr>
        <w:tab/>
      </w:r>
      <w:r w:rsidR="0080041E">
        <w:rPr>
          <w:rFonts w:ascii="Arial" w:eastAsia="Calibri" w:hAnsi="Arial" w:cs="Arial"/>
          <w:color w:val="000000" w:themeColor="text1"/>
          <w:szCs w:val="20"/>
        </w:rPr>
        <w:tab/>
      </w:r>
      <w:r w:rsidRPr="00126D15">
        <w:rPr>
          <w:rFonts w:ascii="Arial" w:eastAsia="Calibri" w:hAnsi="Arial" w:cs="Arial"/>
          <w:color w:val="000000" w:themeColor="text1"/>
          <w:sz w:val="24"/>
          <w:szCs w:val="24"/>
          <w:u w:val="single"/>
        </w:rPr>
        <w:t>Safeguarding Supervision:</w:t>
      </w:r>
      <w:r w:rsidRPr="00126D15">
        <w:rPr>
          <w:rFonts w:ascii="Arial" w:eastAsia="Calibri" w:hAnsi="Arial" w:cs="Arial"/>
          <w:color w:val="000000" w:themeColor="text1"/>
          <w:sz w:val="24"/>
          <w:szCs w:val="24"/>
        </w:rPr>
        <w:t xml:space="preserve"> In November 2024 the ICB’s safeguarding team revised the formal and informal safeguarding supervision on offer and alongside safeguarding adults colleagues, </w:t>
      </w:r>
      <w:r w:rsidRPr="00712194">
        <w:rPr>
          <w:rFonts w:ascii="Arial" w:eastAsia="Calibri" w:hAnsi="Arial" w:cs="Arial"/>
          <w:color w:val="000000" w:themeColor="text1"/>
          <w:sz w:val="24"/>
          <w:szCs w:val="24"/>
        </w:rPr>
        <w:t xml:space="preserve">the safeguarding children team </w:t>
      </w:r>
      <w:r w:rsidR="00712194" w:rsidRPr="00712194">
        <w:rPr>
          <w:rFonts w:ascii="Arial" w:eastAsia="Calibri" w:hAnsi="Arial" w:cs="Arial"/>
          <w:color w:val="000000" w:themeColor="text1"/>
          <w:sz w:val="24"/>
          <w:szCs w:val="24"/>
        </w:rPr>
        <w:t xml:space="preserve">now </w:t>
      </w:r>
      <w:r w:rsidRPr="00712194">
        <w:rPr>
          <w:rFonts w:ascii="Arial" w:eastAsia="Calibri" w:hAnsi="Arial" w:cs="Arial"/>
          <w:color w:val="000000" w:themeColor="text1"/>
          <w:sz w:val="24"/>
          <w:szCs w:val="24"/>
        </w:rPr>
        <w:t>provide</w:t>
      </w:r>
      <w:r w:rsidR="00712194" w:rsidRPr="00712194">
        <w:rPr>
          <w:rFonts w:ascii="Arial" w:eastAsia="Calibri" w:hAnsi="Arial" w:cs="Arial"/>
          <w:color w:val="000000" w:themeColor="text1"/>
          <w:sz w:val="24"/>
          <w:szCs w:val="24"/>
        </w:rPr>
        <w:t xml:space="preserve"> formal</w:t>
      </w:r>
      <w:r w:rsidRPr="00712194">
        <w:rPr>
          <w:rFonts w:ascii="Arial" w:eastAsia="Calibri" w:hAnsi="Arial" w:cs="Arial"/>
          <w:color w:val="000000" w:themeColor="text1"/>
          <w:sz w:val="24"/>
          <w:szCs w:val="24"/>
        </w:rPr>
        <w:t xml:space="preserve"> safeguarding supervision </w:t>
      </w:r>
      <w:r w:rsidR="00712194" w:rsidRPr="00712194">
        <w:rPr>
          <w:rFonts w:ascii="Arial" w:eastAsia="Calibri" w:hAnsi="Arial" w:cs="Arial"/>
          <w:color w:val="000000" w:themeColor="text1"/>
          <w:sz w:val="24"/>
          <w:szCs w:val="24"/>
        </w:rPr>
        <w:t>to GP safeguarding leads, GP safeguarding admin</w:t>
      </w:r>
      <w:r w:rsidR="003A11C4">
        <w:rPr>
          <w:rFonts w:ascii="Arial" w:eastAsia="Calibri" w:hAnsi="Arial" w:cs="Arial"/>
          <w:color w:val="000000" w:themeColor="text1"/>
          <w:sz w:val="24"/>
          <w:szCs w:val="24"/>
        </w:rPr>
        <w:t xml:space="preserve"> (including Care Coordinators)</w:t>
      </w:r>
      <w:r w:rsidR="00712194" w:rsidRPr="00712194">
        <w:rPr>
          <w:rFonts w:ascii="Arial" w:eastAsia="Calibri" w:hAnsi="Arial" w:cs="Arial"/>
          <w:color w:val="000000" w:themeColor="text1"/>
          <w:sz w:val="24"/>
          <w:szCs w:val="24"/>
        </w:rPr>
        <w:t>, Continuing Health Care and SEND teams, Complex Care team, the ICB Freedom to Speak Up leads and Champions, safeguarding leads from across the health system (South West Ambulance Service, HUC, Public Health Nursing, NHS Somerset Foundation Trust) and safeguarding leads from all Short Form contracts commissioned by the ICB.</w:t>
      </w:r>
      <w:r w:rsidR="003A11C4">
        <w:rPr>
          <w:rFonts w:ascii="Arial" w:eastAsia="Calibri" w:hAnsi="Arial" w:cs="Arial"/>
          <w:color w:val="000000" w:themeColor="text1"/>
          <w:sz w:val="24"/>
          <w:szCs w:val="24"/>
        </w:rPr>
        <w:t xml:space="preserve"> </w:t>
      </w:r>
      <w:r w:rsidR="009443AB" w:rsidRPr="007B535F">
        <w:rPr>
          <w:rFonts w:ascii="Arial" w:eastAsia="Calibri" w:hAnsi="Arial" w:cs="Arial"/>
          <w:color w:val="000000" w:themeColor="text1"/>
          <w:sz w:val="24"/>
          <w:szCs w:val="24"/>
        </w:rPr>
        <w:t xml:space="preserve">Alongside safeguarding adults colleagues, </w:t>
      </w:r>
      <w:r w:rsidR="009443AB" w:rsidRPr="009443AB">
        <w:rPr>
          <w:rFonts w:ascii="Arial" w:eastAsia="Calibri" w:hAnsi="Arial" w:cs="Arial"/>
          <w:color w:val="000000" w:themeColor="text1"/>
          <w:sz w:val="24"/>
          <w:szCs w:val="24"/>
        </w:rPr>
        <w:t>t</w:t>
      </w:r>
      <w:r w:rsidR="003A11C4" w:rsidRPr="009443AB">
        <w:rPr>
          <w:rFonts w:ascii="Arial" w:eastAsia="Calibri" w:hAnsi="Arial" w:cs="Arial"/>
          <w:color w:val="000000" w:themeColor="text1"/>
          <w:sz w:val="24"/>
          <w:szCs w:val="24"/>
        </w:rPr>
        <w:t xml:space="preserve">he ICB safeguarding children team are currently exploring an offer of formal and / or informal safeguarding supervision to those professionals within Pharmacies, Optometry and Dental services (PODs) who require it, in accordance with the current </w:t>
      </w:r>
      <w:r w:rsidR="007E3BF7" w:rsidRPr="009443AB">
        <w:rPr>
          <w:rFonts w:ascii="Arial" w:eastAsia="Calibri" w:hAnsi="Arial" w:cs="Arial"/>
          <w:color w:val="000000" w:themeColor="text1"/>
          <w:sz w:val="24"/>
          <w:szCs w:val="24"/>
        </w:rPr>
        <w:t>I</w:t>
      </w:r>
      <w:r w:rsidR="003A11C4" w:rsidRPr="009443AB">
        <w:rPr>
          <w:rFonts w:ascii="Arial" w:eastAsia="Calibri" w:hAnsi="Arial" w:cs="Arial"/>
          <w:color w:val="000000" w:themeColor="text1"/>
          <w:sz w:val="24"/>
          <w:szCs w:val="24"/>
        </w:rPr>
        <w:t xml:space="preserve">ntercollegiate </w:t>
      </w:r>
      <w:r w:rsidR="007E3BF7" w:rsidRPr="009443AB">
        <w:rPr>
          <w:rFonts w:ascii="Arial" w:eastAsia="Calibri" w:hAnsi="Arial" w:cs="Arial"/>
          <w:color w:val="000000" w:themeColor="text1"/>
          <w:sz w:val="24"/>
          <w:szCs w:val="24"/>
        </w:rPr>
        <w:t>D</w:t>
      </w:r>
      <w:r w:rsidR="003A11C4" w:rsidRPr="009443AB">
        <w:rPr>
          <w:rFonts w:ascii="Arial" w:eastAsia="Calibri" w:hAnsi="Arial" w:cs="Arial"/>
          <w:color w:val="000000" w:themeColor="text1"/>
          <w:sz w:val="24"/>
          <w:szCs w:val="24"/>
        </w:rPr>
        <w:t xml:space="preserve">ocument for Safeguarding </w:t>
      </w:r>
      <w:r w:rsidR="00DB0DDB" w:rsidRPr="009443AB">
        <w:rPr>
          <w:rFonts w:ascii="Arial" w:eastAsia="Calibri" w:hAnsi="Arial" w:cs="Arial"/>
          <w:color w:val="000000" w:themeColor="text1"/>
          <w:sz w:val="24"/>
          <w:szCs w:val="24"/>
        </w:rPr>
        <w:t>Children</w:t>
      </w:r>
      <w:r w:rsidR="006E71E1" w:rsidRPr="009443AB">
        <w:rPr>
          <w:rFonts w:ascii="Arial" w:eastAsia="Calibri" w:hAnsi="Arial" w:cs="Arial"/>
          <w:color w:val="000000" w:themeColor="text1"/>
          <w:sz w:val="24"/>
          <w:szCs w:val="24"/>
        </w:rPr>
        <w:t xml:space="preserve">. Feedback from </w:t>
      </w:r>
      <w:r w:rsidR="00444034" w:rsidRPr="009443AB">
        <w:rPr>
          <w:rFonts w:ascii="Arial" w:eastAsia="Calibri" w:hAnsi="Arial" w:cs="Arial"/>
          <w:color w:val="000000" w:themeColor="text1"/>
          <w:sz w:val="24"/>
          <w:szCs w:val="24"/>
        </w:rPr>
        <w:t xml:space="preserve">safeguarding </w:t>
      </w:r>
      <w:r w:rsidR="006E71E1" w:rsidRPr="009443AB">
        <w:rPr>
          <w:rFonts w:ascii="Arial" w:eastAsia="Calibri" w:hAnsi="Arial" w:cs="Arial"/>
          <w:color w:val="000000" w:themeColor="text1"/>
          <w:sz w:val="24"/>
          <w:szCs w:val="24"/>
        </w:rPr>
        <w:t xml:space="preserve">supervision sessions delivered in 2024 to 2025 included the following: </w:t>
      </w:r>
    </w:p>
    <w:p w14:paraId="43C45F0A" w14:textId="08FDD38D" w:rsidR="009443AB" w:rsidRPr="001C5572" w:rsidRDefault="00972EDC" w:rsidP="001C5572">
      <w:pPr>
        <w:pStyle w:val="ListParagraph"/>
        <w:numPr>
          <w:ilvl w:val="0"/>
          <w:numId w:val="27"/>
        </w:numPr>
        <w:spacing w:after="0" w:line="240" w:lineRule="auto"/>
        <w:ind w:left="1134" w:hanging="425"/>
        <w:rPr>
          <w:rFonts w:ascii="Arial" w:eastAsia="Times New Roman" w:hAnsi="Arial" w:cs="Arial"/>
          <w:i/>
          <w:iCs/>
          <w:kern w:val="0"/>
          <w:sz w:val="24"/>
          <w:szCs w:val="24"/>
          <w14:ligatures w14:val="none"/>
        </w:rPr>
      </w:pPr>
      <w:r w:rsidRPr="009443AB">
        <w:rPr>
          <w:rFonts w:ascii="Arial" w:eastAsia="Times New Roman" w:hAnsi="Arial" w:cs="Arial"/>
          <w:i/>
          <w:iCs/>
          <w:kern w:val="0"/>
          <w:sz w:val="24"/>
          <w:szCs w:val="24"/>
          <w14:ligatures w14:val="none"/>
        </w:rPr>
        <w:t>“</w:t>
      </w:r>
      <w:r w:rsidR="009443AB" w:rsidRPr="001C5572">
        <w:rPr>
          <w:rFonts w:ascii="Arial" w:eastAsia="Times New Roman" w:hAnsi="Arial" w:cs="Arial"/>
          <w:i/>
          <w:iCs/>
          <w:kern w:val="0"/>
          <w:sz w:val="24"/>
          <w:szCs w:val="24"/>
          <w14:ligatures w14:val="none"/>
        </w:rPr>
        <w:t>The sessions align with the think family approach and provide an opportunity to analyse what we know and don’t know about a case and consider next steps that are relevant and proportionate to the risk being explored.</w:t>
      </w:r>
      <w:r w:rsidR="001C5572">
        <w:rPr>
          <w:rFonts w:ascii="Arial" w:eastAsia="Times New Roman" w:hAnsi="Arial" w:cs="Arial"/>
          <w:i/>
          <w:iCs/>
          <w:kern w:val="0"/>
          <w:sz w:val="24"/>
          <w:szCs w:val="24"/>
          <w14:ligatures w14:val="none"/>
        </w:rPr>
        <w:t>”</w:t>
      </w:r>
    </w:p>
    <w:p w14:paraId="1C582187" w14:textId="5C8CD993" w:rsidR="009443AB" w:rsidRDefault="009443AB" w:rsidP="001C5572">
      <w:pPr>
        <w:pStyle w:val="ListParagraph"/>
        <w:numPr>
          <w:ilvl w:val="0"/>
          <w:numId w:val="27"/>
        </w:numPr>
        <w:spacing w:after="0" w:line="240" w:lineRule="auto"/>
        <w:ind w:left="1134" w:hanging="425"/>
        <w:rPr>
          <w:rFonts w:ascii="Arial" w:eastAsia="Times New Roman" w:hAnsi="Arial" w:cs="Arial"/>
          <w:i/>
          <w:iCs/>
          <w:kern w:val="0"/>
          <w:sz w:val="24"/>
          <w:szCs w:val="24"/>
          <w14:ligatures w14:val="none"/>
        </w:rPr>
      </w:pPr>
      <w:r w:rsidRPr="001C5572">
        <w:rPr>
          <w:rFonts w:ascii="Arial" w:eastAsia="Times New Roman" w:hAnsi="Arial" w:cs="Arial"/>
          <w:i/>
          <w:iCs/>
          <w:kern w:val="0"/>
          <w:sz w:val="24"/>
          <w:szCs w:val="24"/>
          <w14:ligatures w14:val="none"/>
        </w:rPr>
        <w:t>“The supervision is reflective, inclusive and provides a safe place for safeguarding professionals to</w:t>
      </w:r>
      <w:r w:rsidR="00B030F1" w:rsidRPr="001C5572">
        <w:rPr>
          <w:rFonts w:ascii="Arial" w:eastAsia="Times New Roman" w:hAnsi="Arial" w:cs="Arial"/>
          <w:i/>
          <w:iCs/>
          <w:kern w:val="0"/>
          <w:sz w:val="24"/>
          <w:szCs w:val="24"/>
          <w14:ligatures w14:val="none"/>
        </w:rPr>
        <w:t xml:space="preserve"> explore and unpick complex safeguarding cases.”</w:t>
      </w:r>
    </w:p>
    <w:p w14:paraId="5BDBE0A1" w14:textId="77777777" w:rsidR="001C5572" w:rsidRPr="001C5572" w:rsidRDefault="001C5572" w:rsidP="001C5572">
      <w:pPr>
        <w:pStyle w:val="ListParagraph"/>
        <w:spacing w:after="0" w:line="240" w:lineRule="auto"/>
        <w:ind w:left="1134"/>
        <w:rPr>
          <w:rFonts w:ascii="Arial" w:eastAsia="Times New Roman" w:hAnsi="Arial" w:cs="Arial"/>
          <w:i/>
          <w:iCs/>
          <w:kern w:val="0"/>
          <w:sz w:val="24"/>
          <w:szCs w:val="24"/>
          <w14:ligatures w14:val="none"/>
        </w:rPr>
      </w:pPr>
    </w:p>
    <w:p w14:paraId="34BD9854" w14:textId="133AEBF6" w:rsidR="00DB0DDB" w:rsidRPr="009443AB" w:rsidRDefault="006E71E1" w:rsidP="009443AB">
      <w:pPr>
        <w:ind w:left="709" w:hanging="709"/>
        <w:rPr>
          <w:rFonts w:ascii="Arial" w:eastAsia="Calibri" w:hAnsi="Arial" w:cs="Arial"/>
          <w:color w:val="000000" w:themeColor="text1"/>
          <w:sz w:val="24"/>
          <w:szCs w:val="24"/>
        </w:rPr>
      </w:pPr>
      <w:r w:rsidRPr="009443AB">
        <w:rPr>
          <w:rFonts w:ascii="Arial" w:eastAsia="Calibri" w:hAnsi="Arial" w:cs="Arial"/>
          <w:color w:val="000000" w:themeColor="text1"/>
          <w:sz w:val="24"/>
          <w:szCs w:val="24"/>
        </w:rPr>
        <w:t>3.7.</w:t>
      </w:r>
      <w:r w:rsidR="00D91E0A" w:rsidRPr="009443AB">
        <w:rPr>
          <w:rFonts w:ascii="Arial" w:eastAsia="Calibri" w:hAnsi="Arial" w:cs="Arial"/>
          <w:color w:val="000000" w:themeColor="text1"/>
          <w:sz w:val="24"/>
          <w:szCs w:val="24"/>
        </w:rPr>
        <w:t>8</w:t>
      </w:r>
      <w:r w:rsidR="0080041E" w:rsidRPr="009443AB">
        <w:rPr>
          <w:rFonts w:ascii="Arial" w:eastAsia="Calibri" w:hAnsi="Arial" w:cs="Arial"/>
          <w:color w:val="000000" w:themeColor="text1"/>
          <w:sz w:val="24"/>
          <w:szCs w:val="24"/>
        </w:rPr>
        <w:tab/>
      </w:r>
      <w:r w:rsidR="00DB0DDB" w:rsidRPr="009443AB">
        <w:rPr>
          <w:rFonts w:ascii="Arial" w:eastAsia="Calibri" w:hAnsi="Arial" w:cs="Arial"/>
          <w:color w:val="000000" w:themeColor="text1"/>
          <w:sz w:val="24"/>
          <w:szCs w:val="24"/>
          <w:u w:val="single"/>
        </w:rPr>
        <w:t>Information Sharing:</w:t>
      </w:r>
      <w:r w:rsidR="00DB0DDB" w:rsidRPr="009443AB">
        <w:rPr>
          <w:rFonts w:ascii="Arial" w:eastAsia="Calibri" w:hAnsi="Arial" w:cs="Arial"/>
          <w:color w:val="000000" w:themeColor="text1"/>
          <w:sz w:val="24"/>
          <w:szCs w:val="24"/>
        </w:rPr>
        <w:t xml:space="preserve"> The ICB</w:t>
      </w:r>
      <w:r w:rsidR="005D324E" w:rsidRPr="009443AB">
        <w:rPr>
          <w:rFonts w:ascii="Arial" w:eastAsia="Calibri" w:hAnsi="Arial" w:cs="Arial"/>
          <w:color w:val="000000" w:themeColor="text1"/>
          <w:sz w:val="24"/>
          <w:szCs w:val="24"/>
        </w:rPr>
        <w:t xml:space="preserve"> Safeguarding</w:t>
      </w:r>
      <w:r w:rsidR="00DB0DDB" w:rsidRPr="009443AB">
        <w:rPr>
          <w:rFonts w:ascii="Arial" w:eastAsia="Calibri" w:hAnsi="Arial" w:cs="Arial"/>
          <w:color w:val="000000" w:themeColor="text1"/>
          <w:sz w:val="24"/>
          <w:szCs w:val="24"/>
        </w:rPr>
        <w:t xml:space="preserve"> </w:t>
      </w:r>
      <w:r w:rsidR="005D324E" w:rsidRPr="009443AB">
        <w:rPr>
          <w:rFonts w:ascii="Arial" w:eastAsia="Calibri" w:hAnsi="Arial" w:cs="Arial"/>
          <w:color w:val="000000" w:themeColor="text1"/>
          <w:sz w:val="24"/>
          <w:szCs w:val="24"/>
        </w:rPr>
        <w:t>bulletin</w:t>
      </w:r>
      <w:r w:rsidR="00DB0DDB" w:rsidRPr="009443AB">
        <w:rPr>
          <w:rFonts w:ascii="Arial" w:eastAsia="Calibri" w:hAnsi="Arial" w:cs="Arial"/>
          <w:color w:val="000000" w:themeColor="text1"/>
          <w:sz w:val="24"/>
          <w:szCs w:val="24"/>
        </w:rPr>
        <w:t xml:space="preserve"> is routinely contributed to and shared with Primary Care staff, staff within the ICB, the Local Medical Committee</w:t>
      </w:r>
      <w:r w:rsidR="005D324E" w:rsidRPr="009443AB">
        <w:rPr>
          <w:rFonts w:ascii="Arial" w:eastAsia="Calibri" w:hAnsi="Arial" w:cs="Arial"/>
          <w:color w:val="000000" w:themeColor="text1"/>
          <w:sz w:val="24"/>
          <w:szCs w:val="24"/>
        </w:rPr>
        <w:t xml:space="preserve">, and </w:t>
      </w:r>
      <w:r w:rsidR="00DB0DDB" w:rsidRPr="009443AB">
        <w:rPr>
          <w:rFonts w:ascii="Arial" w:eastAsia="Calibri" w:hAnsi="Arial" w:cs="Arial"/>
          <w:color w:val="000000" w:themeColor="text1"/>
          <w:sz w:val="24"/>
          <w:szCs w:val="24"/>
        </w:rPr>
        <w:t xml:space="preserve">the </w:t>
      </w:r>
      <w:r w:rsidR="005D324E" w:rsidRPr="009443AB">
        <w:rPr>
          <w:rFonts w:ascii="Arial" w:eastAsia="Calibri" w:hAnsi="Arial" w:cs="Arial"/>
          <w:color w:val="000000" w:themeColor="text1"/>
          <w:sz w:val="24"/>
          <w:szCs w:val="24"/>
        </w:rPr>
        <w:t xml:space="preserve">main </w:t>
      </w:r>
      <w:r w:rsidR="00DB0DDB" w:rsidRPr="009443AB">
        <w:rPr>
          <w:rFonts w:ascii="Arial" w:eastAsia="Calibri" w:hAnsi="Arial" w:cs="Arial"/>
          <w:color w:val="000000" w:themeColor="text1"/>
          <w:sz w:val="24"/>
          <w:szCs w:val="24"/>
        </w:rPr>
        <w:t>NHS provider</w:t>
      </w:r>
      <w:r w:rsidR="005D324E" w:rsidRPr="009443AB">
        <w:rPr>
          <w:rFonts w:ascii="Arial" w:eastAsia="Calibri" w:hAnsi="Arial" w:cs="Arial"/>
          <w:color w:val="000000" w:themeColor="text1"/>
          <w:sz w:val="24"/>
          <w:szCs w:val="24"/>
        </w:rPr>
        <w:t>s</w:t>
      </w:r>
      <w:r w:rsidR="00DB0DDB" w:rsidRPr="009443AB">
        <w:rPr>
          <w:rFonts w:ascii="Arial" w:eastAsia="Calibri" w:hAnsi="Arial" w:cs="Arial"/>
          <w:color w:val="000000" w:themeColor="text1"/>
          <w:sz w:val="24"/>
          <w:szCs w:val="24"/>
        </w:rPr>
        <w:t xml:space="preserve"> safeguarding team</w:t>
      </w:r>
      <w:r w:rsidR="005D324E" w:rsidRPr="009443AB">
        <w:rPr>
          <w:rFonts w:ascii="Arial" w:eastAsia="Calibri" w:hAnsi="Arial" w:cs="Arial"/>
          <w:color w:val="000000" w:themeColor="text1"/>
          <w:sz w:val="24"/>
          <w:szCs w:val="24"/>
        </w:rPr>
        <w:t>s. As planned, in 2024/</w:t>
      </w:r>
      <w:r w:rsidR="007E3BF7" w:rsidRPr="009443AB">
        <w:rPr>
          <w:rFonts w:ascii="Arial" w:eastAsia="Calibri" w:hAnsi="Arial" w:cs="Arial"/>
          <w:color w:val="000000" w:themeColor="text1"/>
          <w:sz w:val="24"/>
          <w:szCs w:val="24"/>
        </w:rPr>
        <w:t>20</w:t>
      </w:r>
      <w:r w:rsidR="005D324E" w:rsidRPr="009443AB">
        <w:rPr>
          <w:rFonts w:ascii="Arial" w:eastAsia="Calibri" w:hAnsi="Arial" w:cs="Arial"/>
          <w:color w:val="000000" w:themeColor="text1"/>
          <w:sz w:val="24"/>
          <w:szCs w:val="24"/>
        </w:rPr>
        <w:t>25 the safeguarding team established clear links with all safeguarding leads in acute and community contracts held by the ICB, and the Safeguarding bulletin is now routinely shared with them</w:t>
      </w:r>
      <w:r w:rsidR="00DB0DDB" w:rsidRPr="009443AB">
        <w:rPr>
          <w:rFonts w:ascii="Arial" w:eastAsia="Calibri" w:hAnsi="Arial" w:cs="Arial"/>
          <w:color w:val="000000" w:themeColor="text1"/>
          <w:sz w:val="24"/>
          <w:szCs w:val="24"/>
        </w:rPr>
        <w:t xml:space="preserve">. </w:t>
      </w:r>
      <w:r w:rsidR="007B535F">
        <w:rPr>
          <w:rFonts w:ascii="Arial" w:eastAsia="Calibri" w:hAnsi="Arial" w:cs="Arial"/>
          <w:color w:val="000000" w:themeColor="text1"/>
          <w:sz w:val="24"/>
          <w:szCs w:val="24"/>
        </w:rPr>
        <w:t>The Safeguard Bulletin is also shared with Pharmacies, Optometrists and Dental Services (PODs).</w:t>
      </w:r>
    </w:p>
    <w:p w14:paraId="7F985CF0" w14:textId="0C1DA768" w:rsidR="00081C8B" w:rsidRPr="00444034" w:rsidRDefault="00081C8B" w:rsidP="00064251">
      <w:pPr>
        <w:tabs>
          <w:tab w:val="left" w:pos="567"/>
        </w:tabs>
        <w:ind w:left="709" w:hanging="709"/>
        <w:rPr>
          <w:rFonts w:ascii="Arial" w:eastAsia="Calibri" w:hAnsi="Arial" w:cs="Arial"/>
          <w:color w:val="000000" w:themeColor="text1"/>
          <w:sz w:val="24"/>
          <w:szCs w:val="24"/>
        </w:rPr>
      </w:pPr>
      <w:r w:rsidRPr="00444034">
        <w:rPr>
          <w:rFonts w:ascii="Arial" w:eastAsia="Calibri" w:hAnsi="Arial" w:cs="Arial"/>
          <w:color w:val="000000" w:themeColor="text1"/>
          <w:sz w:val="24"/>
          <w:szCs w:val="24"/>
        </w:rPr>
        <w:t>3.7</w:t>
      </w:r>
      <w:r w:rsidR="00D91E0A">
        <w:rPr>
          <w:rFonts w:ascii="Arial" w:eastAsia="Calibri" w:hAnsi="Arial" w:cs="Arial"/>
          <w:color w:val="000000" w:themeColor="text1"/>
          <w:sz w:val="24"/>
          <w:szCs w:val="24"/>
        </w:rPr>
        <w:t>.9</w:t>
      </w:r>
      <w:r w:rsidRPr="00444034">
        <w:rPr>
          <w:rFonts w:ascii="Arial" w:eastAsia="Calibri" w:hAnsi="Arial" w:cs="Arial"/>
          <w:color w:val="000000" w:themeColor="text1"/>
          <w:sz w:val="24"/>
          <w:szCs w:val="24"/>
        </w:rPr>
        <w:t xml:space="preserve"> </w:t>
      </w:r>
      <w:r w:rsidR="0080041E">
        <w:rPr>
          <w:rFonts w:ascii="Arial" w:eastAsia="Calibri" w:hAnsi="Arial" w:cs="Arial"/>
          <w:color w:val="000000" w:themeColor="text1"/>
          <w:sz w:val="24"/>
          <w:szCs w:val="24"/>
        </w:rPr>
        <w:tab/>
      </w:r>
      <w:r w:rsidRPr="00444034">
        <w:rPr>
          <w:rFonts w:ascii="Arial" w:eastAsia="Calibri" w:hAnsi="Arial" w:cs="Arial"/>
          <w:color w:val="000000" w:themeColor="text1"/>
          <w:sz w:val="24"/>
          <w:szCs w:val="24"/>
          <w:u w:val="single"/>
        </w:rPr>
        <w:t>Risks:</w:t>
      </w:r>
      <w:r w:rsidRPr="00444034">
        <w:rPr>
          <w:rFonts w:ascii="Arial" w:eastAsia="Calibri" w:hAnsi="Arial" w:cs="Arial"/>
          <w:color w:val="000000" w:themeColor="text1"/>
          <w:sz w:val="24"/>
          <w:szCs w:val="24"/>
        </w:rPr>
        <w:t xml:space="preserve"> </w:t>
      </w:r>
      <w:r w:rsidR="00064251">
        <w:rPr>
          <w:rFonts w:ascii="Arial" w:eastAsia="Calibri" w:hAnsi="Arial" w:cs="Arial"/>
          <w:color w:val="000000" w:themeColor="text1"/>
          <w:sz w:val="24"/>
          <w:szCs w:val="24"/>
        </w:rPr>
        <w:t>D</w:t>
      </w:r>
      <w:r w:rsidR="00064251" w:rsidRPr="00444034">
        <w:rPr>
          <w:rFonts w:ascii="Arial" w:eastAsia="Calibri" w:hAnsi="Arial" w:cs="Arial"/>
          <w:color w:val="000000" w:themeColor="text1"/>
          <w:sz w:val="24"/>
          <w:szCs w:val="24"/>
        </w:rPr>
        <w:t>uring this reporting period</w:t>
      </w:r>
      <w:r w:rsidR="00064251">
        <w:rPr>
          <w:rFonts w:ascii="Arial" w:eastAsia="Calibri" w:hAnsi="Arial" w:cs="Arial"/>
          <w:color w:val="000000" w:themeColor="text1"/>
          <w:sz w:val="24"/>
          <w:szCs w:val="24"/>
        </w:rPr>
        <w:t xml:space="preserve"> the ICB safeguarding team regularly provided advice and support to the ICB related to safeguarding risks associated with the GP collective action.</w:t>
      </w:r>
      <w:r w:rsidR="00064251" w:rsidRPr="00444034">
        <w:rPr>
          <w:rFonts w:ascii="Arial" w:eastAsia="Calibri" w:hAnsi="Arial" w:cs="Arial"/>
          <w:color w:val="000000" w:themeColor="text1"/>
          <w:sz w:val="24"/>
          <w:szCs w:val="24"/>
        </w:rPr>
        <w:t xml:space="preserve"> </w:t>
      </w:r>
      <w:r w:rsidR="00064251">
        <w:rPr>
          <w:rFonts w:ascii="Arial" w:eastAsia="Calibri" w:hAnsi="Arial" w:cs="Arial"/>
          <w:color w:val="000000" w:themeColor="text1"/>
          <w:sz w:val="24"/>
          <w:szCs w:val="24"/>
        </w:rPr>
        <w:t>In addition, the following s</w:t>
      </w:r>
      <w:r w:rsidR="00E55A83" w:rsidRPr="00444034">
        <w:rPr>
          <w:rFonts w:ascii="Arial" w:eastAsia="Calibri" w:hAnsi="Arial" w:cs="Arial"/>
          <w:color w:val="000000" w:themeColor="text1"/>
          <w:sz w:val="24"/>
          <w:szCs w:val="24"/>
        </w:rPr>
        <w:t>even</w:t>
      </w:r>
      <w:r w:rsidRPr="00444034">
        <w:rPr>
          <w:rFonts w:ascii="Arial" w:eastAsia="Calibri" w:hAnsi="Arial" w:cs="Arial"/>
          <w:color w:val="000000" w:themeColor="text1"/>
          <w:sz w:val="24"/>
          <w:szCs w:val="24"/>
        </w:rPr>
        <w:t xml:space="preserve"> risks were recorded on the ICB risk register relating to Safeguarding Children and Child Death Reviews</w:t>
      </w:r>
      <w:r w:rsidR="00064251">
        <w:rPr>
          <w:rFonts w:ascii="Arial" w:eastAsia="Calibri" w:hAnsi="Arial" w:cs="Arial"/>
          <w:color w:val="000000" w:themeColor="text1"/>
          <w:sz w:val="24"/>
          <w:szCs w:val="24"/>
        </w:rPr>
        <w:t>:</w:t>
      </w:r>
    </w:p>
    <w:tbl>
      <w:tblPr>
        <w:tblW w:w="9889" w:type="dxa"/>
        <w:tblInd w:w="557" w:type="dxa"/>
        <w:tblCellMar>
          <w:left w:w="0" w:type="dxa"/>
          <w:right w:w="0" w:type="dxa"/>
        </w:tblCellMar>
        <w:tblLook w:val="0420" w:firstRow="1" w:lastRow="0" w:firstColumn="0" w:lastColumn="0" w:noHBand="0" w:noVBand="1"/>
      </w:tblPr>
      <w:tblGrid>
        <w:gridCol w:w="851"/>
        <w:gridCol w:w="7737"/>
        <w:gridCol w:w="1301"/>
      </w:tblGrid>
      <w:tr w:rsidR="00081C8B" w:rsidRPr="00081C8B" w14:paraId="53582375" w14:textId="77777777" w:rsidTr="00081C8B">
        <w:trPr>
          <w:trHeight w:val="334"/>
        </w:trPr>
        <w:tc>
          <w:tcPr>
            <w:tcW w:w="8588" w:type="dxa"/>
            <w:gridSpan w:val="2"/>
            <w:tcBorders>
              <w:top w:val="single" w:sz="8" w:space="0" w:color="FFFFFF"/>
              <w:left w:val="single" w:sz="8" w:space="0" w:color="FFFFFF"/>
              <w:bottom w:val="single" w:sz="8" w:space="0" w:color="FFFFFF"/>
              <w:right w:val="single" w:sz="8" w:space="0" w:color="FFFFFF"/>
            </w:tcBorders>
            <w:shd w:val="clear" w:color="auto" w:fill="D0D8E8"/>
          </w:tcPr>
          <w:p w14:paraId="13325395" w14:textId="0C87C7F5" w:rsidR="00081C8B" w:rsidRPr="00081C8B" w:rsidRDefault="00081C8B" w:rsidP="00C53D57">
            <w:pPr>
              <w:spacing w:after="0" w:line="240" w:lineRule="auto"/>
              <w:ind w:left="101"/>
              <w:rPr>
                <w:rFonts w:ascii="Arial" w:eastAsia="Times New Roman" w:hAnsi="Arial" w:cs="Arial"/>
                <w:b/>
                <w:bCs/>
                <w:color w:val="000000"/>
                <w:kern w:val="24"/>
                <w:sz w:val="24"/>
                <w:szCs w:val="24"/>
                <w:lang w:eastAsia="en-GB"/>
                <w14:ligatures w14:val="none"/>
              </w:rPr>
            </w:pPr>
            <w:r w:rsidRPr="00081C8B">
              <w:rPr>
                <w:rFonts w:ascii="Arial" w:eastAsia="Times New Roman" w:hAnsi="Arial" w:cs="Arial"/>
                <w:b/>
                <w:bCs/>
                <w:color w:val="000000"/>
                <w:kern w:val="24"/>
                <w:sz w:val="24"/>
                <w:szCs w:val="24"/>
                <w:lang w:eastAsia="en-GB"/>
                <w14:ligatures w14:val="none"/>
              </w:rPr>
              <w:t xml:space="preserve">Risk </w:t>
            </w:r>
          </w:p>
        </w:tc>
        <w:tc>
          <w:tcPr>
            <w:tcW w:w="130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0CBD404B" w14:textId="77777777" w:rsidR="00081C8B" w:rsidRPr="00081C8B" w:rsidRDefault="00081C8B" w:rsidP="00C53D57">
            <w:pPr>
              <w:spacing w:after="0" w:line="240" w:lineRule="auto"/>
              <w:jc w:val="center"/>
              <w:rPr>
                <w:rFonts w:ascii="Arial" w:eastAsia="Times New Roman" w:hAnsi="Arial" w:cs="Arial"/>
                <w:b/>
                <w:bCs/>
                <w:color w:val="000000"/>
                <w:kern w:val="24"/>
                <w:sz w:val="24"/>
                <w:szCs w:val="24"/>
                <w:lang w:eastAsia="en-GB"/>
                <w14:ligatures w14:val="none"/>
              </w:rPr>
            </w:pPr>
            <w:r w:rsidRPr="00081C8B">
              <w:rPr>
                <w:rFonts w:ascii="Arial" w:eastAsia="Times New Roman" w:hAnsi="Arial" w:cs="Arial"/>
                <w:b/>
                <w:bCs/>
                <w:color w:val="000000"/>
                <w:kern w:val="24"/>
                <w:sz w:val="24"/>
                <w:szCs w:val="24"/>
                <w:lang w:eastAsia="en-GB"/>
                <w14:ligatures w14:val="none"/>
              </w:rPr>
              <w:t>Score</w:t>
            </w:r>
          </w:p>
        </w:tc>
      </w:tr>
      <w:tr w:rsidR="00081C8B" w:rsidRPr="00081C8B" w14:paraId="45D69703" w14:textId="77777777" w:rsidTr="00081C8B">
        <w:trPr>
          <w:trHeight w:val="511"/>
        </w:trPr>
        <w:tc>
          <w:tcPr>
            <w:tcW w:w="851" w:type="dxa"/>
            <w:shd w:val="clear" w:color="auto" w:fill="D9E2F3" w:themeFill="accent1" w:themeFillTint="33"/>
          </w:tcPr>
          <w:p w14:paraId="5515FF2B" w14:textId="4F38088C" w:rsidR="00081C8B" w:rsidRPr="00081C8B" w:rsidRDefault="00081C8B" w:rsidP="00081C8B">
            <w:pPr>
              <w:spacing w:after="0" w:line="240" w:lineRule="auto"/>
              <w:ind w:left="101"/>
              <w:rPr>
                <w:rFonts w:ascii="Arial" w:eastAsia="Times New Roman" w:hAnsi="Arial" w:cs="Arial"/>
                <w:color w:val="000000"/>
                <w:kern w:val="24"/>
                <w:sz w:val="24"/>
                <w:szCs w:val="24"/>
                <w:lang w:eastAsia="en-GB"/>
                <w14:ligatures w14:val="none"/>
              </w:rPr>
            </w:pPr>
            <w:r w:rsidRPr="00081C8B">
              <w:rPr>
                <w:rFonts w:ascii="Arial" w:eastAsia="Calibri" w:hAnsi="Arial" w:cs="Arial"/>
                <w:color w:val="000000" w:themeColor="text1"/>
                <w:sz w:val="24"/>
                <w:szCs w:val="24"/>
              </w:rPr>
              <w:t>554</w:t>
            </w:r>
          </w:p>
        </w:tc>
        <w:tc>
          <w:tcPr>
            <w:tcW w:w="7737" w:type="dxa"/>
            <w:shd w:val="clear" w:color="auto" w:fill="D9E2F3" w:themeFill="accent1" w:themeFillTint="33"/>
            <w:tcMar>
              <w:top w:w="72" w:type="dxa"/>
              <w:left w:w="144" w:type="dxa"/>
              <w:bottom w:w="72" w:type="dxa"/>
              <w:right w:w="144" w:type="dxa"/>
            </w:tcMar>
          </w:tcPr>
          <w:p w14:paraId="7EDEB430" w14:textId="05B0269E" w:rsidR="00081C8B" w:rsidRPr="00081C8B" w:rsidRDefault="00081C8B" w:rsidP="00081C8B">
            <w:pPr>
              <w:spacing w:after="0" w:line="240" w:lineRule="auto"/>
              <w:ind w:left="101"/>
              <w:rPr>
                <w:rFonts w:ascii="Arial" w:eastAsia="Times New Roman" w:hAnsi="Arial" w:cs="Arial"/>
                <w:color w:val="000000"/>
                <w:kern w:val="24"/>
                <w:sz w:val="24"/>
                <w:szCs w:val="24"/>
                <w:lang w:eastAsia="en-GB"/>
                <w14:ligatures w14:val="none"/>
              </w:rPr>
            </w:pPr>
            <w:r w:rsidRPr="00081C8B">
              <w:rPr>
                <w:rFonts w:ascii="Arial" w:eastAsia="Calibri" w:hAnsi="Arial" w:cs="Arial"/>
                <w:sz w:val="24"/>
                <w:szCs w:val="24"/>
              </w:rPr>
              <w:t>Risk of not meeting statutory safeguarding duties due to ongoing demand and capacity issues</w:t>
            </w:r>
          </w:p>
        </w:tc>
        <w:tc>
          <w:tcPr>
            <w:tcW w:w="1301" w:type="dxa"/>
            <w:shd w:val="clear" w:color="auto" w:fill="D9E2F3" w:themeFill="accent1" w:themeFillTint="33"/>
            <w:tcMar>
              <w:top w:w="72" w:type="dxa"/>
              <w:left w:w="144" w:type="dxa"/>
              <w:bottom w:w="72" w:type="dxa"/>
              <w:right w:w="144" w:type="dxa"/>
            </w:tcMar>
          </w:tcPr>
          <w:p w14:paraId="40B39E8E" w14:textId="38C232EA" w:rsidR="00081C8B" w:rsidRPr="00081C8B" w:rsidRDefault="00081C8B" w:rsidP="00081C8B">
            <w:pPr>
              <w:spacing w:after="0" w:line="240" w:lineRule="auto"/>
              <w:jc w:val="center"/>
              <w:rPr>
                <w:rFonts w:ascii="Arial" w:eastAsia="Times New Roman" w:hAnsi="Arial" w:cs="Arial"/>
                <w:color w:val="000000"/>
                <w:kern w:val="24"/>
                <w:sz w:val="24"/>
                <w:szCs w:val="24"/>
                <w:lang w:eastAsia="en-GB"/>
                <w14:ligatures w14:val="none"/>
              </w:rPr>
            </w:pPr>
            <w:r w:rsidRPr="00081C8B">
              <w:rPr>
                <w:rFonts w:ascii="Arial" w:eastAsia="Calibri" w:hAnsi="Arial" w:cs="Arial"/>
                <w:sz w:val="24"/>
                <w:szCs w:val="24"/>
              </w:rPr>
              <w:t>9</w:t>
            </w:r>
          </w:p>
        </w:tc>
      </w:tr>
      <w:tr w:rsidR="00081C8B" w:rsidRPr="00081C8B" w14:paraId="044BF205" w14:textId="77777777" w:rsidTr="00081C8B">
        <w:trPr>
          <w:trHeight w:val="511"/>
        </w:trPr>
        <w:tc>
          <w:tcPr>
            <w:tcW w:w="851" w:type="dxa"/>
            <w:shd w:val="clear" w:color="auto" w:fill="D9E2F3" w:themeFill="accent1" w:themeFillTint="33"/>
          </w:tcPr>
          <w:p w14:paraId="7B81C55C" w14:textId="7687B7BB" w:rsidR="00081C8B" w:rsidRPr="00081C8B" w:rsidRDefault="00081C8B" w:rsidP="00081C8B">
            <w:pPr>
              <w:spacing w:after="0" w:line="240" w:lineRule="auto"/>
              <w:ind w:left="101"/>
              <w:rPr>
                <w:rFonts w:ascii="Arial" w:eastAsia="Calibri" w:hAnsi="Arial" w:cs="Arial"/>
                <w:sz w:val="24"/>
                <w:szCs w:val="24"/>
              </w:rPr>
            </w:pPr>
            <w:r w:rsidRPr="00081C8B">
              <w:rPr>
                <w:rFonts w:ascii="Arial" w:eastAsia="Calibri" w:hAnsi="Arial" w:cs="Arial"/>
                <w:sz w:val="24"/>
                <w:szCs w:val="24"/>
              </w:rPr>
              <w:t>580</w:t>
            </w:r>
          </w:p>
        </w:tc>
        <w:tc>
          <w:tcPr>
            <w:tcW w:w="7737" w:type="dxa"/>
            <w:shd w:val="clear" w:color="auto" w:fill="D9E2F3" w:themeFill="accent1" w:themeFillTint="33"/>
            <w:tcMar>
              <w:top w:w="72" w:type="dxa"/>
              <w:left w:w="144" w:type="dxa"/>
              <w:bottom w:w="72" w:type="dxa"/>
              <w:right w:w="144" w:type="dxa"/>
            </w:tcMar>
          </w:tcPr>
          <w:p w14:paraId="33C4B670" w14:textId="5A4D9BA2" w:rsidR="00081C8B" w:rsidRPr="00081C8B" w:rsidRDefault="00081C8B" w:rsidP="00081C8B">
            <w:pPr>
              <w:spacing w:after="0" w:line="240" w:lineRule="auto"/>
              <w:ind w:left="101"/>
              <w:rPr>
                <w:rFonts w:ascii="Arial" w:eastAsia="Times New Roman" w:hAnsi="Arial" w:cs="Arial"/>
                <w:color w:val="000000"/>
                <w:kern w:val="24"/>
                <w:sz w:val="24"/>
                <w:szCs w:val="24"/>
                <w:lang w:eastAsia="en-GB"/>
                <w14:ligatures w14:val="none"/>
              </w:rPr>
            </w:pPr>
            <w:r w:rsidRPr="00081C8B">
              <w:rPr>
                <w:rFonts w:ascii="Arial" w:eastAsia="Calibri" w:hAnsi="Arial" w:cs="Arial"/>
                <w:sz w:val="24"/>
                <w:szCs w:val="24"/>
              </w:rPr>
              <w:t>Risk to children subject to a child protection plan due to lack of child protection conference reports from GPs</w:t>
            </w:r>
          </w:p>
        </w:tc>
        <w:tc>
          <w:tcPr>
            <w:tcW w:w="1301" w:type="dxa"/>
            <w:shd w:val="clear" w:color="auto" w:fill="D9E2F3" w:themeFill="accent1" w:themeFillTint="33"/>
            <w:tcMar>
              <w:top w:w="72" w:type="dxa"/>
              <w:left w:w="144" w:type="dxa"/>
              <w:bottom w:w="72" w:type="dxa"/>
              <w:right w:w="144" w:type="dxa"/>
            </w:tcMar>
          </w:tcPr>
          <w:p w14:paraId="1C97BD75" w14:textId="521AC6F6" w:rsidR="00081C8B" w:rsidRPr="00081C8B" w:rsidRDefault="00081C8B" w:rsidP="00081C8B">
            <w:pPr>
              <w:spacing w:after="0" w:line="240" w:lineRule="auto"/>
              <w:jc w:val="center"/>
              <w:rPr>
                <w:rFonts w:ascii="Arial" w:eastAsia="Times New Roman" w:hAnsi="Arial" w:cs="Arial"/>
                <w:color w:val="000000"/>
                <w:kern w:val="24"/>
                <w:sz w:val="24"/>
                <w:szCs w:val="24"/>
                <w:lang w:eastAsia="en-GB"/>
                <w14:ligatures w14:val="none"/>
              </w:rPr>
            </w:pPr>
            <w:r w:rsidRPr="00081C8B">
              <w:rPr>
                <w:rFonts w:ascii="Arial" w:eastAsia="Calibri" w:hAnsi="Arial" w:cs="Arial"/>
                <w:sz w:val="24"/>
                <w:szCs w:val="24"/>
              </w:rPr>
              <w:t>12</w:t>
            </w:r>
          </w:p>
        </w:tc>
      </w:tr>
      <w:tr w:rsidR="00081C8B" w:rsidRPr="00081C8B" w14:paraId="734C4FDB" w14:textId="77777777" w:rsidTr="00081C8B">
        <w:trPr>
          <w:trHeight w:val="511"/>
        </w:trPr>
        <w:tc>
          <w:tcPr>
            <w:tcW w:w="851" w:type="dxa"/>
            <w:shd w:val="clear" w:color="auto" w:fill="D9E2F3" w:themeFill="accent1" w:themeFillTint="33"/>
          </w:tcPr>
          <w:p w14:paraId="2D167FD0" w14:textId="684FBE88" w:rsidR="00081C8B" w:rsidRPr="00081C8B" w:rsidRDefault="00081C8B" w:rsidP="00081C8B">
            <w:pPr>
              <w:spacing w:after="0" w:line="240" w:lineRule="auto"/>
              <w:ind w:left="101"/>
              <w:rPr>
                <w:rFonts w:ascii="Arial" w:eastAsia="Times New Roman" w:hAnsi="Arial" w:cs="Arial"/>
                <w:color w:val="000000"/>
                <w:kern w:val="24"/>
                <w:sz w:val="24"/>
                <w:szCs w:val="24"/>
                <w:lang w:eastAsia="en-GB"/>
                <w14:ligatures w14:val="none"/>
              </w:rPr>
            </w:pPr>
            <w:r w:rsidRPr="00081C8B">
              <w:rPr>
                <w:rFonts w:ascii="Arial" w:eastAsia="Calibri" w:hAnsi="Arial" w:cs="Arial"/>
                <w:sz w:val="24"/>
                <w:szCs w:val="24"/>
              </w:rPr>
              <w:t>612</w:t>
            </w:r>
          </w:p>
        </w:tc>
        <w:tc>
          <w:tcPr>
            <w:tcW w:w="7737" w:type="dxa"/>
            <w:shd w:val="clear" w:color="auto" w:fill="D9E2F3" w:themeFill="accent1" w:themeFillTint="33"/>
            <w:tcMar>
              <w:top w:w="72" w:type="dxa"/>
              <w:left w:w="144" w:type="dxa"/>
              <w:bottom w:w="72" w:type="dxa"/>
              <w:right w:w="144" w:type="dxa"/>
            </w:tcMar>
          </w:tcPr>
          <w:p w14:paraId="70906C5A" w14:textId="6DD83387" w:rsidR="00081C8B" w:rsidRPr="00081C8B" w:rsidRDefault="00081C8B" w:rsidP="00081C8B">
            <w:pPr>
              <w:spacing w:after="0" w:line="240" w:lineRule="auto"/>
              <w:ind w:left="101"/>
              <w:rPr>
                <w:rFonts w:ascii="Arial" w:eastAsia="Times New Roman" w:hAnsi="Arial" w:cs="Arial"/>
                <w:color w:val="000000"/>
                <w:kern w:val="24"/>
                <w:sz w:val="24"/>
                <w:szCs w:val="24"/>
                <w:lang w:eastAsia="en-GB"/>
                <w14:ligatures w14:val="none"/>
              </w:rPr>
            </w:pPr>
            <w:r w:rsidRPr="00081C8B">
              <w:rPr>
                <w:rFonts w:ascii="Arial" w:eastAsia="Calibri" w:hAnsi="Arial" w:cs="Arial"/>
                <w:sz w:val="24"/>
                <w:szCs w:val="24"/>
              </w:rPr>
              <w:t>Risk to children of health information not being provided to strategy discussions by GP practices</w:t>
            </w:r>
          </w:p>
        </w:tc>
        <w:tc>
          <w:tcPr>
            <w:tcW w:w="1301" w:type="dxa"/>
            <w:shd w:val="clear" w:color="auto" w:fill="D9E2F3" w:themeFill="accent1" w:themeFillTint="33"/>
            <w:tcMar>
              <w:top w:w="72" w:type="dxa"/>
              <w:left w:w="144" w:type="dxa"/>
              <w:bottom w:w="72" w:type="dxa"/>
              <w:right w:w="144" w:type="dxa"/>
            </w:tcMar>
          </w:tcPr>
          <w:p w14:paraId="6F999DEC" w14:textId="4E4EDCD6" w:rsidR="00081C8B" w:rsidRPr="00081C8B" w:rsidRDefault="00081C8B" w:rsidP="00081C8B">
            <w:pPr>
              <w:spacing w:after="0" w:line="240" w:lineRule="auto"/>
              <w:jc w:val="center"/>
              <w:rPr>
                <w:rFonts w:ascii="Arial" w:eastAsia="Times New Roman" w:hAnsi="Arial" w:cs="Arial"/>
                <w:color w:val="000000"/>
                <w:kern w:val="24"/>
                <w:sz w:val="24"/>
                <w:szCs w:val="24"/>
                <w:lang w:eastAsia="en-GB"/>
                <w14:ligatures w14:val="none"/>
              </w:rPr>
            </w:pPr>
            <w:r w:rsidRPr="00081C8B">
              <w:rPr>
                <w:rFonts w:ascii="Arial" w:eastAsia="Calibri" w:hAnsi="Arial" w:cs="Arial"/>
                <w:sz w:val="24"/>
                <w:szCs w:val="24"/>
              </w:rPr>
              <w:t>10</w:t>
            </w:r>
          </w:p>
        </w:tc>
      </w:tr>
      <w:tr w:rsidR="00081C8B" w:rsidRPr="00081C8B" w14:paraId="555F8999" w14:textId="77777777" w:rsidTr="00081C8B">
        <w:trPr>
          <w:trHeight w:val="511"/>
        </w:trPr>
        <w:tc>
          <w:tcPr>
            <w:tcW w:w="851" w:type="dxa"/>
            <w:shd w:val="clear" w:color="auto" w:fill="D9E2F3" w:themeFill="accent1" w:themeFillTint="33"/>
          </w:tcPr>
          <w:p w14:paraId="41E69B66" w14:textId="427AE931" w:rsidR="00081C8B" w:rsidRPr="00081C8B" w:rsidRDefault="00081C8B" w:rsidP="00081C8B">
            <w:pPr>
              <w:spacing w:after="0" w:line="240" w:lineRule="auto"/>
              <w:ind w:left="101"/>
              <w:rPr>
                <w:rFonts w:ascii="Arial" w:eastAsia="Times New Roman" w:hAnsi="Arial" w:cs="Arial"/>
                <w:color w:val="000000"/>
                <w:kern w:val="24"/>
                <w:sz w:val="24"/>
                <w:szCs w:val="24"/>
                <w:lang w:eastAsia="en-GB"/>
                <w14:ligatures w14:val="none"/>
              </w:rPr>
            </w:pPr>
            <w:r w:rsidRPr="00081C8B">
              <w:rPr>
                <w:rFonts w:ascii="Arial" w:eastAsia="Calibri" w:hAnsi="Arial" w:cs="Arial"/>
                <w:color w:val="000000" w:themeColor="text1"/>
                <w:sz w:val="24"/>
                <w:szCs w:val="24"/>
              </w:rPr>
              <w:lastRenderedPageBreak/>
              <w:t>614</w:t>
            </w:r>
          </w:p>
        </w:tc>
        <w:tc>
          <w:tcPr>
            <w:tcW w:w="7737" w:type="dxa"/>
            <w:shd w:val="clear" w:color="auto" w:fill="D9E2F3" w:themeFill="accent1" w:themeFillTint="33"/>
            <w:tcMar>
              <w:top w:w="72" w:type="dxa"/>
              <w:left w:w="144" w:type="dxa"/>
              <w:bottom w:w="72" w:type="dxa"/>
              <w:right w:w="144" w:type="dxa"/>
            </w:tcMar>
          </w:tcPr>
          <w:p w14:paraId="51A07EC4" w14:textId="353F062B" w:rsidR="00081C8B" w:rsidRPr="00081C8B" w:rsidRDefault="00081C8B" w:rsidP="00081C8B">
            <w:pPr>
              <w:spacing w:after="0" w:line="240" w:lineRule="auto"/>
              <w:ind w:left="101"/>
              <w:rPr>
                <w:rFonts w:ascii="Arial" w:eastAsia="Times New Roman" w:hAnsi="Arial" w:cs="Arial"/>
                <w:color w:val="000000"/>
                <w:kern w:val="24"/>
                <w:sz w:val="24"/>
                <w:szCs w:val="24"/>
                <w:lang w:eastAsia="en-GB"/>
                <w14:ligatures w14:val="none"/>
              </w:rPr>
            </w:pPr>
            <w:r w:rsidRPr="00081C8B">
              <w:rPr>
                <w:rFonts w:ascii="Arial" w:eastAsia="Calibri" w:hAnsi="Arial" w:cs="Arial"/>
                <w:sz w:val="24"/>
                <w:szCs w:val="24"/>
              </w:rPr>
              <w:t>Risk to victims of domestic abuse due to the lack of information sharing and engagement between MARAC and GPs</w:t>
            </w:r>
          </w:p>
        </w:tc>
        <w:tc>
          <w:tcPr>
            <w:tcW w:w="1301" w:type="dxa"/>
            <w:shd w:val="clear" w:color="auto" w:fill="D9E2F3" w:themeFill="accent1" w:themeFillTint="33"/>
            <w:tcMar>
              <w:top w:w="72" w:type="dxa"/>
              <w:left w:w="144" w:type="dxa"/>
              <w:bottom w:w="72" w:type="dxa"/>
              <w:right w:w="144" w:type="dxa"/>
            </w:tcMar>
          </w:tcPr>
          <w:p w14:paraId="152C08F0" w14:textId="1E210472" w:rsidR="00081C8B" w:rsidRPr="00081C8B" w:rsidRDefault="00081C8B" w:rsidP="00081C8B">
            <w:pPr>
              <w:spacing w:after="0" w:line="240" w:lineRule="auto"/>
              <w:jc w:val="center"/>
              <w:rPr>
                <w:rFonts w:ascii="Arial" w:eastAsia="Times New Roman" w:hAnsi="Arial" w:cs="Arial"/>
                <w:color w:val="000000"/>
                <w:kern w:val="24"/>
                <w:sz w:val="24"/>
                <w:szCs w:val="24"/>
                <w:lang w:eastAsia="en-GB"/>
                <w14:ligatures w14:val="none"/>
              </w:rPr>
            </w:pPr>
            <w:r w:rsidRPr="00081C8B">
              <w:rPr>
                <w:rFonts w:ascii="Arial" w:eastAsia="Calibri" w:hAnsi="Arial" w:cs="Arial"/>
                <w:sz w:val="24"/>
                <w:szCs w:val="24"/>
              </w:rPr>
              <w:t>10</w:t>
            </w:r>
          </w:p>
        </w:tc>
      </w:tr>
      <w:tr w:rsidR="00081C8B" w:rsidRPr="00081C8B" w14:paraId="76AC0062" w14:textId="77777777" w:rsidTr="00081C8B">
        <w:trPr>
          <w:trHeight w:val="511"/>
        </w:trPr>
        <w:tc>
          <w:tcPr>
            <w:tcW w:w="851" w:type="dxa"/>
            <w:shd w:val="clear" w:color="auto" w:fill="D9E2F3" w:themeFill="accent1" w:themeFillTint="33"/>
          </w:tcPr>
          <w:p w14:paraId="43A79EBC" w14:textId="73B44820" w:rsidR="00081C8B" w:rsidRPr="00081C8B" w:rsidRDefault="00081C8B" w:rsidP="00081C8B">
            <w:pPr>
              <w:spacing w:after="0" w:line="240" w:lineRule="auto"/>
              <w:ind w:left="101"/>
              <w:rPr>
                <w:rFonts w:ascii="Arial" w:eastAsia="Calibri" w:hAnsi="Arial" w:cs="Arial"/>
                <w:sz w:val="24"/>
                <w:szCs w:val="24"/>
              </w:rPr>
            </w:pPr>
            <w:r w:rsidRPr="00081C8B">
              <w:rPr>
                <w:rFonts w:ascii="Arial" w:eastAsia="Calibri" w:hAnsi="Arial" w:cs="Arial"/>
                <w:color w:val="000000" w:themeColor="text1"/>
                <w:sz w:val="24"/>
                <w:szCs w:val="24"/>
              </w:rPr>
              <w:t>625</w:t>
            </w:r>
          </w:p>
        </w:tc>
        <w:tc>
          <w:tcPr>
            <w:tcW w:w="7737" w:type="dxa"/>
            <w:shd w:val="clear" w:color="auto" w:fill="D9E2F3" w:themeFill="accent1" w:themeFillTint="33"/>
            <w:tcMar>
              <w:top w:w="72" w:type="dxa"/>
              <w:left w:w="144" w:type="dxa"/>
              <w:bottom w:w="72" w:type="dxa"/>
              <w:right w:w="144" w:type="dxa"/>
            </w:tcMar>
          </w:tcPr>
          <w:p w14:paraId="4D2E8514" w14:textId="0524236A" w:rsidR="00081C8B" w:rsidRPr="00081C8B" w:rsidRDefault="00081C8B" w:rsidP="00081C8B">
            <w:pPr>
              <w:spacing w:after="0" w:line="240" w:lineRule="auto"/>
              <w:ind w:left="101"/>
              <w:rPr>
                <w:rFonts w:ascii="Arial" w:eastAsia="Times New Roman" w:hAnsi="Arial" w:cs="Arial"/>
                <w:color w:val="000000"/>
                <w:kern w:val="24"/>
                <w:sz w:val="24"/>
                <w:szCs w:val="24"/>
                <w:lang w:eastAsia="en-GB"/>
                <w14:ligatures w14:val="none"/>
              </w:rPr>
            </w:pPr>
            <w:r w:rsidRPr="00081C8B">
              <w:rPr>
                <w:rFonts w:ascii="Arial" w:eastAsia="Calibri" w:hAnsi="Arial" w:cs="Arial"/>
                <w:sz w:val="24"/>
                <w:szCs w:val="24"/>
              </w:rPr>
              <w:t xml:space="preserve">Risk of regulatory and reputation damage to ICB due to </w:t>
            </w:r>
            <w:r w:rsidR="005E1151" w:rsidRPr="00081C8B">
              <w:rPr>
                <w:rFonts w:ascii="Arial" w:eastAsia="Calibri" w:hAnsi="Arial" w:cs="Arial"/>
                <w:sz w:val="24"/>
                <w:szCs w:val="24"/>
              </w:rPr>
              <w:t>non-compliance</w:t>
            </w:r>
            <w:r w:rsidRPr="00081C8B">
              <w:rPr>
                <w:rFonts w:ascii="Arial" w:eastAsia="Calibri" w:hAnsi="Arial" w:cs="Arial"/>
                <w:sz w:val="24"/>
                <w:szCs w:val="24"/>
              </w:rPr>
              <w:t xml:space="preserve"> of statutory Anti-Social Behaviour (ASB) duties</w:t>
            </w:r>
          </w:p>
        </w:tc>
        <w:tc>
          <w:tcPr>
            <w:tcW w:w="1301" w:type="dxa"/>
            <w:shd w:val="clear" w:color="auto" w:fill="D9E2F3" w:themeFill="accent1" w:themeFillTint="33"/>
            <w:tcMar>
              <w:top w:w="72" w:type="dxa"/>
              <w:left w:w="144" w:type="dxa"/>
              <w:bottom w:w="72" w:type="dxa"/>
              <w:right w:w="144" w:type="dxa"/>
            </w:tcMar>
          </w:tcPr>
          <w:p w14:paraId="0CB42995" w14:textId="6BB7F22F" w:rsidR="00081C8B" w:rsidRPr="00081C8B" w:rsidRDefault="00081C8B" w:rsidP="00081C8B">
            <w:pPr>
              <w:spacing w:after="0" w:line="240" w:lineRule="auto"/>
              <w:jc w:val="center"/>
              <w:rPr>
                <w:rFonts w:ascii="Arial" w:eastAsia="Times New Roman" w:hAnsi="Arial" w:cs="Arial"/>
                <w:color w:val="000000"/>
                <w:kern w:val="24"/>
                <w:sz w:val="24"/>
                <w:szCs w:val="24"/>
                <w:lang w:eastAsia="en-GB"/>
                <w14:ligatures w14:val="none"/>
              </w:rPr>
            </w:pPr>
            <w:r w:rsidRPr="00081C8B">
              <w:rPr>
                <w:rFonts w:ascii="Arial" w:eastAsia="Calibri" w:hAnsi="Arial" w:cs="Arial"/>
                <w:sz w:val="24"/>
                <w:szCs w:val="24"/>
              </w:rPr>
              <w:t>12</w:t>
            </w:r>
          </w:p>
        </w:tc>
      </w:tr>
      <w:tr w:rsidR="00081C8B" w:rsidRPr="00081C8B" w14:paraId="26DB67E7" w14:textId="77777777" w:rsidTr="00081C8B">
        <w:trPr>
          <w:trHeight w:val="511"/>
        </w:trPr>
        <w:tc>
          <w:tcPr>
            <w:tcW w:w="851" w:type="dxa"/>
            <w:shd w:val="clear" w:color="auto" w:fill="D9E2F3" w:themeFill="accent1" w:themeFillTint="33"/>
          </w:tcPr>
          <w:p w14:paraId="521555C1" w14:textId="0AD2F80D" w:rsidR="00081C8B" w:rsidRPr="00081C8B" w:rsidRDefault="00081C8B" w:rsidP="00081C8B">
            <w:pPr>
              <w:spacing w:after="0" w:line="240" w:lineRule="auto"/>
              <w:ind w:left="101"/>
              <w:rPr>
                <w:rFonts w:ascii="Arial" w:eastAsia="Times New Roman" w:hAnsi="Arial" w:cs="Arial"/>
                <w:color w:val="000000"/>
                <w:kern w:val="24"/>
                <w:sz w:val="24"/>
                <w:szCs w:val="24"/>
                <w:lang w:eastAsia="en-GB"/>
                <w14:ligatures w14:val="none"/>
              </w:rPr>
            </w:pPr>
            <w:r w:rsidRPr="00081C8B">
              <w:rPr>
                <w:rFonts w:ascii="Arial" w:eastAsia="Calibri" w:hAnsi="Arial" w:cs="Arial"/>
                <w:color w:val="000000" w:themeColor="text1"/>
                <w:sz w:val="24"/>
                <w:szCs w:val="24"/>
              </w:rPr>
              <w:t>648</w:t>
            </w:r>
          </w:p>
        </w:tc>
        <w:tc>
          <w:tcPr>
            <w:tcW w:w="7737" w:type="dxa"/>
            <w:shd w:val="clear" w:color="auto" w:fill="D9E2F3" w:themeFill="accent1" w:themeFillTint="33"/>
            <w:tcMar>
              <w:top w:w="72" w:type="dxa"/>
              <w:left w:w="144" w:type="dxa"/>
              <w:bottom w:w="72" w:type="dxa"/>
              <w:right w:w="144" w:type="dxa"/>
            </w:tcMar>
          </w:tcPr>
          <w:p w14:paraId="3F97A5D7" w14:textId="67B2DA93" w:rsidR="00081C8B" w:rsidRPr="00081C8B" w:rsidRDefault="00081C8B" w:rsidP="00081C8B">
            <w:pPr>
              <w:spacing w:after="0" w:line="240" w:lineRule="auto"/>
              <w:ind w:left="101"/>
              <w:rPr>
                <w:rFonts w:ascii="Arial" w:eastAsia="Times New Roman" w:hAnsi="Arial" w:cs="Arial"/>
                <w:color w:val="000000"/>
                <w:kern w:val="24"/>
                <w:sz w:val="24"/>
                <w:szCs w:val="24"/>
                <w:lang w:eastAsia="en-GB"/>
                <w14:ligatures w14:val="none"/>
              </w:rPr>
            </w:pPr>
            <w:r w:rsidRPr="00081C8B">
              <w:rPr>
                <w:rFonts w:ascii="Arial" w:eastAsia="Calibri" w:hAnsi="Arial" w:cs="Arial"/>
                <w:sz w:val="24"/>
                <w:szCs w:val="24"/>
              </w:rPr>
              <w:t>Risk that ICB is breaching its statutory duties in relation to safeguarding training</w:t>
            </w:r>
          </w:p>
        </w:tc>
        <w:tc>
          <w:tcPr>
            <w:tcW w:w="1301" w:type="dxa"/>
            <w:shd w:val="clear" w:color="auto" w:fill="D9E2F3" w:themeFill="accent1" w:themeFillTint="33"/>
            <w:tcMar>
              <w:top w:w="72" w:type="dxa"/>
              <w:left w:w="144" w:type="dxa"/>
              <w:bottom w:w="72" w:type="dxa"/>
              <w:right w:w="144" w:type="dxa"/>
            </w:tcMar>
          </w:tcPr>
          <w:p w14:paraId="37C1F4DC" w14:textId="40DD3F51" w:rsidR="00081C8B" w:rsidRPr="00081C8B" w:rsidRDefault="00081C8B" w:rsidP="00081C8B">
            <w:pPr>
              <w:spacing w:after="0" w:line="240" w:lineRule="auto"/>
              <w:jc w:val="center"/>
              <w:rPr>
                <w:rFonts w:ascii="Arial" w:eastAsia="Times New Roman" w:hAnsi="Arial" w:cs="Arial"/>
                <w:color w:val="000000"/>
                <w:kern w:val="24"/>
                <w:sz w:val="24"/>
                <w:szCs w:val="24"/>
                <w:lang w:eastAsia="en-GB"/>
                <w14:ligatures w14:val="none"/>
              </w:rPr>
            </w:pPr>
            <w:r w:rsidRPr="00081C8B">
              <w:rPr>
                <w:rFonts w:ascii="Arial" w:eastAsia="Calibri" w:hAnsi="Arial" w:cs="Arial"/>
                <w:sz w:val="24"/>
                <w:szCs w:val="24"/>
              </w:rPr>
              <w:t>6</w:t>
            </w:r>
          </w:p>
        </w:tc>
      </w:tr>
      <w:tr w:rsidR="00081C8B" w:rsidRPr="00081C8B" w14:paraId="22D75D63" w14:textId="77777777" w:rsidTr="00081C8B">
        <w:trPr>
          <w:trHeight w:val="511"/>
        </w:trPr>
        <w:tc>
          <w:tcPr>
            <w:tcW w:w="851" w:type="dxa"/>
            <w:shd w:val="clear" w:color="auto" w:fill="D9E2F3" w:themeFill="accent1" w:themeFillTint="33"/>
          </w:tcPr>
          <w:p w14:paraId="3D2BA63A" w14:textId="02D2D747" w:rsidR="00081C8B" w:rsidRPr="00081C8B" w:rsidRDefault="00081C8B" w:rsidP="00081C8B">
            <w:pPr>
              <w:spacing w:after="0" w:line="240" w:lineRule="auto"/>
              <w:ind w:left="101"/>
              <w:rPr>
                <w:rFonts w:ascii="Arial" w:eastAsia="Times New Roman" w:hAnsi="Arial" w:cs="Arial"/>
                <w:color w:val="000000"/>
                <w:kern w:val="24"/>
                <w:sz w:val="24"/>
                <w:szCs w:val="24"/>
                <w:lang w:eastAsia="en-GB"/>
                <w14:ligatures w14:val="none"/>
              </w:rPr>
            </w:pPr>
            <w:r w:rsidRPr="00081C8B">
              <w:rPr>
                <w:rFonts w:ascii="Arial" w:eastAsia="Calibri" w:hAnsi="Arial" w:cs="Arial"/>
                <w:color w:val="000000" w:themeColor="text1"/>
                <w:sz w:val="24"/>
                <w:szCs w:val="24"/>
              </w:rPr>
              <w:t>693</w:t>
            </w:r>
          </w:p>
        </w:tc>
        <w:tc>
          <w:tcPr>
            <w:tcW w:w="7737" w:type="dxa"/>
            <w:shd w:val="clear" w:color="auto" w:fill="D9E2F3" w:themeFill="accent1" w:themeFillTint="33"/>
            <w:tcMar>
              <w:top w:w="72" w:type="dxa"/>
              <w:left w:w="144" w:type="dxa"/>
              <w:bottom w:w="72" w:type="dxa"/>
              <w:right w:w="144" w:type="dxa"/>
            </w:tcMar>
          </w:tcPr>
          <w:p w14:paraId="4E94C6B4" w14:textId="6D9971E4" w:rsidR="00081C8B" w:rsidRPr="00081C8B" w:rsidRDefault="00081C8B" w:rsidP="00081C8B">
            <w:pPr>
              <w:spacing w:after="0" w:line="240" w:lineRule="auto"/>
              <w:ind w:left="101"/>
              <w:rPr>
                <w:rFonts w:ascii="Arial" w:eastAsia="Times New Roman" w:hAnsi="Arial" w:cs="Arial"/>
                <w:color w:val="000000"/>
                <w:kern w:val="24"/>
                <w:sz w:val="24"/>
                <w:szCs w:val="24"/>
                <w:lang w:eastAsia="en-GB"/>
                <w14:ligatures w14:val="none"/>
              </w:rPr>
            </w:pPr>
            <w:r w:rsidRPr="00081C8B">
              <w:rPr>
                <w:rFonts w:ascii="Arial" w:eastAsia="Calibri" w:hAnsi="Arial" w:cs="Arial"/>
                <w:sz w:val="24"/>
                <w:szCs w:val="24"/>
              </w:rPr>
              <w:t>Risk that ICB will breach its statutory duties in relation to Child Death Review arrangements</w:t>
            </w:r>
          </w:p>
        </w:tc>
        <w:tc>
          <w:tcPr>
            <w:tcW w:w="1301" w:type="dxa"/>
            <w:shd w:val="clear" w:color="auto" w:fill="D9E2F3" w:themeFill="accent1" w:themeFillTint="33"/>
            <w:tcMar>
              <w:top w:w="72" w:type="dxa"/>
              <w:left w:w="144" w:type="dxa"/>
              <w:bottom w:w="72" w:type="dxa"/>
              <w:right w:w="144" w:type="dxa"/>
            </w:tcMar>
          </w:tcPr>
          <w:p w14:paraId="3C97B3BE" w14:textId="32B33363" w:rsidR="00081C8B" w:rsidRPr="00081C8B" w:rsidRDefault="00081C8B" w:rsidP="00081C8B">
            <w:pPr>
              <w:spacing w:after="0" w:line="240" w:lineRule="auto"/>
              <w:jc w:val="center"/>
              <w:rPr>
                <w:rFonts w:ascii="Arial" w:eastAsia="Times New Roman" w:hAnsi="Arial" w:cs="Arial"/>
                <w:color w:val="000000"/>
                <w:kern w:val="24"/>
                <w:sz w:val="24"/>
                <w:szCs w:val="24"/>
                <w:lang w:eastAsia="en-GB"/>
                <w14:ligatures w14:val="none"/>
              </w:rPr>
            </w:pPr>
            <w:r w:rsidRPr="00081C8B">
              <w:rPr>
                <w:rFonts w:ascii="Arial" w:eastAsia="Calibri" w:hAnsi="Arial" w:cs="Arial"/>
                <w:sz w:val="24"/>
                <w:szCs w:val="24"/>
              </w:rPr>
              <w:t>12</w:t>
            </w:r>
          </w:p>
        </w:tc>
      </w:tr>
    </w:tbl>
    <w:p w14:paraId="694113C4" w14:textId="6C9B871C" w:rsidR="00D23EEB" w:rsidRPr="00FB28DB" w:rsidRDefault="00D23EEB" w:rsidP="008E02CC">
      <w:pPr>
        <w:pStyle w:val="Heading1"/>
        <w:numPr>
          <w:ilvl w:val="0"/>
          <w:numId w:val="21"/>
        </w:numPr>
        <w:ind w:left="567" w:hanging="567"/>
        <w:rPr>
          <w:color w:val="003087"/>
        </w:rPr>
      </w:pPr>
      <w:r w:rsidRPr="00FB28DB">
        <w:rPr>
          <w:color w:val="003087"/>
        </w:rPr>
        <w:t>Progress against 202</w:t>
      </w:r>
      <w:r w:rsidR="00FC4F38" w:rsidRPr="00FB28DB">
        <w:rPr>
          <w:color w:val="003087"/>
        </w:rPr>
        <w:t>4</w:t>
      </w:r>
      <w:r w:rsidRPr="00FB28DB">
        <w:rPr>
          <w:color w:val="003087"/>
        </w:rPr>
        <w:t>/2</w:t>
      </w:r>
      <w:r w:rsidR="00FC4F38" w:rsidRPr="00FB28DB">
        <w:rPr>
          <w:color w:val="003087"/>
        </w:rPr>
        <w:t>5</w:t>
      </w:r>
      <w:r w:rsidRPr="00FB28DB">
        <w:rPr>
          <w:color w:val="003087"/>
        </w:rPr>
        <w:t xml:space="preserve"> </w:t>
      </w:r>
      <w:bookmarkEnd w:id="4"/>
      <w:r w:rsidR="00B74CA7">
        <w:rPr>
          <w:color w:val="003087"/>
        </w:rPr>
        <w:t>ambitions</w:t>
      </w:r>
      <w:r w:rsidRPr="00FB28DB">
        <w:rPr>
          <w:color w:val="003087"/>
        </w:rPr>
        <w:t xml:space="preserve"> </w:t>
      </w:r>
    </w:p>
    <w:p w14:paraId="1A1E3689" w14:textId="2B091648" w:rsidR="00A17EA8" w:rsidRPr="00F6618A" w:rsidRDefault="00F6618A" w:rsidP="0080041E">
      <w:pPr>
        <w:pStyle w:val="ListParagraph"/>
        <w:numPr>
          <w:ilvl w:val="1"/>
          <w:numId w:val="15"/>
        </w:numPr>
        <w:ind w:left="567" w:hanging="567"/>
        <w:rPr>
          <w:rFonts w:ascii="Arial" w:hAnsi="Arial" w:cs="Arial"/>
          <w:color w:val="000000" w:themeColor="text1"/>
          <w:sz w:val="24"/>
          <w:szCs w:val="24"/>
        </w:rPr>
      </w:pPr>
      <w:r>
        <w:rPr>
          <w:rFonts w:ascii="Arial" w:eastAsia="Calibri" w:hAnsi="Arial" w:cs="Arial"/>
          <w:color w:val="000000" w:themeColor="text1"/>
          <w:szCs w:val="20"/>
        </w:rPr>
        <w:t>Th</w:t>
      </w:r>
      <w:r w:rsidRPr="00F6618A">
        <w:rPr>
          <w:rFonts w:ascii="Arial" w:eastAsia="Calibri" w:hAnsi="Arial" w:cs="Arial"/>
          <w:color w:val="000000" w:themeColor="text1"/>
          <w:sz w:val="24"/>
          <w:szCs w:val="24"/>
        </w:rPr>
        <w:t xml:space="preserve">e ICB Safeguarding Children team have continued to work collaboratively with </w:t>
      </w:r>
      <w:r>
        <w:rPr>
          <w:rFonts w:ascii="Arial" w:eastAsia="Calibri" w:hAnsi="Arial" w:cs="Arial"/>
          <w:color w:val="000000" w:themeColor="text1"/>
          <w:sz w:val="24"/>
          <w:szCs w:val="24"/>
        </w:rPr>
        <w:t xml:space="preserve">services commissioned by the ICB and multi-agency </w:t>
      </w:r>
      <w:r w:rsidRPr="00F6618A">
        <w:rPr>
          <w:rFonts w:ascii="Arial" w:eastAsia="Calibri" w:hAnsi="Arial" w:cs="Arial"/>
          <w:color w:val="000000" w:themeColor="text1"/>
          <w:sz w:val="24"/>
          <w:szCs w:val="24"/>
        </w:rPr>
        <w:t>partners</w:t>
      </w:r>
      <w:r w:rsidR="004A0D8A">
        <w:rPr>
          <w:rFonts w:ascii="Arial" w:eastAsia="Calibri" w:hAnsi="Arial" w:cs="Arial"/>
          <w:color w:val="000000" w:themeColor="text1"/>
          <w:sz w:val="24"/>
          <w:szCs w:val="24"/>
        </w:rPr>
        <w:t xml:space="preserve"> at a local, regional and national level,</w:t>
      </w:r>
      <w:r w:rsidRPr="00F6618A">
        <w:rPr>
          <w:rFonts w:ascii="Arial" w:eastAsia="Calibri" w:hAnsi="Arial" w:cs="Arial"/>
          <w:color w:val="000000" w:themeColor="text1"/>
          <w:sz w:val="24"/>
          <w:szCs w:val="24"/>
        </w:rPr>
        <w:t xml:space="preserve"> to improve </w:t>
      </w:r>
      <w:r w:rsidR="004A0D8A">
        <w:rPr>
          <w:rFonts w:ascii="Arial" w:eastAsia="Calibri" w:hAnsi="Arial" w:cs="Arial"/>
          <w:color w:val="000000" w:themeColor="text1"/>
          <w:sz w:val="24"/>
          <w:szCs w:val="24"/>
        </w:rPr>
        <w:t xml:space="preserve">the </w:t>
      </w:r>
      <w:r w:rsidRPr="00F6618A">
        <w:rPr>
          <w:rFonts w:ascii="Arial" w:eastAsia="Calibri" w:hAnsi="Arial" w:cs="Arial"/>
          <w:color w:val="000000" w:themeColor="text1"/>
          <w:sz w:val="24"/>
          <w:szCs w:val="24"/>
        </w:rPr>
        <w:t>quality</w:t>
      </w:r>
      <w:r>
        <w:rPr>
          <w:rFonts w:ascii="Arial" w:eastAsia="Calibri" w:hAnsi="Arial" w:cs="Arial"/>
          <w:color w:val="000000" w:themeColor="text1"/>
          <w:sz w:val="24"/>
          <w:szCs w:val="24"/>
        </w:rPr>
        <w:t xml:space="preserve"> of safeguarding children practice</w:t>
      </w:r>
      <w:r w:rsidRPr="00F6618A">
        <w:rPr>
          <w:rFonts w:ascii="Arial" w:eastAsia="Calibri" w:hAnsi="Arial" w:cs="Arial"/>
          <w:color w:val="000000" w:themeColor="text1"/>
          <w:sz w:val="24"/>
          <w:szCs w:val="24"/>
        </w:rPr>
        <w:t xml:space="preserve">, strengthen </w:t>
      </w:r>
      <w:r>
        <w:rPr>
          <w:rFonts w:ascii="Arial" w:eastAsia="Calibri" w:hAnsi="Arial" w:cs="Arial"/>
          <w:color w:val="000000" w:themeColor="text1"/>
          <w:sz w:val="24"/>
          <w:szCs w:val="24"/>
        </w:rPr>
        <w:t xml:space="preserve">statutory and </w:t>
      </w:r>
      <w:r w:rsidR="005E1151">
        <w:rPr>
          <w:rFonts w:ascii="Arial" w:eastAsia="Calibri" w:hAnsi="Arial" w:cs="Arial"/>
          <w:color w:val="000000" w:themeColor="text1"/>
          <w:sz w:val="24"/>
          <w:szCs w:val="24"/>
        </w:rPr>
        <w:t>non-statutory</w:t>
      </w:r>
      <w:r>
        <w:rPr>
          <w:rFonts w:ascii="Arial" w:eastAsia="Calibri" w:hAnsi="Arial" w:cs="Arial"/>
          <w:color w:val="000000" w:themeColor="text1"/>
          <w:sz w:val="24"/>
          <w:szCs w:val="24"/>
        </w:rPr>
        <w:t xml:space="preserve"> </w:t>
      </w:r>
      <w:r w:rsidRPr="00F6618A">
        <w:rPr>
          <w:rFonts w:ascii="Arial" w:eastAsia="Calibri" w:hAnsi="Arial" w:cs="Arial"/>
          <w:color w:val="000000" w:themeColor="text1"/>
          <w:sz w:val="24"/>
          <w:szCs w:val="24"/>
        </w:rPr>
        <w:t xml:space="preserve">Safeguarding </w:t>
      </w:r>
      <w:r>
        <w:rPr>
          <w:rFonts w:ascii="Arial" w:eastAsia="Calibri" w:hAnsi="Arial" w:cs="Arial"/>
          <w:color w:val="000000" w:themeColor="text1"/>
          <w:sz w:val="24"/>
          <w:szCs w:val="24"/>
        </w:rPr>
        <w:t>Children</w:t>
      </w:r>
      <w:r w:rsidRPr="00F6618A">
        <w:rPr>
          <w:rFonts w:ascii="Arial" w:eastAsia="Calibri" w:hAnsi="Arial" w:cs="Arial"/>
          <w:color w:val="000000" w:themeColor="text1"/>
          <w:sz w:val="24"/>
          <w:szCs w:val="24"/>
        </w:rPr>
        <w:t xml:space="preserve"> </w:t>
      </w:r>
      <w:r>
        <w:rPr>
          <w:rFonts w:ascii="Arial" w:eastAsia="Calibri" w:hAnsi="Arial" w:cs="Arial"/>
          <w:color w:val="000000" w:themeColor="text1"/>
          <w:sz w:val="24"/>
          <w:szCs w:val="24"/>
        </w:rPr>
        <w:t>r</w:t>
      </w:r>
      <w:r w:rsidRPr="00F6618A">
        <w:rPr>
          <w:rFonts w:ascii="Arial" w:eastAsia="Calibri" w:hAnsi="Arial" w:cs="Arial"/>
          <w:color w:val="000000" w:themeColor="text1"/>
          <w:sz w:val="24"/>
          <w:szCs w:val="24"/>
        </w:rPr>
        <w:t>eview</w:t>
      </w:r>
      <w:r>
        <w:rPr>
          <w:rFonts w:ascii="Arial" w:eastAsia="Calibri" w:hAnsi="Arial" w:cs="Arial"/>
          <w:color w:val="000000" w:themeColor="text1"/>
          <w:sz w:val="24"/>
          <w:szCs w:val="24"/>
        </w:rPr>
        <w:t>s</w:t>
      </w:r>
      <w:r w:rsidR="004A0D8A">
        <w:rPr>
          <w:rFonts w:ascii="Arial" w:eastAsia="Calibri" w:hAnsi="Arial" w:cs="Arial"/>
          <w:color w:val="000000" w:themeColor="text1"/>
          <w:sz w:val="24"/>
          <w:szCs w:val="24"/>
        </w:rPr>
        <w:t>, develop statutory Safeguarding Children</w:t>
      </w:r>
      <w:r w:rsidRPr="00F6618A">
        <w:rPr>
          <w:rFonts w:ascii="Arial" w:eastAsia="Calibri" w:hAnsi="Arial" w:cs="Arial"/>
          <w:color w:val="000000" w:themeColor="text1"/>
          <w:sz w:val="24"/>
          <w:szCs w:val="24"/>
        </w:rPr>
        <w:t xml:space="preserve"> and </w:t>
      </w:r>
      <w:r w:rsidR="004A0D8A">
        <w:rPr>
          <w:rFonts w:ascii="Arial" w:eastAsia="Calibri" w:hAnsi="Arial" w:cs="Arial"/>
          <w:color w:val="000000" w:themeColor="text1"/>
          <w:sz w:val="24"/>
          <w:szCs w:val="24"/>
        </w:rPr>
        <w:t xml:space="preserve">Child Death Review (CDR) arrangements </w:t>
      </w:r>
      <w:r w:rsidRPr="00F6618A">
        <w:rPr>
          <w:rFonts w:ascii="Arial" w:eastAsia="Calibri" w:hAnsi="Arial" w:cs="Arial"/>
          <w:color w:val="000000" w:themeColor="text1"/>
          <w:sz w:val="24"/>
          <w:szCs w:val="24"/>
        </w:rPr>
        <w:t xml:space="preserve">and where </w:t>
      </w:r>
      <w:r w:rsidR="004A0D8A">
        <w:rPr>
          <w:rFonts w:ascii="Arial" w:eastAsia="Calibri" w:hAnsi="Arial" w:cs="Arial"/>
          <w:color w:val="000000" w:themeColor="text1"/>
          <w:sz w:val="24"/>
          <w:szCs w:val="24"/>
        </w:rPr>
        <w:t>required, worked together to</w:t>
      </w:r>
      <w:r w:rsidRPr="00F6618A">
        <w:rPr>
          <w:rFonts w:ascii="Arial" w:eastAsia="Calibri" w:hAnsi="Arial" w:cs="Arial"/>
          <w:color w:val="000000" w:themeColor="text1"/>
          <w:sz w:val="24"/>
          <w:szCs w:val="24"/>
        </w:rPr>
        <w:t xml:space="preserve"> mitigate organisational and partnership risks. The following objectives were worked on in 202</w:t>
      </w:r>
      <w:r w:rsidR="004A0D8A">
        <w:rPr>
          <w:rFonts w:ascii="Arial" w:eastAsia="Calibri" w:hAnsi="Arial" w:cs="Arial"/>
          <w:color w:val="000000" w:themeColor="text1"/>
          <w:sz w:val="24"/>
          <w:szCs w:val="24"/>
        </w:rPr>
        <w:t>4</w:t>
      </w:r>
      <w:r w:rsidRPr="00F6618A">
        <w:rPr>
          <w:rFonts w:ascii="Arial" w:eastAsia="Calibri" w:hAnsi="Arial" w:cs="Arial"/>
          <w:color w:val="000000" w:themeColor="text1"/>
          <w:sz w:val="24"/>
          <w:szCs w:val="24"/>
        </w:rPr>
        <w:t>/202</w:t>
      </w:r>
      <w:r w:rsidR="004A0D8A">
        <w:rPr>
          <w:rFonts w:ascii="Arial" w:eastAsia="Calibri" w:hAnsi="Arial" w:cs="Arial"/>
          <w:color w:val="000000" w:themeColor="text1"/>
          <w:sz w:val="24"/>
          <w:szCs w:val="24"/>
        </w:rPr>
        <w:t>5</w:t>
      </w:r>
      <w:r w:rsidRPr="00F6618A">
        <w:rPr>
          <w:rFonts w:ascii="Arial" w:eastAsia="Calibri" w:hAnsi="Arial" w:cs="Arial"/>
          <w:color w:val="000000" w:themeColor="text1"/>
          <w:sz w:val="24"/>
          <w:szCs w:val="24"/>
        </w:rPr>
        <w:t>:</w:t>
      </w:r>
    </w:p>
    <w:tbl>
      <w:tblPr>
        <w:tblStyle w:val="TableGrid"/>
        <w:tblW w:w="9780" w:type="dxa"/>
        <w:tblInd w:w="421" w:type="dxa"/>
        <w:shd w:val="clear" w:color="auto" w:fill="EDEDED" w:themeFill="accent3" w:themeFillTint="33"/>
        <w:tblLook w:val="04A0" w:firstRow="1" w:lastRow="0" w:firstColumn="1" w:lastColumn="0" w:noHBand="0" w:noVBand="1"/>
      </w:tblPr>
      <w:tblGrid>
        <w:gridCol w:w="8505"/>
        <w:gridCol w:w="1275"/>
      </w:tblGrid>
      <w:tr w:rsidR="0046733C" w:rsidRPr="00A17EA8" w14:paraId="5298ADA2" w14:textId="77777777" w:rsidTr="0046733C">
        <w:trPr>
          <w:trHeight w:val="358"/>
        </w:trPr>
        <w:tc>
          <w:tcPr>
            <w:tcW w:w="8505" w:type="dxa"/>
            <w:shd w:val="clear" w:color="auto" w:fill="E2EFD9" w:themeFill="accent6" w:themeFillTint="33"/>
          </w:tcPr>
          <w:p w14:paraId="727C7676" w14:textId="0A3F4062" w:rsidR="0046733C" w:rsidRPr="00A17EA8" w:rsidRDefault="0046733C" w:rsidP="0046733C">
            <w:pPr>
              <w:contextualSpacing/>
              <w:rPr>
                <w:rFonts w:ascii="Arial" w:eastAsia="Calibri" w:hAnsi="Arial" w:cs="Arial"/>
                <w:color w:val="000000" w:themeColor="text1"/>
                <w:szCs w:val="20"/>
              </w:rPr>
            </w:pPr>
            <w:r w:rsidRPr="00060CFD">
              <w:rPr>
                <w:rFonts w:ascii="Arial" w:eastAsia="Calibri" w:hAnsi="Arial" w:cs="Arial"/>
                <w:color w:val="000000" w:themeColor="text1"/>
                <w:sz w:val="24"/>
                <w:szCs w:val="24"/>
              </w:rPr>
              <w:t>To develop closer links with safeguarding leads in acute and community contracts.</w:t>
            </w:r>
          </w:p>
        </w:tc>
        <w:tc>
          <w:tcPr>
            <w:tcW w:w="1275" w:type="dxa"/>
            <w:shd w:val="clear" w:color="auto" w:fill="92D050"/>
          </w:tcPr>
          <w:p w14:paraId="2BD9838E" w14:textId="5ACCD4A3" w:rsidR="0046733C" w:rsidRPr="00A17EA8" w:rsidRDefault="0046733C" w:rsidP="0046733C">
            <w:pPr>
              <w:spacing w:after="120" w:line="360" w:lineRule="auto"/>
              <w:contextualSpacing/>
              <w:rPr>
                <w:rFonts w:ascii="Arial" w:eastAsia="Calibri" w:hAnsi="Arial" w:cs="Arial"/>
                <w:color w:val="000000" w:themeColor="text1"/>
                <w:szCs w:val="20"/>
              </w:rPr>
            </w:pPr>
            <w:r w:rsidRPr="00A17EA8">
              <w:rPr>
                <w:rFonts w:ascii="Arial" w:eastAsia="Calibri" w:hAnsi="Arial" w:cs="Arial"/>
                <w:szCs w:val="20"/>
              </w:rPr>
              <w:t>Complete</w:t>
            </w:r>
          </w:p>
        </w:tc>
      </w:tr>
      <w:tr w:rsidR="0046733C" w:rsidRPr="00A17EA8" w14:paraId="0627E089" w14:textId="77777777" w:rsidTr="00444034">
        <w:tc>
          <w:tcPr>
            <w:tcW w:w="8505" w:type="dxa"/>
            <w:shd w:val="clear" w:color="auto" w:fill="E2EFD9" w:themeFill="accent6" w:themeFillTint="33"/>
          </w:tcPr>
          <w:p w14:paraId="464A11E4" w14:textId="05D422F4" w:rsidR="0046733C" w:rsidRPr="00A17EA8" w:rsidRDefault="0046733C" w:rsidP="0046733C">
            <w:pPr>
              <w:contextualSpacing/>
              <w:rPr>
                <w:rFonts w:ascii="Arial" w:eastAsia="Calibri" w:hAnsi="Arial" w:cs="Arial"/>
                <w:color w:val="000000" w:themeColor="text1"/>
                <w:szCs w:val="20"/>
              </w:rPr>
            </w:pPr>
            <w:r w:rsidRPr="00060CFD">
              <w:rPr>
                <w:rFonts w:ascii="Arial" w:eastAsia="Calibri" w:hAnsi="Arial" w:cs="Arial"/>
                <w:color w:val="000000" w:themeColor="text1"/>
                <w:sz w:val="24"/>
                <w:szCs w:val="24"/>
              </w:rPr>
              <w:t>To develop a safeguarding self-assessment template that can be utilised across primary care, PODs, acute and community contracts and others.</w:t>
            </w:r>
          </w:p>
        </w:tc>
        <w:tc>
          <w:tcPr>
            <w:tcW w:w="1275" w:type="dxa"/>
            <w:shd w:val="clear" w:color="auto" w:fill="92D050"/>
          </w:tcPr>
          <w:p w14:paraId="229D4334" w14:textId="661EC7C8" w:rsidR="0046733C" w:rsidRPr="00A17EA8" w:rsidRDefault="00444034" w:rsidP="0046733C">
            <w:pPr>
              <w:contextualSpacing/>
              <w:rPr>
                <w:rFonts w:ascii="Arial" w:eastAsia="Calibri" w:hAnsi="Arial" w:cs="Arial"/>
                <w:color w:val="000000" w:themeColor="text1"/>
                <w:szCs w:val="20"/>
              </w:rPr>
            </w:pPr>
            <w:r>
              <w:rPr>
                <w:rFonts w:ascii="Arial" w:eastAsia="Calibri" w:hAnsi="Arial" w:cs="Arial"/>
                <w:color w:val="000000" w:themeColor="text1"/>
                <w:szCs w:val="20"/>
              </w:rPr>
              <w:t>Complete</w:t>
            </w:r>
          </w:p>
        </w:tc>
      </w:tr>
      <w:tr w:rsidR="0046733C" w:rsidRPr="00A17EA8" w14:paraId="438A84A6" w14:textId="77777777" w:rsidTr="0046733C">
        <w:tc>
          <w:tcPr>
            <w:tcW w:w="8505" w:type="dxa"/>
            <w:shd w:val="clear" w:color="auto" w:fill="E2EFD9" w:themeFill="accent6" w:themeFillTint="33"/>
          </w:tcPr>
          <w:p w14:paraId="42DD958D" w14:textId="5C3EA4FB" w:rsidR="0046733C" w:rsidRPr="00A17EA8" w:rsidRDefault="0046733C" w:rsidP="0046733C">
            <w:pPr>
              <w:contextualSpacing/>
              <w:rPr>
                <w:rFonts w:ascii="Arial" w:eastAsia="Calibri" w:hAnsi="Arial" w:cs="Arial"/>
                <w:color w:val="000000" w:themeColor="text1"/>
                <w:szCs w:val="20"/>
              </w:rPr>
            </w:pPr>
            <w:r w:rsidRPr="00060CFD">
              <w:rPr>
                <w:rFonts w:ascii="Arial" w:eastAsia="Calibri" w:hAnsi="Arial" w:cs="Arial"/>
                <w:color w:val="000000" w:themeColor="text1"/>
                <w:sz w:val="24"/>
                <w:szCs w:val="24"/>
              </w:rPr>
              <w:t xml:space="preserve">To provide safeguarding children training data for ICB staff </w:t>
            </w:r>
          </w:p>
        </w:tc>
        <w:tc>
          <w:tcPr>
            <w:tcW w:w="1275" w:type="dxa"/>
            <w:shd w:val="clear" w:color="auto" w:fill="FFC000"/>
          </w:tcPr>
          <w:p w14:paraId="49BF1B63" w14:textId="0FEAD410" w:rsidR="0046733C" w:rsidRPr="00A17EA8" w:rsidRDefault="0046733C" w:rsidP="0046733C">
            <w:pPr>
              <w:contextualSpacing/>
              <w:rPr>
                <w:rFonts w:ascii="Arial" w:eastAsia="Calibri" w:hAnsi="Arial" w:cs="Arial"/>
                <w:color w:val="000000" w:themeColor="text1"/>
                <w:szCs w:val="20"/>
              </w:rPr>
            </w:pPr>
            <w:r w:rsidRPr="00A17EA8">
              <w:rPr>
                <w:rFonts w:ascii="Arial" w:eastAsia="Calibri" w:hAnsi="Arial" w:cs="Arial"/>
                <w:color w:val="000000" w:themeColor="text1"/>
                <w:szCs w:val="20"/>
              </w:rPr>
              <w:t>Ongoing</w:t>
            </w:r>
          </w:p>
        </w:tc>
      </w:tr>
      <w:tr w:rsidR="0046733C" w:rsidRPr="00A17EA8" w14:paraId="07FD1571" w14:textId="77777777" w:rsidTr="00972EDC">
        <w:tc>
          <w:tcPr>
            <w:tcW w:w="8505" w:type="dxa"/>
            <w:shd w:val="clear" w:color="auto" w:fill="E2EFD9" w:themeFill="accent6" w:themeFillTint="33"/>
          </w:tcPr>
          <w:p w14:paraId="340FAC6C" w14:textId="047D5DC4" w:rsidR="0046733C" w:rsidRPr="00A17EA8" w:rsidRDefault="0046733C" w:rsidP="0046733C">
            <w:pPr>
              <w:contextualSpacing/>
              <w:rPr>
                <w:rFonts w:ascii="Arial" w:eastAsia="Calibri" w:hAnsi="Arial" w:cs="Arial"/>
                <w:szCs w:val="20"/>
              </w:rPr>
            </w:pPr>
            <w:bookmarkStart w:id="6" w:name="_Hlk117243602"/>
            <w:r w:rsidRPr="00060CFD">
              <w:rPr>
                <w:rFonts w:ascii="Arial" w:eastAsia="Calibri" w:hAnsi="Arial" w:cs="Arial"/>
                <w:color w:val="000000" w:themeColor="text1"/>
                <w:sz w:val="24"/>
                <w:szCs w:val="24"/>
              </w:rPr>
              <w:t>In partnership with Electronic Staff Record (ESR) colleagues the strategic safeguarding team will look at how evidence of additional learning required for level 3 safeguarding adults and children can be uploaded to ESR.</w:t>
            </w:r>
          </w:p>
        </w:tc>
        <w:tc>
          <w:tcPr>
            <w:tcW w:w="1275" w:type="dxa"/>
            <w:shd w:val="clear" w:color="auto" w:fill="FFC000"/>
          </w:tcPr>
          <w:p w14:paraId="58567616" w14:textId="64EBA819" w:rsidR="0046733C" w:rsidRPr="00A17EA8" w:rsidRDefault="00972EDC" w:rsidP="0046733C">
            <w:pPr>
              <w:contextualSpacing/>
              <w:rPr>
                <w:rFonts w:ascii="Arial" w:eastAsia="Calibri" w:hAnsi="Arial" w:cs="Arial"/>
                <w:szCs w:val="20"/>
              </w:rPr>
            </w:pPr>
            <w:r>
              <w:rPr>
                <w:rFonts w:ascii="Arial" w:eastAsia="Calibri" w:hAnsi="Arial" w:cs="Arial"/>
                <w:szCs w:val="20"/>
              </w:rPr>
              <w:t>Ongoing</w:t>
            </w:r>
          </w:p>
        </w:tc>
      </w:tr>
      <w:tr w:rsidR="0046733C" w:rsidRPr="00A17EA8" w14:paraId="54B95669" w14:textId="77777777" w:rsidTr="005F1C0A">
        <w:tc>
          <w:tcPr>
            <w:tcW w:w="8505" w:type="dxa"/>
            <w:shd w:val="clear" w:color="auto" w:fill="E2EFD9" w:themeFill="accent6" w:themeFillTint="33"/>
          </w:tcPr>
          <w:p w14:paraId="132C55AA" w14:textId="300CEA0E" w:rsidR="0046733C" w:rsidRPr="00A17EA8" w:rsidRDefault="0046733C" w:rsidP="0046733C">
            <w:pPr>
              <w:contextualSpacing/>
              <w:rPr>
                <w:rFonts w:ascii="Arial" w:eastAsia="Calibri" w:hAnsi="Arial" w:cs="Arial"/>
                <w:color w:val="000000" w:themeColor="text1"/>
                <w:szCs w:val="20"/>
              </w:rPr>
            </w:pPr>
            <w:r w:rsidRPr="00060CFD">
              <w:rPr>
                <w:rFonts w:ascii="Arial" w:eastAsia="Calibri" w:hAnsi="Arial" w:cs="Arial"/>
                <w:color w:val="000000" w:themeColor="text1"/>
                <w:sz w:val="24"/>
                <w:szCs w:val="24"/>
              </w:rPr>
              <w:t>To establish effective pathway for Primary Care involvement within domestic abuse Multi Agency Risk Assessment Conference (MARAC) process</w:t>
            </w:r>
          </w:p>
        </w:tc>
        <w:tc>
          <w:tcPr>
            <w:tcW w:w="1275" w:type="dxa"/>
            <w:shd w:val="clear" w:color="auto" w:fill="92D050"/>
          </w:tcPr>
          <w:p w14:paraId="26DF046B" w14:textId="0399A472" w:rsidR="0046733C" w:rsidRPr="00A17EA8" w:rsidRDefault="005F1C0A" w:rsidP="0046733C">
            <w:pPr>
              <w:contextualSpacing/>
              <w:rPr>
                <w:rFonts w:ascii="Arial" w:eastAsia="Calibri" w:hAnsi="Arial" w:cs="Arial"/>
                <w:color w:val="000000" w:themeColor="text1"/>
                <w:szCs w:val="20"/>
              </w:rPr>
            </w:pPr>
            <w:r>
              <w:rPr>
                <w:rFonts w:ascii="Arial" w:eastAsia="Calibri" w:hAnsi="Arial" w:cs="Arial"/>
                <w:color w:val="000000" w:themeColor="text1"/>
                <w:szCs w:val="20"/>
              </w:rPr>
              <w:t>Complete</w:t>
            </w:r>
          </w:p>
        </w:tc>
      </w:tr>
      <w:tr w:rsidR="0046733C" w:rsidRPr="00A17EA8" w14:paraId="3C5ADC58" w14:textId="77777777" w:rsidTr="00CB3464">
        <w:tc>
          <w:tcPr>
            <w:tcW w:w="8505" w:type="dxa"/>
            <w:shd w:val="clear" w:color="auto" w:fill="E2EFD9" w:themeFill="accent6" w:themeFillTint="33"/>
          </w:tcPr>
          <w:p w14:paraId="6534D64E" w14:textId="7F6D4568" w:rsidR="0046733C" w:rsidRPr="00A17EA8" w:rsidRDefault="0046733C" w:rsidP="0046733C">
            <w:pPr>
              <w:contextualSpacing/>
              <w:rPr>
                <w:rFonts w:ascii="Arial" w:eastAsia="Calibri" w:hAnsi="Arial" w:cs="Arial"/>
                <w:color w:val="000000" w:themeColor="text1"/>
                <w:szCs w:val="20"/>
              </w:rPr>
            </w:pPr>
            <w:r w:rsidRPr="00060CFD">
              <w:rPr>
                <w:rFonts w:ascii="Arial" w:eastAsia="Calibri" w:hAnsi="Arial" w:cs="Arial"/>
                <w:color w:val="000000" w:themeColor="text1"/>
                <w:sz w:val="24"/>
                <w:szCs w:val="24"/>
              </w:rPr>
              <w:t>To expand police notification information sharing process to primary care to include notifications where there are no children involved</w:t>
            </w:r>
          </w:p>
        </w:tc>
        <w:tc>
          <w:tcPr>
            <w:tcW w:w="1275" w:type="dxa"/>
            <w:shd w:val="clear" w:color="auto" w:fill="FFC000"/>
          </w:tcPr>
          <w:p w14:paraId="370E5836" w14:textId="77777777" w:rsidR="0046733C" w:rsidRPr="00A17EA8" w:rsidRDefault="0046733C" w:rsidP="0046733C">
            <w:pPr>
              <w:contextualSpacing/>
              <w:rPr>
                <w:rFonts w:ascii="Arial" w:eastAsia="Calibri" w:hAnsi="Arial" w:cs="Arial"/>
                <w:color w:val="000000" w:themeColor="text1"/>
                <w:szCs w:val="20"/>
              </w:rPr>
            </w:pPr>
            <w:r w:rsidRPr="00A17EA8">
              <w:rPr>
                <w:rFonts w:ascii="Arial" w:eastAsia="Calibri" w:hAnsi="Arial" w:cs="Arial"/>
                <w:color w:val="000000" w:themeColor="text1"/>
                <w:szCs w:val="20"/>
              </w:rPr>
              <w:t>Ongoing</w:t>
            </w:r>
          </w:p>
        </w:tc>
      </w:tr>
      <w:tr w:rsidR="0046733C" w:rsidRPr="00A17EA8" w14:paraId="309B5F67" w14:textId="77777777" w:rsidTr="0046733C">
        <w:tc>
          <w:tcPr>
            <w:tcW w:w="8505" w:type="dxa"/>
            <w:shd w:val="clear" w:color="auto" w:fill="E2EFD9" w:themeFill="accent6" w:themeFillTint="33"/>
          </w:tcPr>
          <w:p w14:paraId="04C3F5D0" w14:textId="6474FA0E" w:rsidR="0046733C" w:rsidRPr="00A17EA8" w:rsidRDefault="0046733C" w:rsidP="0046733C">
            <w:pPr>
              <w:contextualSpacing/>
              <w:rPr>
                <w:rFonts w:ascii="Arial" w:eastAsia="Calibri" w:hAnsi="Arial" w:cs="Arial"/>
                <w:color w:val="000000" w:themeColor="text1"/>
                <w:szCs w:val="20"/>
              </w:rPr>
            </w:pPr>
            <w:r w:rsidRPr="00060CFD">
              <w:rPr>
                <w:rFonts w:ascii="Arial" w:eastAsia="Calibri" w:hAnsi="Arial" w:cs="Arial"/>
                <w:color w:val="000000" w:themeColor="text1"/>
                <w:sz w:val="24"/>
                <w:szCs w:val="24"/>
              </w:rPr>
              <w:t>To work with multi-agency colleagues across Somerset to better understand the needs of children transitioning to adult’s services</w:t>
            </w:r>
          </w:p>
        </w:tc>
        <w:tc>
          <w:tcPr>
            <w:tcW w:w="1275" w:type="dxa"/>
            <w:shd w:val="clear" w:color="auto" w:fill="92D050"/>
          </w:tcPr>
          <w:p w14:paraId="6CB9D7DE" w14:textId="2927A69C" w:rsidR="0046733C" w:rsidRPr="00A17EA8" w:rsidRDefault="0046733C" w:rsidP="0046733C">
            <w:pPr>
              <w:contextualSpacing/>
              <w:rPr>
                <w:rFonts w:ascii="Arial" w:eastAsia="Calibri" w:hAnsi="Arial" w:cs="Arial"/>
                <w:color w:val="000000" w:themeColor="text1"/>
                <w:szCs w:val="20"/>
              </w:rPr>
            </w:pPr>
            <w:r w:rsidRPr="0046733C">
              <w:rPr>
                <w:rFonts w:ascii="Arial" w:eastAsia="Calibri" w:hAnsi="Arial" w:cs="Arial"/>
                <w:color w:val="000000" w:themeColor="text1"/>
                <w:szCs w:val="20"/>
              </w:rPr>
              <w:t>Complete</w:t>
            </w:r>
          </w:p>
        </w:tc>
      </w:tr>
      <w:tr w:rsidR="0046733C" w:rsidRPr="00A17EA8" w14:paraId="3F42F388" w14:textId="77777777" w:rsidTr="0046733C">
        <w:tc>
          <w:tcPr>
            <w:tcW w:w="8505" w:type="dxa"/>
            <w:shd w:val="clear" w:color="auto" w:fill="E2EFD9" w:themeFill="accent6" w:themeFillTint="33"/>
          </w:tcPr>
          <w:p w14:paraId="53A7C0B8" w14:textId="6A64A4B9" w:rsidR="0046733C" w:rsidRPr="00A17EA8" w:rsidRDefault="0046733C" w:rsidP="0046733C">
            <w:pPr>
              <w:contextualSpacing/>
              <w:rPr>
                <w:rFonts w:ascii="Arial" w:eastAsia="Calibri" w:hAnsi="Arial" w:cs="Arial"/>
                <w:color w:val="000000" w:themeColor="text1"/>
                <w:szCs w:val="20"/>
              </w:rPr>
            </w:pPr>
            <w:r w:rsidRPr="00060CFD">
              <w:rPr>
                <w:rFonts w:ascii="Arial" w:eastAsia="Calibri" w:hAnsi="Arial" w:cs="Arial"/>
                <w:color w:val="000000" w:themeColor="text1"/>
                <w:sz w:val="24"/>
                <w:szCs w:val="24"/>
              </w:rPr>
              <w:t>Develop a Female Genital Mutilation (FGM) policy to support primary care with statutory responsibilities regarding safeguarding women and children at risk of / experienced FGM.</w:t>
            </w:r>
          </w:p>
        </w:tc>
        <w:tc>
          <w:tcPr>
            <w:tcW w:w="1275" w:type="dxa"/>
            <w:shd w:val="clear" w:color="auto" w:fill="92D050"/>
          </w:tcPr>
          <w:p w14:paraId="65992590" w14:textId="42D1A437" w:rsidR="0046733C" w:rsidRPr="00A17EA8" w:rsidRDefault="0046733C" w:rsidP="0046733C">
            <w:pPr>
              <w:contextualSpacing/>
              <w:rPr>
                <w:rFonts w:ascii="Arial" w:eastAsia="Calibri" w:hAnsi="Arial" w:cs="Arial"/>
                <w:color w:val="000000" w:themeColor="text1"/>
                <w:szCs w:val="20"/>
              </w:rPr>
            </w:pPr>
            <w:r w:rsidRPr="0046733C">
              <w:rPr>
                <w:rFonts w:ascii="Arial" w:eastAsia="Calibri" w:hAnsi="Arial" w:cs="Arial"/>
                <w:color w:val="000000" w:themeColor="text1"/>
                <w:szCs w:val="20"/>
              </w:rPr>
              <w:t>Complete</w:t>
            </w:r>
          </w:p>
        </w:tc>
      </w:tr>
      <w:tr w:rsidR="0046733C" w:rsidRPr="00A17EA8" w14:paraId="130C4684" w14:textId="77777777" w:rsidTr="00CB3464">
        <w:tc>
          <w:tcPr>
            <w:tcW w:w="8505" w:type="dxa"/>
            <w:shd w:val="clear" w:color="auto" w:fill="E2EFD9" w:themeFill="accent6" w:themeFillTint="33"/>
          </w:tcPr>
          <w:p w14:paraId="068589AB" w14:textId="35515402" w:rsidR="0046733C" w:rsidRPr="00A17EA8" w:rsidRDefault="0046733C" w:rsidP="0046733C">
            <w:pPr>
              <w:contextualSpacing/>
              <w:rPr>
                <w:rFonts w:ascii="Arial" w:eastAsia="Calibri" w:hAnsi="Arial" w:cs="Arial"/>
                <w:color w:val="000000" w:themeColor="text1"/>
                <w:szCs w:val="20"/>
              </w:rPr>
            </w:pPr>
            <w:r w:rsidRPr="00060CFD">
              <w:rPr>
                <w:rFonts w:ascii="Arial" w:eastAsia="Calibri" w:hAnsi="Arial" w:cs="Arial"/>
                <w:color w:val="000000" w:themeColor="text1"/>
                <w:sz w:val="24"/>
                <w:szCs w:val="24"/>
              </w:rPr>
              <w:t>Work alongside ICS Workforce Inclusion to establish freedom to speak up processes across health</w:t>
            </w:r>
          </w:p>
        </w:tc>
        <w:tc>
          <w:tcPr>
            <w:tcW w:w="1275" w:type="dxa"/>
            <w:shd w:val="clear" w:color="auto" w:fill="92D050"/>
          </w:tcPr>
          <w:p w14:paraId="4BFF0FC1" w14:textId="77777777" w:rsidR="0046733C" w:rsidRPr="00A17EA8" w:rsidRDefault="0046733C" w:rsidP="0046733C">
            <w:pPr>
              <w:contextualSpacing/>
              <w:rPr>
                <w:rFonts w:ascii="Arial" w:eastAsia="Calibri" w:hAnsi="Arial" w:cs="Arial"/>
                <w:color w:val="000000" w:themeColor="text1"/>
                <w:szCs w:val="20"/>
              </w:rPr>
            </w:pPr>
            <w:r w:rsidRPr="00A17EA8">
              <w:rPr>
                <w:rFonts w:ascii="Arial" w:eastAsia="Calibri" w:hAnsi="Arial" w:cs="Arial"/>
                <w:color w:val="000000" w:themeColor="text1"/>
                <w:szCs w:val="20"/>
              </w:rPr>
              <w:t>Complete</w:t>
            </w:r>
          </w:p>
        </w:tc>
      </w:tr>
      <w:tr w:rsidR="0046733C" w:rsidRPr="00A17EA8" w14:paraId="77F9AD10" w14:textId="77777777" w:rsidTr="00972EDC">
        <w:tc>
          <w:tcPr>
            <w:tcW w:w="8505" w:type="dxa"/>
            <w:shd w:val="clear" w:color="auto" w:fill="E2EFD9" w:themeFill="accent6" w:themeFillTint="33"/>
          </w:tcPr>
          <w:p w14:paraId="58FA02E7" w14:textId="7F95ABD1" w:rsidR="0046733C" w:rsidRPr="00A17EA8" w:rsidRDefault="0046733C" w:rsidP="0046733C">
            <w:pPr>
              <w:contextualSpacing/>
              <w:rPr>
                <w:rFonts w:ascii="Arial" w:eastAsia="Calibri" w:hAnsi="Arial" w:cs="Arial"/>
                <w:color w:val="000000" w:themeColor="text1"/>
                <w:szCs w:val="20"/>
              </w:rPr>
            </w:pPr>
            <w:r w:rsidRPr="00060CFD">
              <w:rPr>
                <w:rFonts w:ascii="Arial" w:eastAsia="Calibri" w:hAnsi="Arial" w:cs="Arial"/>
                <w:color w:val="000000" w:themeColor="text1"/>
                <w:sz w:val="24"/>
                <w:szCs w:val="24"/>
              </w:rPr>
              <w:t>Work with ICB workforce to ensure the ICB fulfils it</w:t>
            </w:r>
            <w:r>
              <w:rPr>
                <w:rFonts w:ascii="Arial" w:eastAsia="Calibri" w:hAnsi="Arial" w:cs="Arial"/>
                <w:color w:val="000000" w:themeColor="text1"/>
                <w:sz w:val="24"/>
                <w:szCs w:val="24"/>
              </w:rPr>
              <w:t>s</w:t>
            </w:r>
            <w:r w:rsidRPr="00060CFD">
              <w:rPr>
                <w:rFonts w:ascii="Arial" w:eastAsia="Calibri" w:hAnsi="Arial" w:cs="Arial"/>
                <w:color w:val="000000" w:themeColor="text1"/>
                <w:sz w:val="24"/>
                <w:szCs w:val="24"/>
              </w:rPr>
              <w:t xml:space="preserve"> commitment to taking and enforcing a zero-tolerance approach to any unwanted, inappropriate and/or harmful sexual behaviours within the workplace</w:t>
            </w:r>
          </w:p>
        </w:tc>
        <w:tc>
          <w:tcPr>
            <w:tcW w:w="1275" w:type="dxa"/>
            <w:shd w:val="clear" w:color="auto" w:fill="FFC000"/>
          </w:tcPr>
          <w:p w14:paraId="0A4E46AA" w14:textId="2880600A" w:rsidR="0046733C" w:rsidRPr="00A17EA8" w:rsidRDefault="00972EDC" w:rsidP="0046733C">
            <w:pPr>
              <w:contextualSpacing/>
              <w:rPr>
                <w:rFonts w:ascii="Arial" w:eastAsia="Calibri" w:hAnsi="Arial" w:cs="Arial"/>
                <w:color w:val="000000" w:themeColor="text1"/>
                <w:szCs w:val="20"/>
              </w:rPr>
            </w:pPr>
            <w:r>
              <w:rPr>
                <w:rFonts w:ascii="Arial" w:eastAsia="Calibri" w:hAnsi="Arial" w:cs="Arial"/>
                <w:color w:val="000000" w:themeColor="text1"/>
                <w:szCs w:val="20"/>
              </w:rPr>
              <w:t>Ongoing</w:t>
            </w:r>
          </w:p>
        </w:tc>
      </w:tr>
      <w:tr w:rsidR="0046733C" w:rsidRPr="00A17EA8" w14:paraId="02BAB409" w14:textId="77777777" w:rsidTr="0046733C">
        <w:tc>
          <w:tcPr>
            <w:tcW w:w="8505" w:type="dxa"/>
            <w:shd w:val="clear" w:color="auto" w:fill="E2EFD9" w:themeFill="accent6" w:themeFillTint="33"/>
          </w:tcPr>
          <w:p w14:paraId="40713FB1" w14:textId="1CEC12D5" w:rsidR="0046733C" w:rsidRPr="00A17EA8" w:rsidRDefault="0046733C" w:rsidP="0046733C">
            <w:pPr>
              <w:contextualSpacing/>
              <w:rPr>
                <w:rFonts w:ascii="Arial" w:eastAsia="Calibri" w:hAnsi="Arial" w:cs="Arial"/>
                <w:color w:val="000000" w:themeColor="text1"/>
                <w:szCs w:val="20"/>
              </w:rPr>
            </w:pPr>
            <w:r w:rsidRPr="00060CFD">
              <w:rPr>
                <w:rFonts w:ascii="Arial" w:eastAsia="Calibri" w:hAnsi="Arial" w:cs="Arial"/>
                <w:color w:val="000000" w:themeColor="text1"/>
                <w:sz w:val="24"/>
                <w:szCs w:val="24"/>
              </w:rPr>
              <w:t>Ensure ICB fulfils its statutory duties in relation to Anti-social behaviour case review process through input into the multi-agency development of information sharing agreement and shared process</w:t>
            </w:r>
          </w:p>
        </w:tc>
        <w:tc>
          <w:tcPr>
            <w:tcW w:w="1275" w:type="dxa"/>
            <w:shd w:val="clear" w:color="auto" w:fill="FFC000"/>
          </w:tcPr>
          <w:p w14:paraId="53A52CF6" w14:textId="145083CE" w:rsidR="0046733C" w:rsidRPr="00A17EA8" w:rsidRDefault="0046733C" w:rsidP="0046733C">
            <w:pPr>
              <w:contextualSpacing/>
              <w:rPr>
                <w:rFonts w:ascii="Arial" w:eastAsia="Calibri" w:hAnsi="Arial" w:cs="Arial"/>
                <w:color w:val="000000" w:themeColor="text1"/>
                <w:szCs w:val="20"/>
              </w:rPr>
            </w:pPr>
            <w:r>
              <w:rPr>
                <w:rFonts w:ascii="Arial" w:eastAsia="Calibri" w:hAnsi="Arial" w:cs="Arial"/>
                <w:color w:val="000000" w:themeColor="text1"/>
                <w:szCs w:val="20"/>
              </w:rPr>
              <w:t>Ongoing</w:t>
            </w:r>
          </w:p>
        </w:tc>
      </w:tr>
      <w:tr w:rsidR="0046733C" w:rsidRPr="00A17EA8" w14:paraId="14CAACDF" w14:textId="77777777" w:rsidTr="0046733C">
        <w:tc>
          <w:tcPr>
            <w:tcW w:w="8505" w:type="dxa"/>
            <w:shd w:val="clear" w:color="auto" w:fill="E2EFD9" w:themeFill="accent6" w:themeFillTint="33"/>
          </w:tcPr>
          <w:p w14:paraId="4F996881" w14:textId="08B171C2" w:rsidR="0046733C" w:rsidRPr="00A17EA8" w:rsidRDefault="0046733C" w:rsidP="0046733C">
            <w:pPr>
              <w:contextualSpacing/>
              <w:rPr>
                <w:rFonts w:ascii="Arial" w:eastAsia="Calibri" w:hAnsi="Arial" w:cs="Arial"/>
                <w:color w:val="000000" w:themeColor="text1"/>
                <w:szCs w:val="20"/>
              </w:rPr>
            </w:pPr>
            <w:r w:rsidRPr="00060CFD">
              <w:rPr>
                <w:rFonts w:ascii="Arial" w:eastAsia="Calibri" w:hAnsi="Arial" w:cs="Arial"/>
                <w:color w:val="000000" w:themeColor="text1"/>
                <w:sz w:val="24"/>
                <w:szCs w:val="24"/>
              </w:rPr>
              <w:t xml:space="preserve">To improve Primary Care engagement with Child Protection Conferences through development and implementation of a new report template, targeted support and audit. </w:t>
            </w:r>
          </w:p>
        </w:tc>
        <w:tc>
          <w:tcPr>
            <w:tcW w:w="1275" w:type="dxa"/>
            <w:shd w:val="clear" w:color="auto" w:fill="92D050"/>
          </w:tcPr>
          <w:p w14:paraId="4B4AEF49" w14:textId="5D927BEB" w:rsidR="0046733C" w:rsidRPr="00A17EA8" w:rsidRDefault="0046733C" w:rsidP="0046733C">
            <w:pPr>
              <w:contextualSpacing/>
              <w:rPr>
                <w:rFonts w:ascii="Arial" w:eastAsia="Calibri" w:hAnsi="Arial" w:cs="Arial"/>
                <w:color w:val="000000" w:themeColor="text1"/>
                <w:szCs w:val="20"/>
              </w:rPr>
            </w:pPr>
            <w:r>
              <w:rPr>
                <w:rFonts w:ascii="Arial" w:eastAsia="Calibri" w:hAnsi="Arial" w:cs="Arial"/>
                <w:color w:val="000000" w:themeColor="text1"/>
                <w:szCs w:val="20"/>
              </w:rPr>
              <w:t>Complete</w:t>
            </w:r>
          </w:p>
        </w:tc>
      </w:tr>
      <w:tr w:rsidR="0046733C" w:rsidRPr="00A17EA8" w14:paraId="369B085F" w14:textId="77777777" w:rsidTr="0046733C">
        <w:tc>
          <w:tcPr>
            <w:tcW w:w="8505" w:type="dxa"/>
            <w:shd w:val="clear" w:color="auto" w:fill="E2EFD9" w:themeFill="accent6" w:themeFillTint="33"/>
          </w:tcPr>
          <w:p w14:paraId="3E56A953" w14:textId="6D2D91E2" w:rsidR="0046733C" w:rsidRPr="00A17EA8" w:rsidRDefault="0046733C" w:rsidP="0046733C">
            <w:pPr>
              <w:contextualSpacing/>
              <w:rPr>
                <w:rFonts w:ascii="Arial" w:eastAsia="Calibri" w:hAnsi="Arial" w:cs="Arial"/>
                <w:color w:val="000000" w:themeColor="text1"/>
              </w:rPr>
            </w:pPr>
            <w:r w:rsidRPr="00060CFD">
              <w:rPr>
                <w:rFonts w:ascii="Arial" w:eastAsia="Calibri" w:hAnsi="Arial" w:cs="Arial"/>
                <w:color w:val="000000" w:themeColor="text1"/>
                <w:sz w:val="24"/>
                <w:szCs w:val="24"/>
              </w:rPr>
              <w:lastRenderedPageBreak/>
              <w:t xml:space="preserve">To implement project to support new fathers across Somerset. </w:t>
            </w:r>
            <w:r w:rsidR="00136904">
              <w:rPr>
                <w:rFonts w:ascii="Arial" w:eastAsia="Calibri" w:hAnsi="Arial" w:cs="Arial"/>
                <w:color w:val="000000" w:themeColor="text1"/>
                <w:sz w:val="24"/>
                <w:szCs w:val="24"/>
              </w:rPr>
              <w:t xml:space="preserve">This project was highly commended in the </w:t>
            </w:r>
            <w:hyperlink r:id="rId29" w:history="1">
              <w:r w:rsidR="00136904" w:rsidRPr="00136904">
                <w:rPr>
                  <w:rStyle w:val="Hyperlink"/>
                  <w:rFonts w:ascii="Arial" w:eastAsia="Calibri" w:hAnsi="Arial" w:cs="Arial"/>
                  <w:sz w:val="24"/>
                  <w:szCs w:val="24"/>
                </w:rPr>
                <w:t>South West integrated and personalised care awards</w:t>
              </w:r>
            </w:hyperlink>
            <w:r w:rsidR="00136904">
              <w:rPr>
                <w:rFonts w:ascii="Arial" w:eastAsia="Calibri" w:hAnsi="Arial" w:cs="Arial"/>
                <w:color w:val="000000" w:themeColor="text1"/>
                <w:sz w:val="24"/>
                <w:szCs w:val="24"/>
              </w:rPr>
              <w:t>.</w:t>
            </w:r>
          </w:p>
        </w:tc>
        <w:tc>
          <w:tcPr>
            <w:tcW w:w="1275" w:type="dxa"/>
            <w:shd w:val="clear" w:color="auto" w:fill="92D050"/>
          </w:tcPr>
          <w:p w14:paraId="1DAAA57A" w14:textId="0FEB5288" w:rsidR="0046733C" w:rsidRPr="00A17EA8" w:rsidRDefault="0046733C" w:rsidP="0046733C">
            <w:pPr>
              <w:contextualSpacing/>
              <w:rPr>
                <w:rFonts w:ascii="Arial" w:eastAsia="Calibri" w:hAnsi="Arial" w:cs="Arial"/>
                <w:color w:val="000000" w:themeColor="text1"/>
                <w:szCs w:val="20"/>
              </w:rPr>
            </w:pPr>
            <w:r>
              <w:rPr>
                <w:rFonts w:ascii="Arial" w:eastAsia="Calibri" w:hAnsi="Arial" w:cs="Arial"/>
                <w:color w:val="000000" w:themeColor="text1"/>
                <w:szCs w:val="20"/>
              </w:rPr>
              <w:t>Complete</w:t>
            </w:r>
          </w:p>
        </w:tc>
      </w:tr>
      <w:bookmarkEnd w:id="6"/>
    </w:tbl>
    <w:p w14:paraId="5486C586" w14:textId="77777777" w:rsidR="00D23EEB" w:rsidRDefault="00D23EEB" w:rsidP="00D23EEB">
      <w:pPr>
        <w:rPr>
          <w:rFonts w:ascii="Arial" w:hAnsi="Arial" w:cs="Arial"/>
          <w:color w:val="000000" w:themeColor="text1"/>
          <w:sz w:val="24"/>
          <w:szCs w:val="24"/>
        </w:rPr>
      </w:pPr>
    </w:p>
    <w:p w14:paraId="3FB89DF5" w14:textId="2828A47D" w:rsidR="00A17EA8" w:rsidRPr="002F693C" w:rsidRDefault="00A17EA8" w:rsidP="0080041E">
      <w:pPr>
        <w:pStyle w:val="ListParagraph"/>
        <w:numPr>
          <w:ilvl w:val="1"/>
          <w:numId w:val="15"/>
        </w:numPr>
        <w:ind w:left="567" w:hanging="567"/>
        <w:rPr>
          <w:rFonts w:ascii="Arial" w:hAnsi="Arial" w:cs="Arial"/>
          <w:color w:val="000000" w:themeColor="text1"/>
          <w:sz w:val="24"/>
          <w:szCs w:val="24"/>
        </w:rPr>
      </w:pPr>
      <w:r w:rsidRPr="002F693C">
        <w:rPr>
          <w:rFonts w:ascii="Arial" w:hAnsi="Arial" w:cs="Arial"/>
          <w:color w:val="000000" w:themeColor="text1"/>
          <w:sz w:val="24"/>
          <w:szCs w:val="24"/>
        </w:rPr>
        <w:t>Feedback received in 2024</w:t>
      </w:r>
      <w:r w:rsidR="007E3BF7">
        <w:rPr>
          <w:rFonts w:ascii="Arial" w:hAnsi="Arial" w:cs="Arial"/>
          <w:color w:val="000000" w:themeColor="text1"/>
          <w:sz w:val="24"/>
          <w:szCs w:val="24"/>
        </w:rPr>
        <w:t>/</w:t>
      </w:r>
      <w:r w:rsidRPr="002F693C">
        <w:rPr>
          <w:rFonts w:ascii="Arial" w:hAnsi="Arial" w:cs="Arial"/>
          <w:color w:val="000000" w:themeColor="text1"/>
          <w:sz w:val="24"/>
          <w:szCs w:val="24"/>
        </w:rPr>
        <w:t>2025 by the ICB safeguarding team from colleagues across the safeguarding system:</w:t>
      </w:r>
    </w:p>
    <w:p w14:paraId="1CDDC3F7" w14:textId="1E60C4A8" w:rsidR="00972EDC" w:rsidRPr="00972EDC" w:rsidRDefault="00972EDC" w:rsidP="00972EDC">
      <w:pPr>
        <w:pStyle w:val="ListParagraph"/>
        <w:numPr>
          <w:ilvl w:val="0"/>
          <w:numId w:val="27"/>
        </w:numPr>
        <w:ind w:left="1134" w:hanging="425"/>
        <w:rPr>
          <w:rFonts w:ascii="Arial" w:eastAsia="Times New Roman" w:hAnsi="Arial" w:cs="Arial"/>
          <w:i/>
          <w:iCs/>
          <w:kern w:val="0"/>
          <w:sz w:val="24"/>
          <w:szCs w:val="24"/>
          <w14:ligatures w14:val="none"/>
        </w:rPr>
      </w:pPr>
      <w:r w:rsidRPr="00972EDC">
        <w:rPr>
          <w:rFonts w:ascii="Arial" w:eastAsia="Times New Roman" w:hAnsi="Arial" w:cs="Arial"/>
          <w:i/>
          <w:iCs/>
          <w:kern w:val="0"/>
          <w:sz w:val="24"/>
          <w:szCs w:val="24"/>
          <w14:ligatures w14:val="none"/>
        </w:rPr>
        <w:t>“You are doing a fantastic job in keeping us all on track and informed and spinning lots of plates. It’s very much appreciated.”</w:t>
      </w:r>
      <w:r>
        <w:rPr>
          <w:rFonts w:ascii="Arial" w:eastAsia="Times New Roman" w:hAnsi="Arial" w:cs="Arial"/>
          <w:i/>
          <w:iCs/>
          <w:kern w:val="0"/>
          <w:sz w:val="24"/>
          <w:szCs w:val="24"/>
          <w14:ligatures w14:val="none"/>
        </w:rPr>
        <w:t xml:space="preserve"> (Related to JTAI inspection)</w:t>
      </w:r>
    </w:p>
    <w:p w14:paraId="17F34E2F" w14:textId="4758E724" w:rsidR="00972EDC" w:rsidRPr="00972EDC" w:rsidRDefault="00972EDC" w:rsidP="00972EDC">
      <w:pPr>
        <w:pStyle w:val="ListParagraph"/>
        <w:numPr>
          <w:ilvl w:val="0"/>
          <w:numId w:val="27"/>
        </w:numPr>
        <w:ind w:left="1134" w:hanging="425"/>
        <w:rPr>
          <w:rFonts w:ascii="Arial" w:eastAsia="Times New Roman" w:hAnsi="Arial" w:cs="Arial"/>
          <w:i/>
          <w:iCs/>
          <w:kern w:val="0"/>
          <w:sz w:val="24"/>
          <w:szCs w:val="24"/>
          <w14:ligatures w14:val="none"/>
        </w:rPr>
      </w:pPr>
      <w:r w:rsidRPr="00972EDC">
        <w:rPr>
          <w:rFonts w:ascii="Arial" w:eastAsia="Times New Roman" w:hAnsi="Arial" w:cs="Arial"/>
          <w:i/>
          <w:iCs/>
          <w:kern w:val="0"/>
          <w:sz w:val="24"/>
          <w:szCs w:val="24"/>
          <w14:ligatures w14:val="none"/>
        </w:rPr>
        <w:t>“Thank you this is an amazing piece of work.”</w:t>
      </w:r>
      <w:r>
        <w:rPr>
          <w:rFonts w:ascii="Arial" w:eastAsia="Times New Roman" w:hAnsi="Arial" w:cs="Arial"/>
          <w:i/>
          <w:iCs/>
          <w:kern w:val="0"/>
          <w:sz w:val="24"/>
          <w:szCs w:val="24"/>
          <w14:ligatures w14:val="none"/>
        </w:rPr>
        <w:t xml:space="preserve"> (Related to support provided to a Practice due to be inspected by CQC)</w:t>
      </w:r>
    </w:p>
    <w:p w14:paraId="3487ABFE" w14:textId="794BC21F" w:rsidR="00972EDC" w:rsidRDefault="00036956" w:rsidP="00AD2CD5">
      <w:pPr>
        <w:pStyle w:val="ListParagraph"/>
        <w:numPr>
          <w:ilvl w:val="0"/>
          <w:numId w:val="27"/>
        </w:numPr>
        <w:spacing w:after="0" w:line="240" w:lineRule="auto"/>
        <w:ind w:left="1134" w:hanging="425"/>
        <w:rPr>
          <w:rFonts w:ascii="Arial" w:eastAsia="Times New Roman" w:hAnsi="Arial" w:cs="Arial"/>
          <w:i/>
          <w:iCs/>
          <w:kern w:val="0"/>
          <w:sz w:val="24"/>
          <w:szCs w:val="24"/>
          <w14:ligatures w14:val="none"/>
        </w:rPr>
      </w:pPr>
      <w:r w:rsidRPr="009443AB">
        <w:rPr>
          <w:rFonts w:ascii="Arial" w:eastAsia="Times New Roman" w:hAnsi="Arial" w:cs="Arial"/>
          <w:i/>
          <w:iCs/>
          <w:kern w:val="0"/>
          <w:sz w:val="24"/>
          <w:szCs w:val="24"/>
          <w14:ligatures w14:val="none"/>
        </w:rPr>
        <w:t xml:space="preserve"> “I want to thank you for all your help with this.  You have been able to break this down in a way that really makes </w:t>
      </w:r>
      <w:r w:rsidR="009443AB" w:rsidRPr="009443AB">
        <w:rPr>
          <w:rFonts w:ascii="Arial" w:eastAsia="Times New Roman" w:hAnsi="Arial" w:cs="Arial"/>
          <w:i/>
          <w:iCs/>
          <w:kern w:val="0"/>
          <w:sz w:val="24"/>
          <w:szCs w:val="24"/>
          <w14:ligatures w14:val="none"/>
        </w:rPr>
        <w:t>sense,</w:t>
      </w:r>
      <w:r w:rsidRPr="009443AB">
        <w:rPr>
          <w:rFonts w:ascii="Arial" w:eastAsia="Times New Roman" w:hAnsi="Arial" w:cs="Arial"/>
          <w:i/>
          <w:iCs/>
          <w:kern w:val="0"/>
          <w:sz w:val="24"/>
          <w:szCs w:val="24"/>
          <w14:ligatures w14:val="none"/>
        </w:rPr>
        <w:t xml:space="preserve"> and all your comments have been valid and can only benefit us going forward.  I am so glad I contacted you for guidance.” (Related to support provided to a Short Form Provider </w:t>
      </w:r>
      <w:r w:rsidR="00376D76" w:rsidRPr="00136904">
        <w:rPr>
          <w:rFonts w:ascii="Arial" w:eastAsia="Times New Roman" w:hAnsi="Arial" w:cs="Arial"/>
          <w:i/>
          <w:iCs/>
          <w:color w:val="000000" w:themeColor="text1"/>
          <w:kern w:val="0"/>
          <w:sz w:val="24"/>
          <w:szCs w:val="24"/>
          <w14:ligatures w14:val="none"/>
        </w:rPr>
        <w:t xml:space="preserve">regarding their safeguarding </w:t>
      </w:r>
      <w:r w:rsidR="009443AB" w:rsidRPr="00136904">
        <w:rPr>
          <w:rFonts w:ascii="Arial" w:eastAsia="Times New Roman" w:hAnsi="Arial" w:cs="Arial"/>
          <w:i/>
          <w:iCs/>
          <w:color w:val="000000" w:themeColor="text1"/>
          <w:kern w:val="0"/>
          <w:sz w:val="24"/>
          <w:szCs w:val="24"/>
          <w14:ligatures w14:val="none"/>
        </w:rPr>
        <w:t>annual report</w:t>
      </w:r>
      <w:r w:rsidR="00FE1C39" w:rsidRPr="009443AB">
        <w:rPr>
          <w:rFonts w:ascii="Arial" w:eastAsia="Times New Roman" w:hAnsi="Arial" w:cs="Arial"/>
          <w:i/>
          <w:iCs/>
          <w:kern w:val="0"/>
          <w:sz w:val="24"/>
          <w:szCs w:val="24"/>
          <w14:ligatures w14:val="none"/>
        </w:rPr>
        <w:t>)</w:t>
      </w:r>
      <w:r w:rsidR="00376D76" w:rsidRPr="009443AB">
        <w:rPr>
          <w:rFonts w:ascii="Arial" w:eastAsia="Times New Roman" w:hAnsi="Arial" w:cs="Arial"/>
          <w:i/>
          <w:iCs/>
          <w:kern w:val="0"/>
          <w:sz w:val="24"/>
          <w:szCs w:val="24"/>
          <w14:ligatures w14:val="none"/>
        </w:rPr>
        <w:t xml:space="preserve">. </w:t>
      </w:r>
    </w:p>
    <w:p w14:paraId="0E569393" w14:textId="374970A6" w:rsidR="00A50949" w:rsidRPr="009443AB" w:rsidRDefault="00A50949" w:rsidP="00AD2CD5">
      <w:pPr>
        <w:pStyle w:val="ListParagraph"/>
        <w:numPr>
          <w:ilvl w:val="0"/>
          <w:numId w:val="27"/>
        </w:numPr>
        <w:spacing w:after="0" w:line="240" w:lineRule="auto"/>
        <w:ind w:left="1134" w:hanging="425"/>
        <w:rPr>
          <w:rFonts w:ascii="Arial" w:eastAsia="Times New Roman" w:hAnsi="Arial" w:cs="Arial"/>
          <w:i/>
          <w:iCs/>
          <w:kern w:val="0"/>
          <w:sz w:val="24"/>
          <w:szCs w:val="24"/>
          <w14:ligatures w14:val="none"/>
        </w:rPr>
      </w:pPr>
      <w:r>
        <w:rPr>
          <w:rFonts w:ascii="Arial" w:eastAsia="Times New Roman" w:hAnsi="Arial" w:cs="Arial"/>
          <w:i/>
          <w:iCs/>
          <w:kern w:val="0"/>
          <w:sz w:val="24"/>
          <w:szCs w:val="24"/>
          <w14:ligatures w14:val="none"/>
        </w:rPr>
        <w:t>“</w:t>
      </w:r>
      <w:r w:rsidRPr="00A50949">
        <w:rPr>
          <w:rFonts w:ascii="Arial" w:eastAsia="Times New Roman" w:hAnsi="Arial" w:cs="Arial"/>
          <w:i/>
          <w:iCs/>
          <w:kern w:val="0"/>
          <w:sz w:val="24"/>
          <w:szCs w:val="24"/>
          <w14:ligatures w14:val="none"/>
        </w:rPr>
        <w:t>I just wanted to drop a line and say thank you for listening and supporting me</w:t>
      </w:r>
      <w:r>
        <w:rPr>
          <w:rFonts w:ascii="Arial" w:eastAsia="Times New Roman" w:hAnsi="Arial" w:cs="Arial"/>
          <w:i/>
          <w:iCs/>
          <w:kern w:val="0"/>
          <w:sz w:val="24"/>
          <w:szCs w:val="24"/>
          <w14:ligatures w14:val="none"/>
        </w:rPr>
        <w:t>.” (Related to support provided to a safeguarding lead)</w:t>
      </w:r>
    </w:p>
    <w:p w14:paraId="29B1EE7B" w14:textId="77777777" w:rsidR="00A17EA8" w:rsidRPr="00A17EA8" w:rsidRDefault="00A17EA8" w:rsidP="00AD2CD5">
      <w:pPr>
        <w:pStyle w:val="ListParagraph"/>
        <w:spacing w:after="0" w:line="240" w:lineRule="auto"/>
        <w:ind w:left="390"/>
        <w:rPr>
          <w:rFonts w:ascii="Arial" w:hAnsi="Arial" w:cs="Arial"/>
          <w:color w:val="000000" w:themeColor="text1"/>
          <w:sz w:val="24"/>
          <w:szCs w:val="24"/>
        </w:rPr>
      </w:pPr>
    </w:p>
    <w:p w14:paraId="315C669C" w14:textId="72725CAB" w:rsidR="00D23EEB" w:rsidRPr="00FB28DB" w:rsidRDefault="00D23EEB" w:rsidP="00AD2CD5">
      <w:pPr>
        <w:pStyle w:val="Heading1"/>
        <w:numPr>
          <w:ilvl w:val="0"/>
          <w:numId w:val="15"/>
        </w:numPr>
        <w:spacing w:before="0" w:after="0"/>
        <w:ind w:left="567" w:hanging="567"/>
        <w:rPr>
          <w:color w:val="003087"/>
        </w:rPr>
      </w:pPr>
      <w:bookmarkStart w:id="7" w:name="_Toc197420059"/>
      <w:r w:rsidRPr="00FB28DB">
        <w:rPr>
          <w:color w:val="003087"/>
        </w:rPr>
        <w:t>Ambitions for 202</w:t>
      </w:r>
      <w:r w:rsidR="00FC4F38" w:rsidRPr="00FB28DB">
        <w:rPr>
          <w:color w:val="003087"/>
        </w:rPr>
        <w:t>5</w:t>
      </w:r>
      <w:r w:rsidRPr="00FB28DB">
        <w:rPr>
          <w:color w:val="003087"/>
        </w:rPr>
        <w:t>/2</w:t>
      </w:r>
      <w:r w:rsidR="00FC4F38" w:rsidRPr="00FB28DB">
        <w:rPr>
          <w:color w:val="003087"/>
        </w:rPr>
        <w:t>6</w:t>
      </w:r>
      <w:bookmarkEnd w:id="7"/>
    </w:p>
    <w:p w14:paraId="67BF6FA3" w14:textId="77777777" w:rsidR="00F6618A" w:rsidRDefault="00F6618A" w:rsidP="00F6618A">
      <w:pPr>
        <w:pStyle w:val="ListParagraph"/>
        <w:numPr>
          <w:ilvl w:val="0"/>
          <w:numId w:val="12"/>
        </w:numPr>
        <w:tabs>
          <w:tab w:val="left" w:pos="709"/>
        </w:tabs>
        <w:spacing w:after="0" w:line="240" w:lineRule="auto"/>
        <w:ind w:left="709" w:hanging="709"/>
        <w:contextualSpacing w:val="0"/>
        <w:rPr>
          <w:rFonts w:ascii="Arial" w:eastAsia="Calibri" w:hAnsi="Arial" w:cs="Arial"/>
          <w:bCs/>
          <w:color w:val="000000" w:themeColor="text1"/>
          <w:sz w:val="24"/>
          <w:szCs w:val="24"/>
        </w:rPr>
      </w:pPr>
      <w:r w:rsidRPr="004B41A1">
        <w:rPr>
          <w:rFonts w:ascii="Arial" w:eastAsia="Calibri" w:hAnsi="Arial" w:cs="Arial"/>
          <w:bCs/>
          <w:color w:val="000000" w:themeColor="text1"/>
          <w:sz w:val="24"/>
          <w:szCs w:val="24"/>
        </w:rPr>
        <w:t>Alongside statutory Child Death Review partners in Dorset, Bournemouth, Christchurch, Poole and Somerset undertake a review of the Pan Dorset and Somerset child death review arrangements, to ensure arrangements in place are sustainable and provide a consistently high quality child death review for children and their families resident in the geographical area covered by these arrangements.</w:t>
      </w:r>
    </w:p>
    <w:p w14:paraId="1F24F191" w14:textId="77777777" w:rsidR="00F6618A" w:rsidRPr="004B41A1" w:rsidRDefault="00F6618A" w:rsidP="00F6618A">
      <w:pPr>
        <w:pStyle w:val="ListParagraph"/>
        <w:tabs>
          <w:tab w:val="left" w:pos="709"/>
        </w:tabs>
        <w:spacing w:after="0" w:line="240" w:lineRule="auto"/>
        <w:ind w:left="709"/>
        <w:contextualSpacing w:val="0"/>
        <w:rPr>
          <w:rFonts w:ascii="Arial" w:eastAsia="Calibri" w:hAnsi="Arial" w:cs="Arial"/>
          <w:bCs/>
          <w:color w:val="000000" w:themeColor="text1"/>
          <w:sz w:val="24"/>
          <w:szCs w:val="24"/>
        </w:rPr>
      </w:pPr>
    </w:p>
    <w:p w14:paraId="4A55C291" w14:textId="6ADC2540" w:rsidR="00945CA2" w:rsidRPr="004B41A1" w:rsidRDefault="00945CA2" w:rsidP="004B41A1">
      <w:pPr>
        <w:pStyle w:val="ListParagraph"/>
        <w:numPr>
          <w:ilvl w:val="0"/>
          <w:numId w:val="12"/>
        </w:numPr>
        <w:tabs>
          <w:tab w:val="left" w:pos="709"/>
        </w:tabs>
        <w:spacing w:after="0" w:line="240" w:lineRule="auto"/>
        <w:ind w:left="709" w:hanging="709"/>
        <w:contextualSpacing w:val="0"/>
        <w:rPr>
          <w:rFonts w:ascii="Arial" w:eastAsia="Calibri" w:hAnsi="Arial" w:cs="Arial"/>
          <w:bCs/>
          <w:color w:val="000000" w:themeColor="text1"/>
          <w:sz w:val="24"/>
          <w:szCs w:val="24"/>
        </w:rPr>
      </w:pPr>
      <w:r w:rsidRPr="004B41A1">
        <w:rPr>
          <w:rFonts w:ascii="Arial" w:eastAsia="Calibri" w:hAnsi="Arial" w:cs="Arial"/>
          <w:bCs/>
          <w:color w:val="000000" w:themeColor="text1"/>
          <w:sz w:val="24"/>
          <w:szCs w:val="24"/>
        </w:rPr>
        <w:t>Align Child Death Review arrangement</w:t>
      </w:r>
      <w:r w:rsidR="002A7C13">
        <w:rPr>
          <w:rFonts w:ascii="Arial" w:eastAsia="Calibri" w:hAnsi="Arial" w:cs="Arial"/>
          <w:bCs/>
          <w:color w:val="000000" w:themeColor="text1"/>
          <w:sz w:val="24"/>
          <w:szCs w:val="24"/>
        </w:rPr>
        <w:t>s</w:t>
      </w:r>
      <w:r w:rsidRPr="004B41A1">
        <w:rPr>
          <w:rFonts w:ascii="Arial" w:eastAsia="Calibri" w:hAnsi="Arial" w:cs="Arial"/>
          <w:bCs/>
          <w:color w:val="000000" w:themeColor="text1"/>
          <w:sz w:val="24"/>
          <w:szCs w:val="24"/>
        </w:rPr>
        <w:t xml:space="preserve"> with </w:t>
      </w:r>
      <w:r w:rsidR="004F4F6B" w:rsidRPr="004B41A1">
        <w:rPr>
          <w:rFonts w:ascii="Arial" w:eastAsia="Calibri" w:hAnsi="Arial" w:cs="Arial"/>
          <w:bCs/>
          <w:color w:val="000000" w:themeColor="text1"/>
          <w:sz w:val="24"/>
          <w:szCs w:val="24"/>
        </w:rPr>
        <w:t>the s</w:t>
      </w:r>
      <w:r w:rsidRPr="004B41A1">
        <w:rPr>
          <w:rFonts w:ascii="Arial" w:eastAsia="Calibri" w:hAnsi="Arial" w:cs="Arial"/>
          <w:bCs/>
          <w:color w:val="000000" w:themeColor="text1"/>
          <w:sz w:val="24"/>
          <w:szCs w:val="24"/>
        </w:rPr>
        <w:t xml:space="preserve">ystem </w:t>
      </w:r>
      <w:r w:rsidR="004F4F6B" w:rsidRPr="004B41A1">
        <w:rPr>
          <w:rFonts w:ascii="Arial" w:eastAsia="Calibri" w:hAnsi="Arial" w:cs="Arial"/>
          <w:bCs/>
          <w:color w:val="000000" w:themeColor="text1"/>
          <w:sz w:val="24"/>
          <w:szCs w:val="24"/>
        </w:rPr>
        <w:t>p</w:t>
      </w:r>
      <w:r w:rsidRPr="004B41A1">
        <w:rPr>
          <w:rFonts w:ascii="Arial" w:eastAsia="Calibri" w:hAnsi="Arial" w:cs="Arial"/>
          <w:bCs/>
          <w:color w:val="000000" w:themeColor="text1"/>
          <w:sz w:val="24"/>
          <w:szCs w:val="24"/>
        </w:rPr>
        <w:t>riorities</w:t>
      </w:r>
      <w:r w:rsidR="004F4F6B" w:rsidRPr="004B41A1">
        <w:rPr>
          <w:rFonts w:ascii="Arial" w:eastAsia="Calibri" w:hAnsi="Arial" w:cs="Arial"/>
          <w:bCs/>
          <w:color w:val="000000" w:themeColor="text1"/>
          <w:sz w:val="24"/>
          <w:szCs w:val="24"/>
        </w:rPr>
        <w:t xml:space="preserve"> outlined within the Somerset Five Year Joint Forward Plan Refresh 2024 to 2029</w:t>
      </w:r>
      <w:r w:rsidRPr="004B41A1">
        <w:rPr>
          <w:rFonts w:ascii="Arial" w:eastAsia="Calibri" w:hAnsi="Arial" w:cs="Arial"/>
          <w:bCs/>
          <w:color w:val="000000" w:themeColor="text1"/>
          <w:sz w:val="24"/>
          <w:szCs w:val="24"/>
        </w:rPr>
        <w:t>:</w:t>
      </w:r>
    </w:p>
    <w:p w14:paraId="6A114BAA" w14:textId="6DBB826A" w:rsidR="00945CA2" w:rsidRPr="004B41A1" w:rsidRDefault="00945CA2" w:rsidP="004B41A1">
      <w:pPr>
        <w:pStyle w:val="ListParagraph"/>
        <w:numPr>
          <w:ilvl w:val="2"/>
          <w:numId w:val="12"/>
        </w:numPr>
        <w:tabs>
          <w:tab w:val="left" w:pos="1134"/>
        </w:tabs>
        <w:spacing w:after="0" w:line="240" w:lineRule="auto"/>
        <w:ind w:left="1134" w:hanging="425"/>
        <w:contextualSpacing w:val="0"/>
        <w:rPr>
          <w:rFonts w:ascii="Arial" w:eastAsia="Calibri" w:hAnsi="Arial" w:cs="Arial"/>
          <w:bCs/>
          <w:color w:val="000000" w:themeColor="text1"/>
          <w:sz w:val="24"/>
          <w:szCs w:val="24"/>
        </w:rPr>
      </w:pPr>
      <w:r w:rsidRPr="004B41A1">
        <w:rPr>
          <w:rFonts w:ascii="Arial" w:eastAsia="Calibri" w:hAnsi="Arial" w:cs="Arial"/>
          <w:bCs/>
          <w:i/>
          <w:iCs/>
          <w:color w:val="000000" w:themeColor="text1"/>
          <w:sz w:val="24"/>
          <w:szCs w:val="24"/>
        </w:rPr>
        <w:t>Finance and Resource Allocation</w:t>
      </w:r>
      <w:r w:rsidRPr="004B41A1">
        <w:rPr>
          <w:rFonts w:ascii="Arial" w:eastAsia="Calibri" w:hAnsi="Arial" w:cs="Arial"/>
          <w:bCs/>
          <w:color w:val="000000" w:themeColor="text1"/>
          <w:sz w:val="24"/>
          <w:szCs w:val="24"/>
        </w:rPr>
        <w:t xml:space="preserve"> – Consider the budget allocation for the Pan Dorset and Somerset Child Death Review (CDR) arrangements and how this could be transformed.</w:t>
      </w:r>
    </w:p>
    <w:p w14:paraId="3490A149" w14:textId="72A922D1" w:rsidR="00945CA2" w:rsidRPr="004B41A1" w:rsidRDefault="00945CA2" w:rsidP="004B41A1">
      <w:pPr>
        <w:pStyle w:val="ListParagraph"/>
        <w:numPr>
          <w:ilvl w:val="2"/>
          <w:numId w:val="12"/>
        </w:numPr>
        <w:tabs>
          <w:tab w:val="left" w:pos="1134"/>
        </w:tabs>
        <w:spacing w:after="0" w:line="240" w:lineRule="auto"/>
        <w:ind w:left="1134" w:hanging="425"/>
        <w:contextualSpacing w:val="0"/>
        <w:rPr>
          <w:rFonts w:ascii="Arial" w:eastAsia="Calibri" w:hAnsi="Arial" w:cs="Arial"/>
          <w:bCs/>
          <w:color w:val="000000" w:themeColor="text1"/>
          <w:sz w:val="24"/>
          <w:szCs w:val="24"/>
        </w:rPr>
      </w:pPr>
      <w:r w:rsidRPr="004B41A1">
        <w:rPr>
          <w:rFonts w:ascii="Arial" w:eastAsia="Calibri" w:hAnsi="Arial" w:cs="Arial"/>
          <w:bCs/>
          <w:i/>
          <w:iCs/>
          <w:color w:val="000000" w:themeColor="text1"/>
          <w:sz w:val="24"/>
          <w:szCs w:val="24"/>
        </w:rPr>
        <w:t>Workforce</w:t>
      </w:r>
      <w:r w:rsidRPr="004B41A1">
        <w:rPr>
          <w:rFonts w:ascii="Arial" w:eastAsia="Calibri" w:hAnsi="Arial" w:cs="Arial"/>
          <w:bCs/>
          <w:color w:val="000000" w:themeColor="text1"/>
          <w:sz w:val="24"/>
          <w:szCs w:val="24"/>
        </w:rPr>
        <w:t xml:space="preserve"> – Consider development of a Pan Dorset and Somerset-wide system workforce for CDRs, equipped with the right skills, behaviours, and values. Emphasis to be placed on person-centred care for bereaved families, and ensuring consistent, high-quality support for them throughout the Child Death Review process.</w:t>
      </w:r>
    </w:p>
    <w:p w14:paraId="0D350866" w14:textId="77777777" w:rsidR="004F4F6B" w:rsidRPr="004B41A1" w:rsidRDefault="00945CA2" w:rsidP="004B41A1">
      <w:pPr>
        <w:pStyle w:val="ListParagraph"/>
        <w:numPr>
          <w:ilvl w:val="2"/>
          <w:numId w:val="12"/>
        </w:numPr>
        <w:tabs>
          <w:tab w:val="left" w:pos="1134"/>
        </w:tabs>
        <w:spacing w:after="0" w:line="240" w:lineRule="auto"/>
        <w:ind w:left="1134" w:hanging="425"/>
        <w:contextualSpacing w:val="0"/>
        <w:rPr>
          <w:rFonts w:ascii="Arial" w:hAnsi="Arial" w:cs="Arial"/>
          <w:sz w:val="24"/>
          <w:szCs w:val="24"/>
        </w:rPr>
      </w:pPr>
      <w:r w:rsidRPr="004B41A1">
        <w:rPr>
          <w:rFonts w:ascii="Arial" w:eastAsia="Calibri" w:hAnsi="Arial" w:cs="Arial"/>
          <w:bCs/>
          <w:i/>
          <w:iCs/>
          <w:color w:val="000000" w:themeColor="text1"/>
          <w:sz w:val="24"/>
          <w:szCs w:val="24"/>
        </w:rPr>
        <w:t>System Flow</w:t>
      </w:r>
      <w:r w:rsidRPr="004B41A1">
        <w:rPr>
          <w:rFonts w:ascii="Arial" w:eastAsia="Calibri" w:hAnsi="Arial" w:cs="Arial"/>
          <w:bCs/>
          <w:color w:val="000000" w:themeColor="text1"/>
          <w:sz w:val="24"/>
          <w:szCs w:val="24"/>
        </w:rPr>
        <w:t xml:space="preserve"> - Child Death Reviews highlight the importance of reviewing the entire pathway of care a child received prior to death</w:t>
      </w:r>
      <w:r w:rsidRPr="004B41A1">
        <w:rPr>
          <w:rFonts w:ascii="Arial" w:hAnsi="Arial" w:cs="Arial"/>
          <w:sz w:val="24"/>
          <w:szCs w:val="24"/>
        </w:rPr>
        <w:t xml:space="preserve">. </w:t>
      </w:r>
      <w:r w:rsidR="004F4F6B" w:rsidRPr="004B41A1">
        <w:rPr>
          <w:rFonts w:ascii="Arial" w:hAnsi="Arial" w:cs="Arial"/>
          <w:sz w:val="24"/>
          <w:szCs w:val="24"/>
        </w:rPr>
        <w:t>Consider how</w:t>
      </w:r>
      <w:r w:rsidRPr="004B41A1">
        <w:rPr>
          <w:rFonts w:ascii="Arial" w:hAnsi="Arial" w:cs="Arial"/>
          <w:sz w:val="24"/>
          <w:szCs w:val="24"/>
        </w:rPr>
        <w:t xml:space="preserve"> learning from deaths across multiple setting</w:t>
      </w:r>
      <w:r w:rsidR="004F4F6B" w:rsidRPr="004B41A1">
        <w:rPr>
          <w:rFonts w:ascii="Arial" w:hAnsi="Arial" w:cs="Arial"/>
          <w:sz w:val="24"/>
          <w:szCs w:val="24"/>
        </w:rPr>
        <w:t xml:space="preserve">s </w:t>
      </w:r>
      <w:r w:rsidRPr="004B41A1">
        <w:rPr>
          <w:rFonts w:ascii="Arial" w:hAnsi="Arial" w:cs="Arial"/>
          <w:sz w:val="24"/>
          <w:szCs w:val="24"/>
        </w:rPr>
        <w:t>identify where care systems can be improved to better meet the needs of children and their families</w:t>
      </w:r>
      <w:r w:rsidR="004F4F6B" w:rsidRPr="004B41A1">
        <w:rPr>
          <w:rFonts w:ascii="Arial" w:hAnsi="Arial" w:cs="Arial"/>
          <w:sz w:val="24"/>
          <w:szCs w:val="24"/>
        </w:rPr>
        <w:t>, and how effectively this learning is disseminated across the system</w:t>
      </w:r>
      <w:r w:rsidRPr="004B41A1">
        <w:rPr>
          <w:rFonts w:ascii="Arial" w:hAnsi="Arial" w:cs="Arial"/>
          <w:sz w:val="24"/>
          <w:szCs w:val="24"/>
        </w:rPr>
        <w:t>.</w:t>
      </w:r>
    </w:p>
    <w:p w14:paraId="56100854" w14:textId="2FE91718" w:rsidR="00945CA2" w:rsidRPr="004B41A1" w:rsidRDefault="00945CA2" w:rsidP="004B41A1">
      <w:pPr>
        <w:pStyle w:val="ListParagraph"/>
        <w:numPr>
          <w:ilvl w:val="2"/>
          <w:numId w:val="12"/>
        </w:numPr>
        <w:tabs>
          <w:tab w:val="left" w:pos="1134"/>
        </w:tabs>
        <w:spacing w:after="0" w:line="240" w:lineRule="auto"/>
        <w:ind w:left="1134" w:hanging="425"/>
        <w:contextualSpacing w:val="0"/>
        <w:rPr>
          <w:rStyle w:val="Strong"/>
          <w:rFonts w:ascii="Arial" w:hAnsi="Arial" w:cs="Arial"/>
          <w:b w:val="0"/>
          <w:bCs w:val="0"/>
          <w:sz w:val="24"/>
          <w:szCs w:val="24"/>
        </w:rPr>
      </w:pPr>
      <w:r w:rsidRPr="004B41A1">
        <w:rPr>
          <w:rStyle w:val="Strong"/>
          <w:rFonts w:ascii="Arial" w:hAnsi="Arial" w:cs="Arial"/>
          <w:b w:val="0"/>
          <w:bCs w:val="0"/>
          <w:i/>
          <w:iCs/>
          <w:sz w:val="24"/>
          <w:szCs w:val="24"/>
        </w:rPr>
        <w:t>Population Health Transformation</w:t>
      </w:r>
      <w:r w:rsidRPr="004B41A1">
        <w:rPr>
          <w:rStyle w:val="Strong"/>
          <w:rFonts w:ascii="Arial" w:hAnsi="Arial" w:cs="Arial"/>
          <w:b w:val="0"/>
          <w:bCs w:val="0"/>
          <w:sz w:val="24"/>
          <w:szCs w:val="24"/>
        </w:rPr>
        <w:t xml:space="preserve"> - </w:t>
      </w:r>
      <w:r w:rsidR="004F4F6B" w:rsidRPr="004B41A1">
        <w:rPr>
          <w:rStyle w:val="Strong"/>
          <w:rFonts w:ascii="Arial" w:hAnsi="Arial" w:cs="Arial"/>
          <w:b w:val="0"/>
          <w:bCs w:val="0"/>
          <w:sz w:val="24"/>
          <w:szCs w:val="24"/>
        </w:rPr>
        <w:t>Implement</w:t>
      </w:r>
      <w:r w:rsidRPr="004B41A1">
        <w:rPr>
          <w:rStyle w:val="Strong"/>
          <w:rFonts w:ascii="Arial" w:hAnsi="Arial" w:cs="Arial"/>
          <w:b w:val="0"/>
          <w:bCs w:val="0"/>
          <w:sz w:val="24"/>
          <w:szCs w:val="24"/>
        </w:rPr>
        <w:t xml:space="preserve"> broader population health goals including:</w:t>
      </w:r>
    </w:p>
    <w:p w14:paraId="4B08779F" w14:textId="37502AEF" w:rsidR="004F4F6B" w:rsidRPr="004B41A1" w:rsidRDefault="00945CA2" w:rsidP="004B41A1">
      <w:pPr>
        <w:pStyle w:val="NormalWeb"/>
        <w:numPr>
          <w:ilvl w:val="0"/>
          <w:numId w:val="18"/>
        </w:numPr>
        <w:spacing w:before="0" w:beforeAutospacing="0" w:after="0" w:afterAutospacing="0"/>
        <w:rPr>
          <w:rStyle w:val="Strong"/>
          <w:rFonts w:ascii="Arial" w:hAnsi="Arial" w:cs="Arial"/>
          <w:b w:val="0"/>
          <w:bCs w:val="0"/>
        </w:rPr>
      </w:pPr>
      <w:r w:rsidRPr="004B41A1">
        <w:rPr>
          <w:rStyle w:val="Strong"/>
          <w:rFonts w:ascii="Arial" w:hAnsi="Arial" w:cs="Arial"/>
          <w:b w:val="0"/>
          <w:bCs w:val="0"/>
        </w:rPr>
        <w:t>Publi</w:t>
      </w:r>
      <w:r w:rsidR="004F4F6B" w:rsidRPr="004B41A1">
        <w:rPr>
          <w:rStyle w:val="Strong"/>
          <w:rFonts w:ascii="Arial" w:hAnsi="Arial" w:cs="Arial"/>
          <w:b w:val="0"/>
          <w:bCs w:val="0"/>
        </w:rPr>
        <w:t>cation of</w:t>
      </w:r>
      <w:r w:rsidRPr="004B41A1">
        <w:rPr>
          <w:rStyle w:val="Strong"/>
          <w:rFonts w:ascii="Arial" w:hAnsi="Arial" w:cs="Arial"/>
          <w:b w:val="0"/>
          <w:bCs w:val="0"/>
        </w:rPr>
        <w:t xml:space="preserve"> </w:t>
      </w:r>
      <w:r w:rsidR="004F4F6B" w:rsidRPr="004B41A1">
        <w:rPr>
          <w:rStyle w:val="Strong"/>
          <w:rFonts w:ascii="Arial" w:hAnsi="Arial" w:cs="Arial"/>
          <w:b w:val="0"/>
          <w:bCs w:val="0"/>
        </w:rPr>
        <w:t xml:space="preserve">revised Child Death Review </w:t>
      </w:r>
      <w:r w:rsidRPr="004B41A1">
        <w:rPr>
          <w:rStyle w:val="Strong"/>
          <w:rFonts w:ascii="Arial" w:hAnsi="Arial" w:cs="Arial"/>
          <w:b w:val="0"/>
          <w:bCs w:val="0"/>
        </w:rPr>
        <w:t>arrangements</w:t>
      </w:r>
      <w:r w:rsidR="004F4F6B" w:rsidRPr="004B41A1">
        <w:rPr>
          <w:rStyle w:val="Strong"/>
          <w:rFonts w:ascii="Arial" w:hAnsi="Arial" w:cs="Arial"/>
          <w:b w:val="0"/>
          <w:bCs w:val="0"/>
        </w:rPr>
        <w:t xml:space="preserve"> once agreed</w:t>
      </w:r>
      <w:r w:rsidRPr="004B41A1">
        <w:rPr>
          <w:rStyle w:val="Strong"/>
          <w:rFonts w:ascii="Arial" w:hAnsi="Arial" w:cs="Arial"/>
          <w:b w:val="0"/>
          <w:bCs w:val="0"/>
        </w:rPr>
        <w:t xml:space="preserve"> </w:t>
      </w:r>
      <w:r w:rsidR="004F4F6B" w:rsidRPr="004B41A1">
        <w:rPr>
          <w:rStyle w:val="Strong"/>
          <w:rFonts w:ascii="Arial" w:hAnsi="Arial" w:cs="Arial"/>
          <w:b w:val="0"/>
          <w:bCs w:val="0"/>
        </w:rPr>
        <w:t>by Statutory Child Death Review partners.</w:t>
      </w:r>
    </w:p>
    <w:p w14:paraId="401C70EE" w14:textId="37BFA5CA" w:rsidR="00945CA2" w:rsidRPr="004B41A1" w:rsidRDefault="004F4F6B" w:rsidP="004B41A1">
      <w:pPr>
        <w:pStyle w:val="NormalWeb"/>
        <w:numPr>
          <w:ilvl w:val="0"/>
          <w:numId w:val="18"/>
        </w:numPr>
        <w:spacing w:before="0" w:beforeAutospacing="0" w:after="0" w:afterAutospacing="0"/>
        <w:rPr>
          <w:rStyle w:val="Strong"/>
          <w:rFonts w:ascii="Arial" w:hAnsi="Arial" w:cs="Arial"/>
          <w:b w:val="0"/>
          <w:bCs w:val="0"/>
        </w:rPr>
      </w:pPr>
      <w:r w:rsidRPr="004B41A1">
        <w:rPr>
          <w:rStyle w:val="Strong"/>
          <w:rFonts w:ascii="Arial" w:hAnsi="Arial" w:cs="Arial"/>
          <w:b w:val="0"/>
          <w:bCs w:val="0"/>
        </w:rPr>
        <w:t xml:space="preserve">Ensure </w:t>
      </w:r>
      <w:r w:rsidR="00945CA2" w:rsidRPr="004B41A1">
        <w:rPr>
          <w:rStyle w:val="Strong"/>
          <w:rFonts w:ascii="Arial" w:hAnsi="Arial" w:cs="Arial"/>
          <w:b w:val="0"/>
          <w:bCs w:val="0"/>
        </w:rPr>
        <w:t>learning</w:t>
      </w:r>
      <w:r w:rsidRPr="004B41A1">
        <w:rPr>
          <w:rStyle w:val="Strong"/>
          <w:rFonts w:ascii="Arial" w:hAnsi="Arial" w:cs="Arial"/>
          <w:b w:val="0"/>
          <w:bCs w:val="0"/>
        </w:rPr>
        <w:t xml:space="preserve"> from Child Death Reviews is shared across the system</w:t>
      </w:r>
      <w:r w:rsidR="00945CA2" w:rsidRPr="004B41A1">
        <w:rPr>
          <w:rStyle w:val="Strong"/>
          <w:rFonts w:ascii="Arial" w:hAnsi="Arial" w:cs="Arial"/>
          <w:b w:val="0"/>
          <w:bCs w:val="0"/>
        </w:rPr>
        <w:t>, while ensuring confidentiality.</w:t>
      </w:r>
    </w:p>
    <w:p w14:paraId="1E254250" w14:textId="3C85FD62" w:rsidR="00945CA2" w:rsidRDefault="00945CA2" w:rsidP="004B41A1">
      <w:pPr>
        <w:pStyle w:val="NormalWeb"/>
        <w:numPr>
          <w:ilvl w:val="0"/>
          <w:numId w:val="18"/>
        </w:numPr>
        <w:spacing w:before="0" w:beforeAutospacing="0" w:after="0" w:afterAutospacing="0"/>
        <w:rPr>
          <w:rStyle w:val="Strong"/>
          <w:rFonts w:ascii="Arial" w:hAnsi="Arial" w:cs="Arial"/>
          <w:b w:val="0"/>
          <w:bCs w:val="0"/>
        </w:rPr>
      </w:pPr>
      <w:r w:rsidRPr="004B41A1">
        <w:rPr>
          <w:rStyle w:val="Strong"/>
          <w:rFonts w:ascii="Arial" w:hAnsi="Arial" w:cs="Arial"/>
          <w:b w:val="0"/>
          <w:bCs w:val="0"/>
        </w:rPr>
        <w:t>Collaborating across</w:t>
      </w:r>
      <w:r w:rsidR="004F4F6B" w:rsidRPr="004B41A1">
        <w:rPr>
          <w:rStyle w:val="Strong"/>
          <w:rFonts w:ascii="Arial" w:hAnsi="Arial" w:cs="Arial"/>
          <w:b w:val="0"/>
          <w:bCs w:val="0"/>
        </w:rPr>
        <w:t xml:space="preserve"> regional and national CDOP</w:t>
      </w:r>
      <w:r w:rsidRPr="004B41A1">
        <w:rPr>
          <w:rStyle w:val="Strong"/>
          <w:rFonts w:ascii="Arial" w:hAnsi="Arial" w:cs="Arial"/>
          <w:b w:val="0"/>
          <w:bCs w:val="0"/>
        </w:rPr>
        <w:t xml:space="preserve"> areas to identify wider patterns and prevent future deaths.</w:t>
      </w:r>
    </w:p>
    <w:p w14:paraId="1CDE80A3" w14:textId="77777777" w:rsidR="002A7C13" w:rsidRPr="004B41A1" w:rsidRDefault="002A7C13" w:rsidP="002A7C13">
      <w:pPr>
        <w:pStyle w:val="NormalWeb"/>
        <w:spacing w:before="0" w:beforeAutospacing="0" w:after="0" w:afterAutospacing="0"/>
        <w:ind w:left="1440"/>
        <w:rPr>
          <w:rStyle w:val="Strong"/>
          <w:rFonts w:ascii="Arial" w:hAnsi="Arial" w:cs="Arial"/>
          <w:b w:val="0"/>
          <w:bCs w:val="0"/>
        </w:rPr>
      </w:pPr>
    </w:p>
    <w:p w14:paraId="4320CEC4" w14:textId="3F4DA707" w:rsidR="002A7C13" w:rsidRPr="002A7C13" w:rsidRDefault="002A7C13" w:rsidP="002A7C13">
      <w:pPr>
        <w:pStyle w:val="ListParagraph"/>
        <w:numPr>
          <w:ilvl w:val="0"/>
          <w:numId w:val="18"/>
        </w:numPr>
        <w:tabs>
          <w:tab w:val="clear" w:pos="1440"/>
        </w:tabs>
        <w:spacing w:after="0" w:line="240" w:lineRule="auto"/>
        <w:ind w:left="709" w:hanging="709"/>
        <w:rPr>
          <w:rStyle w:val="Strong"/>
          <w:rFonts w:ascii="Arial" w:hAnsi="Arial" w:cs="Arial"/>
          <w:b w:val="0"/>
          <w:sz w:val="24"/>
          <w:szCs w:val="24"/>
        </w:rPr>
      </w:pPr>
      <w:r>
        <w:rPr>
          <w:rFonts w:ascii="Arial" w:hAnsi="Arial" w:cs="Arial"/>
          <w:bCs/>
          <w:sz w:val="24"/>
          <w:szCs w:val="24"/>
        </w:rPr>
        <w:t>C</w:t>
      </w:r>
      <w:r w:rsidR="004B41A1" w:rsidRPr="002A7C13">
        <w:rPr>
          <w:rFonts w:ascii="Arial" w:hAnsi="Arial" w:cs="Arial"/>
          <w:bCs/>
          <w:sz w:val="24"/>
          <w:szCs w:val="24"/>
        </w:rPr>
        <w:t>onsider how</w:t>
      </w:r>
      <w:r w:rsidR="00945CA2" w:rsidRPr="002A7C13">
        <w:rPr>
          <w:rFonts w:ascii="Arial" w:hAnsi="Arial" w:cs="Arial"/>
          <w:bCs/>
          <w:sz w:val="24"/>
          <w:szCs w:val="24"/>
        </w:rPr>
        <w:t xml:space="preserve"> revi</w:t>
      </w:r>
      <w:r w:rsidR="004B41A1" w:rsidRPr="002A7C13">
        <w:rPr>
          <w:rFonts w:ascii="Arial" w:hAnsi="Arial" w:cs="Arial"/>
          <w:bCs/>
          <w:sz w:val="24"/>
          <w:szCs w:val="24"/>
        </w:rPr>
        <w:t>sed</w:t>
      </w:r>
      <w:r w:rsidR="00945CA2" w:rsidRPr="002A7C13">
        <w:rPr>
          <w:rFonts w:ascii="Arial" w:hAnsi="Arial" w:cs="Arial"/>
          <w:bCs/>
          <w:sz w:val="24"/>
          <w:szCs w:val="24"/>
        </w:rPr>
        <w:t xml:space="preserve"> Child Death Review (CDR) </w:t>
      </w:r>
      <w:r w:rsidR="004B41A1" w:rsidRPr="002A7C13">
        <w:rPr>
          <w:rFonts w:ascii="Arial" w:hAnsi="Arial" w:cs="Arial"/>
          <w:bCs/>
          <w:sz w:val="24"/>
          <w:szCs w:val="24"/>
        </w:rPr>
        <w:t>arrangements</w:t>
      </w:r>
      <w:r w:rsidR="00945CA2" w:rsidRPr="002A7C13">
        <w:rPr>
          <w:rFonts w:ascii="Arial" w:hAnsi="Arial" w:cs="Arial"/>
          <w:bCs/>
          <w:sz w:val="24"/>
          <w:szCs w:val="24"/>
        </w:rPr>
        <w:t xml:space="preserve"> </w:t>
      </w:r>
      <w:r>
        <w:rPr>
          <w:rFonts w:ascii="Arial" w:hAnsi="Arial" w:cs="Arial"/>
          <w:bCs/>
          <w:sz w:val="24"/>
          <w:szCs w:val="24"/>
        </w:rPr>
        <w:t xml:space="preserve">can </w:t>
      </w:r>
      <w:r w:rsidR="00945CA2" w:rsidRPr="002A7C13">
        <w:rPr>
          <w:rFonts w:ascii="Arial" w:hAnsi="Arial" w:cs="Arial"/>
          <w:bCs/>
          <w:sz w:val="24"/>
          <w:szCs w:val="24"/>
        </w:rPr>
        <w:t>directly support th</w:t>
      </w:r>
      <w:r w:rsidR="004B41A1" w:rsidRPr="002A7C13">
        <w:rPr>
          <w:rFonts w:ascii="Arial" w:hAnsi="Arial" w:cs="Arial"/>
          <w:bCs/>
          <w:sz w:val="24"/>
          <w:szCs w:val="24"/>
        </w:rPr>
        <w:t>e</w:t>
      </w:r>
      <w:r w:rsidR="00945CA2" w:rsidRPr="002A7C13">
        <w:rPr>
          <w:rFonts w:ascii="Arial" w:hAnsi="Arial" w:cs="Arial"/>
          <w:bCs/>
          <w:sz w:val="24"/>
          <w:szCs w:val="24"/>
        </w:rPr>
        <w:t xml:space="preserve"> </w:t>
      </w:r>
      <w:r w:rsidR="004B41A1" w:rsidRPr="002A7C13">
        <w:rPr>
          <w:rFonts w:ascii="Arial" w:hAnsi="Arial" w:cs="Arial"/>
          <w:bCs/>
          <w:sz w:val="24"/>
          <w:szCs w:val="24"/>
        </w:rPr>
        <w:t>priorities outlined within the</w:t>
      </w:r>
      <w:r w:rsidR="00945CA2" w:rsidRPr="002A7C13">
        <w:rPr>
          <w:rFonts w:ascii="Arial" w:hAnsi="Arial" w:cs="Arial"/>
          <w:bCs/>
          <w:sz w:val="24"/>
          <w:szCs w:val="24"/>
        </w:rPr>
        <w:t xml:space="preserve"> </w:t>
      </w:r>
      <w:r w:rsidR="004B41A1" w:rsidRPr="002A7C13">
        <w:rPr>
          <w:rFonts w:ascii="Arial" w:hAnsi="Arial" w:cs="Arial"/>
          <w:bCs/>
          <w:sz w:val="24"/>
          <w:szCs w:val="24"/>
        </w:rPr>
        <w:t>Somerset Improving Lives Strategy 2019 to 2028</w:t>
      </w:r>
      <w:r>
        <w:rPr>
          <w:rFonts w:ascii="Arial" w:hAnsi="Arial" w:cs="Arial"/>
          <w:bCs/>
          <w:sz w:val="24"/>
          <w:szCs w:val="24"/>
        </w:rPr>
        <w:t>:</w:t>
      </w:r>
    </w:p>
    <w:p w14:paraId="481D10B9" w14:textId="79009A27" w:rsidR="00945CA2" w:rsidRPr="002A7C13" w:rsidRDefault="00945CA2" w:rsidP="002A7C13">
      <w:pPr>
        <w:pStyle w:val="ListParagraph"/>
        <w:numPr>
          <w:ilvl w:val="2"/>
          <w:numId w:val="12"/>
        </w:numPr>
        <w:tabs>
          <w:tab w:val="left" w:pos="1134"/>
        </w:tabs>
        <w:spacing w:after="0" w:line="240" w:lineRule="auto"/>
        <w:ind w:left="1134" w:hanging="425"/>
        <w:contextualSpacing w:val="0"/>
        <w:rPr>
          <w:rFonts w:ascii="Arial" w:eastAsia="Calibri" w:hAnsi="Arial" w:cs="Arial"/>
          <w:bCs/>
          <w:color w:val="000000" w:themeColor="text1"/>
          <w:sz w:val="24"/>
          <w:szCs w:val="24"/>
        </w:rPr>
      </w:pPr>
      <w:r w:rsidRPr="002A7C13">
        <w:rPr>
          <w:rFonts w:ascii="Arial" w:eastAsia="Calibri" w:hAnsi="Arial" w:cs="Arial"/>
          <w:i/>
          <w:iCs/>
          <w:color w:val="000000" w:themeColor="text1"/>
          <w:sz w:val="24"/>
          <w:szCs w:val="24"/>
        </w:rPr>
        <w:lastRenderedPageBreak/>
        <w:t>Prevention and Early Intervention</w:t>
      </w:r>
      <w:r w:rsidRPr="002A7C13">
        <w:rPr>
          <w:rFonts w:ascii="Arial" w:eastAsia="Calibri" w:hAnsi="Arial" w:cs="Arial"/>
          <w:bCs/>
          <w:color w:val="000000" w:themeColor="text1"/>
          <w:sz w:val="24"/>
          <w:szCs w:val="24"/>
        </w:rPr>
        <w:t>:</w:t>
      </w:r>
      <w:r w:rsidR="002A7C13">
        <w:rPr>
          <w:rFonts w:ascii="Arial" w:eastAsia="Calibri" w:hAnsi="Arial" w:cs="Arial"/>
          <w:bCs/>
          <w:color w:val="000000" w:themeColor="text1"/>
          <w:sz w:val="24"/>
          <w:szCs w:val="24"/>
        </w:rPr>
        <w:t xml:space="preserve"> </w:t>
      </w:r>
      <w:r w:rsidRPr="002A7C13">
        <w:rPr>
          <w:rFonts w:ascii="Arial" w:eastAsia="Calibri" w:hAnsi="Arial" w:cs="Arial"/>
          <w:bCs/>
          <w:color w:val="000000" w:themeColor="text1"/>
          <w:sz w:val="24"/>
          <w:szCs w:val="24"/>
        </w:rPr>
        <w:t>CDR</w:t>
      </w:r>
      <w:r w:rsidR="002A7C13">
        <w:rPr>
          <w:rFonts w:ascii="Arial" w:eastAsia="Calibri" w:hAnsi="Arial" w:cs="Arial"/>
          <w:bCs/>
          <w:color w:val="000000" w:themeColor="text1"/>
          <w:sz w:val="24"/>
          <w:szCs w:val="24"/>
        </w:rPr>
        <w:t>s</w:t>
      </w:r>
      <w:r w:rsidRPr="002A7C13">
        <w:rPr>
          <w:rFonts w:ascii="Arial" w:eastAsia="Calibri" w:hAnsi="Arial" w:cs="Arial"/>
          <w:bCs/>
          <w:color w:val="000000" w:themeColor="text1"/>
          <w:sz w:val="24"/>
          <w:szCs w:val="24"/>
        </w:rPr>
        <w:t xml:space="preserve"> identif</w:t>
      </w:r>
      <w:r w:rsidR="002A7C13">
        <w:rPr>
          <w:rFonts w:ascii="Arial" w:eastAsia="Calibri" w:hAnsi="Arial" w:cs="Arial"/>
          <w:bCs/>
          <w:color w:val="000000" w:themeColor="text1"/>
          <w:sz w:val="24"/>
          <w:szCs w:val="24"/>
        </w:rPr>
        <w:t>y</w:t>
      </w:r>
      <w:r w:rsidRPr="002A7C13">
        <w:rPr>
          <w:rFonts w:ascii="Arial" w:eastAsia="Calibri" w:hAnsi="Arial" w:cs="Arial"/>
          <w:bCs/>
          <w:color w:val="000000" w:themeColor="text1"/>
          <w:sz w:val="24"/>
          <w:szCs w:val="24"/>
        </w:rPr>
        <w:t xml:space="preserve"> social, environmental, and systemic factors contributing to child deaths, enabling targeted action to reduce future risks and improve outcomes for children and families.</w:t>
      </w:r>
    </w:p>
    <w:p w14:paraId="1E176B37" w14:textId="1AAACF1C" w:rsidR="00945CA2" w:rsidRPr="002A7C13" w:rsidRDefault="00945CA2" w:rsidP="002A7C13">
      <w:pPr>
        <w:pStyle w:val="ListParagraph"/>
        <w:numPr>
          <w:ilvl w:val="2"/>
          <w:numId w:val="12"/>
        </w:numPr>
        <w:tabs>
          <w:tab w:val="left" w:pos="1134"/>
        </w:tabs>
        <w:spacing w:after="0" w:line="240" w:lineRule="auto"/>
        <w:ind w:left="1134" w:hanging="425"/>
        <w:contextualSpacing w:val="0"/>
        <w:rPr>
          <w:rFonts w:ascii="Arial" w:eastAsia="Calibri" w:hAnsi="Arial" w:cs="Arial"/>
          <w:bCs/>
          <w:color w:val="000000" w:themeColor="text1"/>
          <w:sz w:val="24"/>
          <w:szCs w:val="24"/>
        </w:rPr>
      </w:pPr>
      <w:r w:rsidRPr="002A7C13">
        <w:rPr>
          <w:rFonts w:ascii="Arial" w:eastAsia="Calibri" w:hAnsi="Arial" w:cs="Arial"/>
          <w:i/>
          <w:iCs/>
          <w:color w:val="000000" w:themeColor="text1"/>
          <w:sz w:val="24"/>
          <w:szCs w:val="24"/>
        </w:rPr>
        <w:t>Cross-System Leadership and Collaboration</w:t>
      </w:r>
      <w:r w:rsidRPr="002A7C13">
        <w:rPr>
          <w:rFonts w:ascii="Arial" w:eastAsia="Calibri" w:hAnsi="Arial" w:cs="Arial"/>
          <w:bCs/>
          <w:color w:val="000000" w:themeColor="text1"/>
          <w:sz w:val="24"/>
          <w:szCs w:val="24"/>
        </w:rPr>
        <w:t xml:space="preserve">: </w:t>
      </w:r>
      <w:r w:rsidR="002A7C13">
        <w:rPr>
          <w:rFonts w:ascii="Arial" w:eastAsia="Calibri" w:hAnsi="Arial" w:cs="Arial"/>
          <w:bCs/>
          <w:color w:val="000000" w:themeColor="text1"/>
          <w:sz w:val="24"/>
          <w:szCs w:val="24"/>
        </w:rPr>
        <w:t>High quality</w:t>
      </w:r>
      <w:r w:rsidRPr="002A7C13">
        <w:rPr>
          <w:rFonts w:ascii="Arial" w:eastAsia="Calibri" w:hAnsi="Arial" w:cs="Arial"/>
          <w:bCs/>
          <w:color w:val="000000" w:themeColor="text1"/>
          <w:sz w:val="24"/>
          <w:szCs w:val="24"/>
        </w:rPr>
        <w:t xml:space="preserve"> CDR</w:t>
      </w:r>
      <w:r w:rsidR="002A7C13">
        <w:rPr>
          <w:rFonts w:ascii="Arial" w:eastAsia="Calibri" w:hAnsi="Arial" w:cs="Arial"/>
          <w:bCs/>
          <w:color w:val="000000" w:themeColor="text1"/>
          <w:sz w:val="24"/>
          <w:szCs w:val="24"/>
        </w:rPr>
        <w:t>s</w:t>
      </w:r>
      <w:r w:rsidRPr="002A7C13">
        <w:rPr>
          <w:rFonts w:ascii="Arial" w:eastAsia="Calibri" w:hAnsi="Arial" w:cs="Arial"/>
          <w:bCs/>
          <w:color w:val="000000" w:themeColor="text1"/>
          <w:sz w:val="24"/>
          <w:szCs w:val="24"/>
        </w:rPr>
        <w:t xml:space="preserve"> requires strong leadership and a coordinated, multi-agency approach—mirroring the strategy’s call for integrated public service delivery.</w:t>
      </w:r>
    </w:p>
    <w:p w14:paraId="0378E6F0" w14:textId="569FEA19" w:rsidR="00945CA2" w:rsidRPr="002A7C13" w:rsidRDefault="00945CA2" w:rsidP="002A7C13">
      <w:pPr>
        <w:pStyle w:val="ListParagraph"/>
        <w:numPr>
          <w:ilvl w:val="2"/>
          <w:numId w:val="12"/>
        </w:numPr>
        <w:tabs>
          <w:tab w:val="left" w:pos="1134"/>
        </w:tabs>
        <w:spacing w:after="0" w:line="240" w:lineRule="auto"/>
        <w:ind w:left="1134" w:hanging="425"/>
        <w:contextualSpacing w:val="0"/>
        <w:rPr>
          <w:rFonts w:ascii="Arial" w:eastAsia="Calibri" w:hAnsi="Arial" w:cs="Arial"/>
          <w:bCs/>
          <w:color w:val="000000" w:themeColor="text1"/>
          <w:sz w:val="24"/>
          <w:szCs w:val="24"/>
        </w:rPr>
      </w:pPr>
      <w:r w:rsidRPr="002A7C13">
        <w:rPr>
          <w:rFonts w:ascii="Arial" w:eastAsia="Calibri" w:hAnsi="Arial" w:cs="Arial"/>
          <w:i/>
          <w:iCs/>
          <w:color w:val="000000" w:themeColor="text1"/>
          <w:sz w:val="24"/>
          <w:szCs w:val="24"/>
        </w:rPr>
        <w:t>Equity and Inclusion</w:t>
      </w:r>
      <w:r w:rsidRPr="002A7C13">
        <w:rPr>
          <w:rFonts w:ascii="Arial" w:eastAsia="Calibri" w:hAnsi="Arial" w:cs="Arial"/>
          <w:bCs/>
          <w:color w:val="000000" w:themeColor="text1"/>
          <w:sz w:val="24"/>
          <w:szCs w:val="24"/>
        </w:rPr>
        <w:t xml:space="preserve">: </w:t>
      </w:r>
      <w:r w:rsidR="002A7C13">
        <w:rPr>
          <w:rFonts w:ascii="Arial" w:eastAsia="Calibri" w:hAnsi="Arial" w:cs="Arial"/>
          <w:bCs/>
          <w:color w:val="000000" w:themeColor="text1"/>
          <w:sz w:val="24"/>
          <w:szCs w:val="24"/>
        </w:rPr>
        <w:t>L</w:t>
      </w:r>
      <w:r w:rsidR="002A7C13" w:rsidRPr="002A7C13">
        <w:rPr>
          <w:rFonts w:ascii="Arial" w:eastAsia="Calibri" w:hAnsi="Arial" w:cs="Arial"/>
          <w:bCs/>
          <w:color w:val="000000" w:themeColor="text1"/>
          <w:sz w:val="24"/>
          <w:szCs w:val="24"/>
        </w:rPr>
        <w:t>earning</w:t>
      </w:r>
      <w:r w:rsidR="002A7C13">
        <w:rPr>
          <w:rFonts w:ascii="Arial" w:eastAsia="Calibri" w:hAnsi="Arial" w:cs="Arial"/>
          <w:bCs/>
          <w:color w:val="000000" w:themeColor="text1"/>
          <w:sz w:val="24"/>
          <w:szCs w:val="24"/>
        </w:rPr>
        <w:t xml:space="preserve"> arising from</w:t>
      </w:r>
      <w:r w:rsidR="002A7C13" w:rsidRPr="002A7C13">
        <w:rPr>
          <w:rFonts w:ascii="Arial" w:eastAsia="Calibri" w:hAnsi="Arial" w:cs="Arial"/>
          <w:bCs/>
          <w:color w:val="000000" w:themeColor="text1"/>
          <w:sz w:val="24"/>
          <w:szCs w:val="24"/>
        </w:rPr>
        <w:t xml:space="preserve"> </w:t>
      </w:r>
      <w:r w:rsidRPr="002A7C13">
        <w:rPr>
          <w:rFonts w:ascii="Arial" w:eastAsia="Calibri" w:hAnsi="Arial" w:cs="Arial"/>
          <w:bCs/>
          <w:color w:val="000000" w:themeColor="text1"/>
          <w:sz w:val="24"/>
          <w:szCs w:val="24"/>
        </w:rPr>
        <w:t>CDR</w:t>
      </w:r>
      <w:r w:rsidR="002A7C13">
        <w:rPr>
          <w:rFonts w:ascii="Arial" w:eastAsia="Calibri" w:hAnsi="Arial" w:cs="Arial"/>
          <w:bCs/>
          <w:color w:val="000000" w:themeColor="text1"/>
          <w:sz w:val="24"/>
          <w:szCs w:val="24"/>
        </w:rPr>
        <w:t>s</w:t>
      </w:r>
      <w:r w:rsidRPr="002A7C13">
        <w:rPr>
          <w:rFonts w:ascii="Arial" w:eastAsia="Calibri" w:hAnsi="Arial" w:cs="Arial"/>
          <w:bCs/>
          <w:color w:val="000000" w:themeColor="text1"/>
          <w:sz w:val="24"/>
          <w:szCs w:val="24"/>
        </w:rPr>
        <w:t xml:space="preserve"> support the development of services that are inclusive and equitable, improving outcomes without disadvantaging specific population groups.</w:t>
      </w:r>
    </w:p>
    <w:p w14:paraId="50404361" w14:textId="77777777" w:rsidR="00945CA2" w:rsidRPr="004B41A1" w:rsidRDefault="00945CA2" w:rsidP="002A7C13">
      <w:pPr>
        <w:pStyle w:val="ListParagraph"/>
        <w:numPr>
          <w:ilvl w:val="2"/>
          <w:numId w:val="12"/>
        </w:numPr>
        <w:tabs>
          <w:tab w:val="left" w:pos="1134"/>
        </w:tabs>
        <w:spacing w:after="0" w:line="240" w:lineRule="auto"/>
        <w:ind w:left="1134" w:hanging="425"/>
        <w:contextualSpacing w:val="0"/>
        <w:rPr>
          <w:rFonts w:ascii="Arial" w:hAnsi="Arial" w:cs="Arial"/>
          <w:bCs/>
          <w:sz w:val="24"/>
          <w:szCs w:val="24"/>
        </w:rPr>
      </w:pPr>
      <w:r w:rsidRPr="002A7C13">
        <w:rPr>
          <w:rFonts w:ascii="Arial" w:eastAsia="Calibri" w:hAnsi="Arial" w:cs="Arial"/>
          <w:i/>
          <w:iCs/>
          <w:color w:val="000000" w:themeColor="text1"/>
          <w:sz w:val="24"/>
          <w:szCs w:val="24"/>
        </w:rPr>
        <w:t>System Integration and Sustainability</w:t>
      </w:r>
      <w:r w:rsidRPr="002A7C13">
        <w:rPr>
          <w:rFonts w:ascii="Arial" w:eastAsia="Calibri" w:hAnsi="Arial" w:cs="Arial"/>
          <w:bCs/>
          <w:color w:val="000000" w:themeColor="text1"/>
          <w:sz w:val="24"/>
          <w:szCs w:val="24"/>
        </w:rPr>
        <w:t xml:space="preserve">: Improved CDR processes contribute to a </w:t>
      </w:r>
      <w:r w:rsidRPr="002A7C13">
        <w:rPr>
          <w:rFonts w:ascii="Arial" w:eastAsia="Calibri" w:hAnsi="Arial" w:cs="Arial"/>
          <w:color w:val="000000" w:themeColor="text1"/>
          <w:sz w:val="24"/>
          <w:szCs w:val="24"/>
        </w:rPr>
        <w:t>countywide infrastructure</w:t>
      </w:r>
      <w:r w:rsidRPr="002A7C13">
        <w:rPr>
          <w:rFonts w:ascii="Arial" w:eastAsia="Calibri" w:hAnsi="Arial" w:cs="Arial"/>
          <w:bCs/>
          <w:color w:val="000000" w:themeColor="text1"/>
          <w:sz w:val="24"/>
          <w:szCs w:val="24"/>
        </w:rPr>
        <w:t xml:space="preserve"> that connects health, care, safeguarding, and community systems—supporting long-term sustainability and better public service</w:t>
      </w:r>
      <w:r w:rsidRPr="004B41A1">
        <w:rPr>
          <w:rFonts w:ascii="Arial" w:hAnsi="Arial" w:cs="Arial"/>
          <w:bCs/>
          <w:sz w:val="24"/>
          <w:szCs w:val="24"/>
        </w:rPr>
        <w:t xml:space="preserve"> delivery.</w:t>
      </w:r>
    </w:p>
    <w:p w14:paraId="34DC093D" w14:textId="77777777" w:rsidR="00945CA2" w:rsidRPr="002A7C13" w:rsidRDefault="00945CA2" w:rsidP="002A7C13">
      <w:pPr>
        <w:tabs>
          <w:tab w:val="left" w:pos="709"/>
        </w:tabs>
        <w:spacing w:after="0" w:line="240" w:lineRule="auto"/>
        <w:rPr>
          <w:rFonts w:ascii="Arial" w:eastAsia="Calibri" w:hAnsi="Arial" w:cs="Arial"/>
          <w:bCs/>
          <w:color w:val="000000" w:themeColor="text1"/>
          <w:sz w:val="24"/>
          <w:szCs w:val="24"/>
        </w:rPr>
      </w:pPr>
    </w:p>
    <w:p w14:paraId="7021E675" w14:textId="58A14825" w:rsidR="002A7C13" w:rsidRPr="00C50333" w:rsidRDefault="00361ECB" w:rsidP="00C50333">
      <w:pPr>
        <w:pStyle w:val="ListParagraph"/>
        <w:numPr>
          <w:ilvl w:val="0"/>
          <w:numId w:val="12"/>
        </w:numPr>
        <w:tabs>
          <w:tab w:val="left" w:pos="709"/>
        </w:tabs>
        <w:spacing w:after="0" w:line="240" w:lineRule="auto"/>
        <w:ind w:left="709" w:hanging="709"/>
        <w:contextualSpacing w:val="0"/>
        <w:rPr>
          <w:rFonts w:ascii="Arial" w:eastAsia="Calibri" w:hAnsi="Arial" w:cs="Arial"/>
          <w:bCs/>
          <w:color w:val="000000" w:themeColor="text1"/>
          <w:sz w:val="24"/>
          <w:szCs w:val="24"/>
        </w:rPr>
      </w:pPr>
      <w:r w:rsidRPr="004B41A1">
        <w:rPr>
          <w:rFonts w:ascii="Arial" w:eastAsia="Calibri" w:hAnsi="Arial" w:cs="Arial"/>
          <w:bCs/>
          <w:color w:val="000000" w:themeColor="text1"/>
          <w:sz w:val="24"/>
          <w:szCs w:val="24"/>
        </w:rPr>
        <w:t>Contribute to ‘test and learn activity’ in relation to safeguarding</w:t>
      </w:r>
      <w:r w:rsidR="002F693C" w:rsidRPr="004B41A1">
        <w:rPr>
          <w:rFonts w:ascii="Arial" w:eastAsia="Calibri" w:hAnsi="Arial" w:cs="Arial"/>
          <w:bCs/>
          <w:color w:val="000000" w:themeColor="text1"/>
          <w:sz w:val="24"/>
          <w:szCs w:val="24"/>
        </w:rPr>
        <w:t xml:space="preserve"> children and child death review</w:t>
      </w:r>
      <w:r w:rsidRPr="004B41A1">
        <w:rPr>
          <w:rFonts w:ascii="Arial" w:eastAsia="Calibri" w:hAnsi="Arial" w:cs="Arial"/>
          <w:bCs/>
          <w:color w:val="000000" w:themeColor="text1"/>
          <w:sz w:val="24"/>
          <w:szCs w:val="24"/>
        </w:rPr>
        <w:t xml:space="preserve"> roles and responsibilities</w:t>
      </w:r>
      <w:r w:rsidR="00C50333">
        <w:rPr>
          <w:rFonts w:ascii="Arial" w:eastAsia="Calibri" w:hAnsi="Arial" w:cs="Arial"/>
          <w:bCs/>
          <w:color w:val="000000" w:themeColor="text1"/>
          <w:sz w:val="24"/>
          <w:szCs w:val="24"/>
        </w:rPr>
        <w:t xml:space="preserve"> </w:t>
      </w:r>
      <w:r w:rsidRPr="004B41A1">
        <w:rPr>
          <w:rFonts w:ascii="Arial" w:eastAsia="Calibri" w:hAnsi="Arial" w:cs="Arial"/>
          <w:bCs/>
          <w:color w:val="000000" w:themeColor="text1"/>
          <w:sz w:val="24"/>
          <w:szCs w:val="24"/>
        </w:rPr>
        <w:t xml:space="preserve">being undertaken within </w:t>
      </w:r>
      <w:r w:rsidR="002F693C" w:rsidRPr="004B41A1">
        <w:rPr>
          <w:rFonts w:ascii="Arial" w:eastAsia="Calibri" w:hAnsi="Arial" w:cs="Arial"/>
          <w:bCs/>
          <w:color w:val="000000" w:themeColor="text1"/>
          <w:sz w:val="24"/>
          <w:szCs w:val="24"/>
        </w:rPr>
        <w:t xml:space="preserve">the </w:t>
      </w:r>
      <w:r w:rsidRPr="004B41A1">
        <w:rPr>
          <w:rFonts w:ascii="Arial" w:eastAsia="Calibri" w:hAnsi="Arial" w:cs="Arial"/>
          <w:bCs/>
          <w:color w:val="000000" w:themeColor="text1"/>
          <w:sz w:val="24"/>
          <w:szCs w:val="24"/>
        </w:rPr>
        <w:t>new ICB cluster arrangement</w:t>
      </w:r>
      <w:r w:rsidR="00C50333">
        <w:rPr>
          <w:rFonts w:ascii="Arial" w:eastAsia="Calibri" w:hAnsi="Arial" w:cs="Arial"/>
          <w:bCs/>
          <w:color w:val="000000" w:themeColor="text1"/>
          <w:sz w:val="24"/>
          <w:szCs w:val="24"/>
        </w:rPr>
        <w:t>, which will include:</w:t>
      </w:r>
    </w:p>
    <w:p w14:paraId="4C7545F2" w14:textId="77777777" w:rsidR="00C50333" w:rsidRDefault="00361ECB" w:rsidP="00C50333">
      <w:pPr>
        <w:pStyle w:val="ListParagraph"/>
        <w:numPr>
          <w:ilvl w:val="2"/>
          <w:numId w:val="12"/>
        </w:numPr>
        <w:tabs>
          <w:tab w:val="left" w:pos="1134"/>
        </w:tabs>
        <w:spacing w:after="0" w:line="240" w:lineRule="auto"/>
        <w:ind w:left="1134" w:hanging="425"/>
        <w:contextualSpacing w:val="0"/>
        <w:rPr>
          <w:rFonts w:ascii="Arial" w:eastAsia="Calibri" w:hAnsi="Arial" w:cs="Arial"/>
          <w:bCs/>
          <w:color w:val="000000" w:themeColor="text1"/>
          <w:sz w:val="24"/>
          <w:szCs w:val="24"/>
        </w:rPr>
      </w:pPr>
      <w:r w:rsidRPr="004B41A1">
        <w:rPr>
          <w:rFonts w:ascii="Arial" w:eastAsia="Calibri" w:hAnsi="Arial" w:cs="Arial"/>
          <w:bCs/>
          <w:color w:val="000000" w:themeColor="text1"/>
          <w:sz w:val="24"/>
          <w:szCs w:val="24"/>
        </w:rPr>
        <w:t>Defin</w:t>
      </w:r>
      <w:r w:rsidR="00C50333">
        <w:rPr>
          <w:rFonts w:ascii="Arial" w:eastAsia="Calibri" w:hAnsi="Arial" w:cs="Arial"/>
          <w:bCs/>
          <w:color w:val="000000" w:themeColor="text1"/>
          <w:sz w:val="24"/>
          <w:szCs w:val="24"/>
        </w:rPr>
        <w:t>ing</w:t>
      </w:r>
      <w:r w:rsidRPr="004B41A1">
        <w:rPr>
          <w:rFonts w:ascii="Arial" w:eastAsia="Calibri" w:hAnsi="Arial" w:cs="Arial"/>
          <w:bCs/>
          <w:color w:val="000000" w:themeColor="text1"/>
          <w:sz w:val="24"/>
          <w:szCs w:val="24"/>
        </w:rPr>
        <w:t xml:space="preserve"> our statutory safeguarding</w:t>
      </w:r>
      <w:r w:rsidR="002F693C" w:rsidRPr="004B41A1">
        <w:rPr>
          <w:rFonts w:ascii="Arial" w:eastAsia="Calibri" w:hAnsi="Arial" w:cs="Arial"/>
          <w:bCs/>
          <w:color w:val="000000" w:themeColor="text1"/>
          <w:sz w:val="24"/>
          <w:szCs w:val="24"/>
        </w:rPr>
        <w:t xml:space="preserve"> children </w:t>
      </w:r>
      <w:r w:rsidRPr="004B41A1">
        <w:rPr>
          <w:rFonts w:ascii="Arial" w:eastAsia="Calibri" w:hAnsi="Arial" w:cs="Arial"/>
          <w:bCs/>
          <w:color w:val="000000" w:themeColor="text1"/>
          <w:sz w:val="24"/>
          <w:szCs w:val="24"/>
        </w:rPr>
        <w:t>duties in line with revised Model ICB plans issued as part of the governments NHS Reforms 2025.</w:t>
      </w:r>
    </w:p>
    <w:p w14:paraId="39ECBA63" w14:textId="36E00D91" w:rsidR="00C50333" w:rsidRPr="00C50333" w:rsidRDefault="00E55A83" w:rsidP="00C50333">
      <w:pPr>
        <w:pStyle w:val="ListParagraph"/>
        <w:numPr>
          <w:ilvl w:val="2"/>
          <w:numId w:val="12"/>
        </w:numPr>
        <w:tabs>
          <w:tab w:val="left" w:pos="1134"/>
        </w:tabs>
        <w:spacing w:after="0" w:line="240" w:lineRule="auto"/>
        <w:ind w:left="1134" w:hanging="425"/>
        <w:contextualSpacing w:val="0"/>
        <w:rPr>
          <w:rFonts w:ascii="Arial" w:eastAsia="Calibri" w:hAnsi="Arial" w:cs="Arial"/>
          <w:bCs/>
          <w:color w:val="000000" w:themeColor="text1"/>
          <w:sz w:val="24"/>
          <w:szCs w:val="24"/>
        </w:rPr>
      </w:pPr>
      <w:r w:rsidRPr="00C50333">
        <w:rPr>
          <w:rFonts w:ascii="Arial" w:eastAsia="Calibri" w:hAnsi="Arial" w:cs="Arial"/>
          <w:bCs/>
          <w:color w:val="000000" w:themeColor="text1"/>
          <w:sz w:val="24"/>
          <w:szCs w:val="24"/>
        </w:rPr>
        <w:t xml:space="preserve">In line with the Model ICB blueprint, retain and adapt </w:t>
      </w:r>
      <w:r w:rsidR="00C50333" w:rsidRPr="00C50333">
        <w:rPr>
          <w:rFonts w:ascii="Arial" w:eastAsia="Calibri" w:hAnsi="Arial" w:cs="Arial"/>
          <w:bCs/>
          <w:color w:val="000000" w:themeColor="text1"/>
          <w:sz w:val="24"/>
          <w:szCs w:val="24"/>
        </w:rPr>
        <w:t>the Somerset</w:t>
      </w:r>
      <w:r w:rsidRPr="00C50333">
        <w:rPr>
          <w:rFonts w:ascii="Arial" w:eastAsia="Calibri" w:hAnsi="Arial" w:cs="Arial"/>
          <w:bCs/>
          <w:color w:val="000000" w:themeColor="text1"/>
          <w:sz w:val="24"/>
          <w:szCs w:val="24"/>
        </w:rPr>
        <w:t xml:space="preserve"> statutory child death review arrangements to ensure they are delivered at scale through the</w:t>
      </w:r>
      <w:r w:rsidR="00C50333" w:rsidRPr="00C50333">
        <w:rPr>
          <w:rFonts w:ascii="Arial" w:eastAsia="Calibri" w:hAnsi="Arial" w:cs="Arial"/>
          <w:bCs/>
          <w:color w:val="000000" w:themeColor="text1"/>
          <w:sz w:val="24"/>
          <w:szCs w:val="24"/>
        </w:rPr>
        <w:t xml:space="preserve"> future ICB cluster and the</w:t>
      </w:r>
      <w:r w:rsidRPr="00C50333">
        <w:rPr>
          <w:rFonts w:ascii="Arial" w:eastAsia="Calibri" w:hAnsi="Arial" w:cs="Arial"/>
          <w:bCs/>
          <w:color w:val="000000" w:themeColor="text1"/>
          <w:sz w:val="24"/>
          <w:szCs w:val="24"/>
        </w:rPr>
        <w:t xml:space="preserve"> Pan Dorset and Somerset  CDR arrangements </w:t>
      </w:r>
      <w:r w:rsidR="00C50333" w:rsidRPr="00C50333">
        <w:rPr>
          <w:rFonts w:ascii="Arial" w:eastAsia="Calibri" w:hAnsi="Arial" w:cs="Arial"/>
          <w:bCs/>
          <w:color w:val="000000" w:themeColor="text1"/>
          <w:sz w:val="24"/>
          <w:szCs w:val="24"/>
        </w:rPr>
        <w:t>(including</w:t>
      </w:r>
      <w:r w:rsidRPr="00C50333">
        <w:rPr>
          <w:rFonts w:ascii="Arial" w:eastAsia="Calibri" w:hAnsi="Arial" w:cs="Arial"/>
          <w:bCs/>
          <w:color w:val="000000" w:themeColor="text1"/>
          <w:sz w:val="24"/>
          <w:szCs w:val="24"/>
        </w:rPr>
        <w:t xml:space="preserve"> the Pan Dorset and Somerset Child Death Overview Panel)</w:t>
      </w:r>
      <w:r w:rsidR="00C50333" w:rsidRPr="00C50333">
        <w:rPr>
          <w:rFonts w:ascii="Arial" w:eastAsia="Calibri" w:hAnsi="Arial" w:cs="Arial"/>
          <w:bCs/>
          <w:color w:val="000000" w:themeColor="text1"/>
          <w:sz w:val="24"/>
          <w:szCs w:val="24"/>
        </w:rPr>
        <w:t>, ensure residents in the geographical area covered by the joint arrangements all receive the same quality of care following their child’s death.</w:t>
      </w:r>
    </w:p>
    <w:p w14:paraId="36693D15" w14:textId="7F937681" w:rsidR="00E55A83" w:rsidRDefault="00C50333" w:rsidP="00C50333">
      <w:pPr>
        <w:pStyle w:val="ListParagraph"/>
        <w:numPr>
          <w:ilvl w:val="2"/>
          <w:numId w:val="12"/>
        </w:numPr>
        <w:tabs>
          <w:tab w:val="left" w:pos="1134"/>
        </w:tabs>
        <w:spacing w:after="0" w:line="240" w:lineRule="auto"/>
        <w:ind w:left="1134" w:hanging="425"/>
        <w:contextualSpacing w:val="0"/>
        <w:rPr>
          <w:rFonts w:ascii="Arial" w:eastAsia="Calibri" w:hAnsi="Arial" w:cs="Arial"/>
          <w:bCs/>
          <w:color w:val="000000" w:themeColor="text1"/>
          <w:sz w:val="24"/>
          <w:szCs w:val="24"/>
        </w:rPr>
      </w:pPr>
      <w:r>
        <w:rPr>
          <w:rFonts w:ascii="Arial" w:eastAsia="Calibri" w:hAnsi="Arial" w:cs="Arial"/>
          <w:bCs/>
          <w:color w:val="000000" w:themeColor="text1"/>
          <w:sz w:val="24"/>
          <w:szCs w:val="24"/>
        </w:rPr>
        <w:t>O</w:t>
      </w:r>
      <w:r w:rsidRPr="00C50333">
        <w:rPr>
          <w:rFonts w:ascii="Arial" w:eastAsia="Calibri" w:hAnsi="Arial" w:cs="Arial"/>
          <w:bCs/>
          <w:color w:val="000000" w:themeColor="text1"/>
          <w:sz w:val="24"/>
          <w:szCs w:val="24"/>
        </w:rPr>
        <w:t>ver</w:t>
      </w:r>
      <w:r>
        <w:rPr>
          <w:rFonts w:ascii="Arial" w:eastAsia="Calibri" w:hAnsi="Arial" w:cs="Arial"/>
          <w:bCs/>
          <w:color w:val="000000" w:themeColor="text1"/>
          <w:sz w:val="24"/>
          <w:szCs w:val="24"/>
        </w:rPr>
        <w:t>sight of</w:t>
      </w:r>
      <w:r w:rsidRPr="00C50333">
        <w:rPr>
          <w:rFonts w:ascii="Arial" w:eastAsia="Calibri" w:hAnsi="Arial" w:cs="Arial"/>
          <w:bCs/>
          <w:color w:val="000000" w:themeColor="text1"/>
          <w:sz w:val="24"/>
          <w:szCs w:val="24"/>
        </w:rPr>
        <w:t xml:space="preserve"> delegated functions with proportionate assurance</w:t>
      </w:r>
      <w:r w:rsidR="00E55A83">
        <w:rPr>
          <w:rFonts w:ascii="Arial" w:eastAsia="Calibri" w:hAnsi="Arial" w:cs="Arial"/>
          <w:bCs/>
          <w:color w:val="000000" w:themeColor="text1"/>
          <w:sz w:val="24"/>
          <w:szCs w:val="24"/>
        </w:rPr>
        <w:t>.</w:t>
      </w:r>
    </w:p>
    <w:p w14:paraId="1C77D19A" w14:textId="77777777" w:rsidR="00F6618A" w:rsidRPr="00F6618A" w:rsidRDefault="00F6618A" w:rsidP="00F6618A">
      <w:pPr>
        <w:tabs>
          <w:tab w:val="left" w:pos="709"/>
        </w:tabs>
        <w:spacing w:after="0" w:line="240" w:lineRule="auto"/>
        <w:rPr>
          <w:rFonts w:ascii="Arial" w:eastAsia="Calibri" w:hAnsi="Arial" w:cs="Arial"/>
          <w:bCs/>
          <w:color w:val="000000" w:themeColor="text1"/>
          <w:sz w:val="24"/>
          <w:szCs w:val="24"/>
        </w:rPr>
      </w:pPr>
    </w:p>
    <w:p w14:paraId="1819E8AA" w14:textId="2C88D730" w:rsidR="002F693C" w:rsidRPr="004B41A1" w:rsidRDefault="007E596A" w:rsidP="004B41A1">
      <w:pPr>
        <w:pStyle w:val="ListParagraph"/>
        <w:numPr>
          <w:ilvl w:val="0"/>
          <w:numId w:val="12"/>
        </w:numPr>
        <w:tabs>
          <w:tab w:val="left" w:pos="709"/>
        </w:tabs>
        <w:spacing w:after="0" w:line="240" w:lineRule="auto"/>
        <w:ind w:left="709" w:hanging="709"/>
        <w:contextualSpacing w:val="0"/>
        <w:rPr>
          <w:rFonts w:ascii="Arial" w:eastAsia="Calibri" w:hAnsi="Arial" w:cs="Arial"/>
          <w:bCs/>
          <w:color w:val="000000" w:themeColor="text1"/>
          <w:sz w:val="24"/>
          <w:szCs w:val="24"/>
        </w:rPr>
      </w:pPr>
      <w:r>
        <w:rPr>
          <w:rFonts w:ascii="Arial" w:eastAsia="Calibri" w:hAnsi="Arial" w:cs="Arial"/>
          <w:bCs/>
          <w:color w:val="000000" w:themeColor="text1"/>
          <w:sz w:val="24"/>
          <w:szCs w:val="24"/>
        </w:rPr>
        <w:t xml:space="preserve">Ensure that the ICB meets its statutory responsibilities in relation to </w:t>
      </w:r>
      <w:r w:rsidR="002F693C" w:rsidRPr="004B41A1">
        <w:rPr>
          <w:rFonts w:ascii="Arial" w:eastAsia="Calibri" w:hAnsi="Arial" w:cs="Arial"/>
          <w:bCs/>
          <w:color w:val="000000" w:themeColor="text1"/>
          <w:sz w:val="24"/>
          <w:szCs w:val="24"/>
        </w:rPr>
        <w:t xml:space="preserve">the work of the statutory </w:t>
      </w:r>
      <w:r w:rsidR="00361ECB" w:rsidRPr="004B41A1">
        <w:rPr>
          <w:rFonts w:ascii="Arial" w:eastAsia="Calibri" w:hAnsi="Arial" w:cs="Arial"/>
          <w:bCs/>
          <w:color w:val="000000" w:themeColor="text1"/>
          <w:sz w:val="24"/>
          <w:szCs w:val="24"/>
        </w:rPr>
        <w:t>partnership</w:t>
      </w:r>
      <w:r w:rsidR="002F693C" w:rsidRPr="004B41A1">
        <w:rPr>
          <w:rFonts w:ascii="Arial" w:eastAsia="Calibri" w:hAnsi="Arial" w:cs="Arial"/>
          <w:bCs/>
          <w:color w:val="000000" w:themeColor="text1"/>
          <w:sz w:val="24"/>
          <w:szCs w:val="24"/>
        </w:rPr>
        <w:t>s, which includes but is not limited to the following:</w:t>
      </w:r>
    </w:p>
    <w:p w14:paraId="13C0D540" w14:textId="626E6E50" w:rsidR="002F693C" w:rsidRPr="004B41A1" w:rsidRDefault="002F693C" w:rsidP="004B41A1">
      <w:pPr>
        <w:pStyle w:val="ListParagraph"/>
        <w:numPr>
          <w:ilvl w:val="2"/>
          <w:numId w:val="12"/>
        </w:numPr>
        <w:tabs>
          <w:tab w:val="left" w:pos="1134"/>
        </w:tabs>
        <w:spacing w:after="0" w:line="240" w:lineRule="auto"/>
        <w:ind w:left="1134" w:hanging="425"/>
        <w:contextualSpacing w:val="0"/>
        <w:rPr>
          <w:rFonts w:ascii="Arial" w:eastAsia="Calibri" w:hAnsi="Arial" w:cs="Arial"/>
          <w:bCs/>
          <w:color w:val="000000" w:themeColor="text1"/>
          <w:sz w:val="24"/>
          <w:szCs w:val="24"/>
        </w:rPr>
      </w:pPr>
      <w:r w:rsidRPr="004B41A1">
        <w:rPr>
          <w:rFonts w:ascii="Arial" w:eastAsia="Calibri" w:hAnsi="Arial" w:cs="Arial"/>
          <w:bCs/>
          <w:color w:val="000000" w:themeColor="text1"/>
          <w:sz w:val="24"/>
          <w:szCs w:val="24"/>
        </w:rPr>
        <w:t>Somerset Safeguarding Children Partnership</w:t>
      </w:r>
    </w:p>
    <w:p w14:paraId="7BA27D2B" w14:textId="527AB186" w:rsidR="002F693C" w:rsidRPr="007E596A" w:rsidRDefault="002F693C" w:rsidP="007E596A">
      <w:pPr>
        <w:pStyle w:val="ListParagraph"/>
        <w:numPr>
          <w:ilvl w:val="2"/>
          <w:numId w:val="12"/>
        </w:numPr>
        <w:tabs>
          <w:tab w:val="left" w:pos="1134"/>
        </w:tabs>
        <w:spacing w:after="0" w:line="240" w:lineRule="auto"/>
        <w:ind w:left="1134" w:hanging="425"/>
        <w:contextualSpacing w:val="0"/>
        <w:rPr>
          <w:rFonts w:ascii="Arial" w:eastAsia="Calibri" w:hAnsi="Arial" w:cs="Arial"/>
          <w:bCs/>
          <w:color w:val="000000" w:themeColor="text1"/>
          <w:sz w:val="24"/>
          <w:szCs w:val="24"/>
        </w:rPr>
      </w:pPr>
      <w:r w:rsidRPr="004B41A1">
        <w:rPr>
          <w:rFonts w:ascii="Arial" w:eastAsia="Calibri" w:hAnsi="Arial" w:cs="Arial"/>
          <w:bCs/>
          <w:color w:val="000000" w:themeColor="text1"/>
          <w:sz w:val="24"/>
          <w:szCs w:val="24"/>
        </w:rPr>
        <w:t>Safer Somerset Partnership</w:t>
      </w:r>
      <w:r w:rsidR="007E596A">
        <w:rPr>
          <w:rFonts w:ascii="Arial" w:eastAsia="Calibri" w:hAnsi="Arial" w:cs="Arial"/>
          <w:bCs/>
          <w:color w:val="000000" w:themeColor="text1"/>
          <w:sz w:val="24"/>
          <w:szCs w:val="24"/>
        </w:rPr>
        <w:t xml:space="preserve">, including </w:t>
      </w:r>
      <w:r w:rsidR="007E596A" w:rsidRPr="004B41A1">
        <w:rPr>
          <w:rFonts w:ascii="Arial" w:eastAsia="Calibri" w:hAnsi="Arial" w:cs="Arial"/>
          <w:bCs/>
          <w:color w:val="000000" w:themeColor="text1"/>
          <w:sz w:val="24"/>
          <w:szCs w:val="24"/>
        </w:rPr>
        <w:t>Somerset Violence Reduction Partnership</w:t>
      </w:r>
    </w:p>
    <w:p w14:paraId="12A16816" w14:textId="77777777" w:rsidR="007E596A" w:rsidRPr="004B41A1" w:rsidRDefault="007E596A" w:rsidP="007E596A">
      <w:pPr>
        <w:pStyle w:val="ListParagraph"/>
        <w:numPr>
          <w:ilvl w:val="2"/>
          <w:numId w:val="12"/>
        </w:numPr>
        <w:tabs>
          <w:tab w:val="left" w:pos="1134"/>
        </w:tabs>
        <w:spacing w:after="0" w:line="240" w:lineRule="auto"/>
        <w:ind w:left="1134" w:hanging="425"/>
        <w:contextualSpacing w:val="0"/>
        <w:rPr>
          <w:rFonts w:ascii="Arial" w:eastAsia="Calibri" w:hAnsi="Arial" w:cs="Arial"/>
          <w:bCs/>
          <w:color w:val="000000" w:themeColor="text1"/>
          <w:sz w:val="24"/>
          <w:szCs w:val="24"/>
        </w:rPr>
      </w:pPr>
      <w:r w:rsidRPr="004B41A1">
        <w:rPr>
          <w:rFonts w:ascii="Arial" w:eastAsia="Calibri" w:hAnsi="Arial" w:cs="Arial"/>
          <w:bCs/>
          <w:color w:val="000000" w:themeColor="text1"/>
          <w:sz w:val="24"/>
          <w:szCs w:val="24"/>
        </w:rPr>
        <w:t>Avon and Somerset Violence Reduction Partnership</w:t>
      </w:r>
    </w:p>
    <w:p w14:paraId="52CA6E1B" w14:textId="5B4EE9D1" w:rsidR="002F693C" w:rsidRPr="004B41A1" w:rsidRDefault="002F693C" w:rsidP="004B41A1">
      <w:pPr>
        <w:pStyle w:val="ListParagraph"/>
        <w:numPr>
          <w:ilvl w:val="2"/>
          <w:numId w:val="12"/>
        </w:numPr>
        <w:tabs>
          <w:tab w:val="left" w:pos="1134"/>
        </w:tabs>
        <w:spacing w:after="0" w:line="240" w:lineRule="auto"/>
        <w:ind w:left="1134" w:hanging="425"/>
        <w:contextualSpacing w:val="0"/>
        <w:rPr>
          <w:rFonts w:ascii="Arial" w:eastAsia="Calibri" w:hAnsi="Arial" w:cs="Arial"/>
          <w:bCs/>
          <w:color w:val="000000" w:themeColor="text1"/>
          <w:sz w:val="24"/>
          <w:szCs w:val="24"/>
        </w:rPr>
      </w:pPr>
      <w:r w:rsidRPr="004B41A1">
        <w:rPr>
          <w:rFonts w:ascii="Arial" w:eastAsia="Calibri" w:hAnsi="Arial" w:cs="Arial"/>
          <w:bCs/>
          <w:color w:val="000000" w:themeColor="text1"/>
          <w:sz w:val="24"/>
          <w:szCs w:val="24"/>
        </w:rPr>
        <w:t>Pan Dorset and Somerset Child Death Overview Panel</w:t>
      </w:r>
    </w:p>
    <w:p w14:paraId="2673CB2E" w14:textId="77777777" w:rsidR="002A7C13" w:rsidRPr="004B41A1" w:rsidRDefault="002A7C13" w:rsidP="002A7C13">
      <w:pPr>
        <w:pStyle w:val="ListParagraph"/>
        <w:tabs>
          <w:tab w:val="left" w:pos="1134"/>
        </w:tabs>
        <w:spacing w:after="0" w:line="240" w:lineRule="auto"/>
        <w:ind w:left="1134"/>
        <w:contextualSpacing w:val="0"/>
        <w:rPr>
          <w:rFonts w:ascii="Arial" w:eastAsia="Calibri" w:hAnsi="Arial" w:cs="Arial"/>
          <w:bCs/>
          <w:color w:val="000000" w:themeColor="text1"/>
          <w:sz w:val="24"/>
          <w:szCs w:val="24"/>
        </w:rPr>
      </w:pPr>
    </w:p>
    <w:p w14:paraId="43883BF0" w14:textId="77777777" w:rsidR="00AD2CD5" w:rsidRPr="00AD2CD5" w:rsidRDefault="00361ECB" w:rsidP="00AD2CD5">
      <w:pPr>
        <w:pStyle w:val="ListParagraph"/>
        <w:numPr>
          <w:ilvl w:val="0"/>
          <w:numId w:val="12"/>
        </w:numPr>
        <w:tabs>
          <w:tab w:val="left" w:pos="709"/>
        </w:tabs>
        <w:spacing w:after="0" w:line="240" w:lineRule="auto"/>
        <w:ind w:left="709" w:hanging="709"/>
        <w:contextualSpacing w:val="0"/>
        <w:rPr>
          <w:rFonts w:ascii="Arial" w:hAnsi="Arial" w:cs="Arial"/>
          <w:sz w:val="24"/>
          <w:szCs w:val="24"/>
        </w:rPr>
      </w:pPr>
      <w:r w:rsidRPr="004B41A1">
        <w:rPr>
          <w:rFonts w:ascii="Arial" w:eastAsia="Calibri" w:hAnsi="Arial" w:cs="Arial"/>
          <w:bCs/>
          <w:color w:val="000000" w:themeColor="text1"/>
          <w:sz w:val="24"/>
          <w:szCs w:val="24"/>
        </w:rPr>
        <w:t xml:space="preserve">Clarify roles and responsibilities held jointly and separately by the ICB and the Central Commissioning Hub in relation to oversight and scrutiny of safeguarding </w:t>
      </w:r>
      <w:r w:rsidR="002F693C" w:rsidRPr="004B41A1">
        <w:rPr>
          <w:rFonts w:ascii="Arial" w:eastAsia="Calibri" w:hAnsi="Arial" w:cs="Arial"/>
          <w:bCs/>
          <w:color w:val="000000" w:themeColor="text1"/>
          <w:sz w:val="24"/>
          <w:szCs w:val="24"/>
        </w:rPr>
        <w:t xml:space="preserve">children </w:t>
      </w:r>
      <w:r w:rsidRPr="004B41A1">
        <w:rPr>
          <w:rFonts w:ascii="Arial" w:eastAsia="Calibri" w:hAnsi="Arial" w:cs="Arial"/>
          <w:bCs/>
          <w:color w:val="000000" w:themeColor="text1"/>
          <w:sz w:val="24"/>
          <w:szCs w:val="24"/>
        </w:rPr>
        <w:t>practice within Pharmacy, Optometry and Dental services.</w:t>
      </w:r>
    </w:p>
    <w:p w14:paraId="5AE4AC3D" w14:textId="77777777" w:rsidR="00AD2CD5" w:rsidRPr="00AD2CD5" w:rsidRDefault="00AD2CD5" w:rsidP="00AD2CD5">
      <w:pPr>
        <w:pStyle w:val="ListParagraph"/>
        <w:tabs>
          <w:tab w:val="left" w:pos="709"/>
        </w:tabs>
        <w:spacing w:after="0" w:line="240" w:lineRule="auto"/>
        <w:ind w:left="709"/>
        <w:contextualSpacing w:val="0"/>
        <w:rPr>
          <w:rFonts w:ascii="Arial" w:hAnsi="Arial" w:cs="Arial"/>
          <w:sz w:val="24"/>
          <w:szCs w:val="24"/>
        </w:rPr>
      </w:pPr>
    </w:p>
    <w:p w14:paraId="3AA9B162" w14:textId="45EC6188" w:rsidR="00AD2CD5" w:rsidRPr="00AD2CD5" w:rsidRDefault="00AD2CD5" w:rsidP="00AD2CD5">
      <w:pPr>
        <w:pStyle w:val="ListParagraph"/>
        <w:numPr>
          <w:ilvl w:val="0"/>
          <w:numId w:val="12"/>
        </w:numPr>
        <w:tabs>
          <w:tab w:val="left" w:pos="709"/>
        </w:tabs>
        <w:spacing w:after="0" w:line="240" w:lineRule="auto"/>
        <w:ind w:left="709" w:hanging="709"/>
        <w:contextualSpacing w:val="0"/>
        <w:rPr>
          <w:rFonts w:ascii="Arial" w:hAnsi="Arial" w:cs="Arial"/>
          <w:sz w:val="24"/>
          <w:szCs w:val="24"/>
        </w:rPr>
      </w:pPr>
      <w:r w:rsidRPr="00AD2CD5">
        <w:rPr>
          <w:rFonts w:ascii="Arial" w:hAnsi="Arial" w:cs="Arial"/>
          <w:sz w:val="24"/>
          <w:szCs w:val="24"/>
        </w:rPr>
        <w:t>Actively contribute to further JTAI workshops scheduled; to scrutinise single and multi-agency actions within the JTAI Somerset system action plan</w:t>
      </w:r>
      <w:r>
        <w:rPr>
          <w:rFonts w:ascii="Arial" w:hAnsi="Arial" w:cs="Arial"/>
          <w:sz w:val="24"/>
          <w:szCs w:val="24"/>
        </w:rPr>
        <w:t xml:space="preserve"> and once completed consider how multi-agency partners can evaluate the impact of the action plan on practice in</w:t>
      </w:r>
      <w:r w:rsidR="00EC4A32">
        <w:rPr>
          <w:rFonts w:ascii="Arial" w:hAnsi="Arial" w:cs="Arial"/>
          <w:sz w:val="24"/>
          <w:szCs w:val="24"/>
        </w:rPr>
        <w:t xml:space="preserve"> </w:t>
      </w:r>
      <w:r>
        <w:rPr>
          <w:rFonts w:ascii="Arial" w:hAnsi="Arial" w:cs="Arial"/>
          <w:sz w:val="24"/>
          <w:szCs w:val="24"/>
        </w:rPr>
        <w:t>relation to serious youth violence and exploitation.</w:t>
      </w:r>
    </w:p>
    <w:p w14:paraId="1B06E009" w14:textId="77777777" w:rsidR="00AD2CD5" w:rsidRPr="00AD2CD5" w:rsidRDefault="00AD2CD5" w:rsidP="00AD2CD5">
      <w:pPr>
        <w:pStyle w:val="ListParagraph"/>
        <w:rPr>
          <w:rFonts w:ascii="Arial" w:eastAsia="Times New Roman" w:hAnsi="Arial" w:cs="Arial"/>
          <w:kern w:val="0"/>
          <w:sz w:val="24"/>
          <w:szCs w:val="24"/>
          <w14:ligatures w14:val="none"/>
        </w:rPr>
      </w:pPr>
    </w:p>
    <w:p w14:paraId="084AC550" w14:textId="70D87266" w:rsidR="007E596A" w:rsidRPr="007E596A" w:rsidRDefault="007E596A" w:rsidP="007E596A">
      <w:pPr>
        <w:pStyle w:val="ListParagraph"/>
        <w:numPr>
          <w:ilvl w:val="0"/>
          <w:numId w:val="12"/>
        </w:numPr>
        <w:tabs>
          <w:tab w:val="left" w:pos="709"/>
        </w:tabs>
        <w:spacing w:after="0" w:line="240" w:lineRule="auto"/>
        <w:ind w:left="709" w:hanging="709"/>
        <w:contextualSpacing w:val="0"/>
        <w:rPr>
          <w:rFonts w:ascii="Arial" w:hAnsi="Arial" w:cs="Arial"/>
          <w:sz w:val="24"/>
          <w:szCs w:val="24"/>
        </w:rPr>
      </w:pPr>
      <w:r>
        <w:rPr>
          <w:rFonts w:ascii="Arial" w:eastAsia="Times New Roman" w:hAnsi="Arial" w:cs="Arial"/>
          <w:kern w:val="0"/>
          <w:sz w:val="24"/>
          <w:szCs w:val="24"/>
          <w14:ligatures w14:val="none"/>
        </w:rPr>
        <w:t xml:space="preserve">Alongside multi-agency partners develop and implement whole system safeguarding children reforms directly linked to or outlined within the following: </w:t>
      </w:r>
    </w:p>
    <w:p w14:paraId="37804A28" w14:textId="77777777" w:rsidR="007E596A" w:rsidRPr="007E596A" w:rsidRDefault="007E596A" w:rsidP="007E596A">
      <w:pPr>
        <w:pStyle w:val="ListParagraph"/>
        <w:numPr>
          <w:ilvl w:val="2"/>
          <w:numId w:val="12"/>
        </w:numPr>
        <w:tabs>
          <w:tab w:val="left" w:pos="1134"/>
        </w:tabs>
        <w:spacing w:after="0" w:line="240" w:lineRule="auto"/>
        <w:ind w:left="1134" w:hanging="425"/>
        <w:contextualSpacing w:val="0"/>
        <w:rPr>
          <w:rFonts w:ascii="Arial" w:eastAsia="Calibri" w:hAnsi="Arial" w:cs="Arial"/>
          <w:bCs/>
          <w:color w:val="000000" w:themeColor="text1"/>
          <w:sz w:val="24"/>
          <w:szCs w:val="24"/>
        </w:rPr>
      </w:pPr>
      <w:r w:rsidRPr="007E596A">
        <w:rPr>
          <w:rFonts w:ascii="Arial" w:eastAsia="Calibri" w:hAnsi="Arial" w:cs="Arial"/>
          <w:bCs/>
          <w:color w:val="000000" w:themeColor="text1"/>
          <w:sz w:val="24"/>
          <w:szCs w:val="24"/>
        </w:rPr>
        <w:t>The Children’s Social Care National Framework published in December 2023</w:t>
      </w:r>
    </w:p>
    <w:p w14:paraId="4FA9ADEE" w14:textId="77777777" w:rsidR="007E596A" w:rsidRPr="007E596A" w:rsidRDefault="007E596A" w:rsidP="007E596A">
      <w:pPr>
        <w:pStyle w:val="ListParagraph"/>
        <w:numPr>
          <w:ilvl w:val="2"/>
          <w:numId w:val="12"/>
        </w:numPr>
        <w:tabs>
          <w:tab w:val="left" w:pos="1134"/>
        </w:tabs>
        <w:spacing w:after="0" w:line="240" w:lineRule="auto"/>
        <w:ind w:left="1134" w:hanging="425"/>
        <w:contextualSpacing w:val="0"/>
        <w:rPr>
          <w:rFonts w:ascii="Arial" w:eastAsia="Calibri" w:hAnsi="Arial" w:cs="Arial"/>
          <w:bCs/>
          <w:color w:val="000000" w:themeColor="text1"/>
          <w:sz w:val="24"/>
          <w:szCs w:val="24"/>
        </w:rPr>
      </w:pPr>
      <w:r w:rsidRPr="007E596A">
        <w:rPr>
          <w:rFonts w:ascii="Arial" w:eastAsia="Calibri" w:hAnsi="Arial" w:cs="Arial"/>
          <w:bCs/>
          <w:color w:val="000000" w:themeColor="text1"/>
          <w:sz w:val="24"/>
          <w:szCs w:val="24"/>
        </w:rPr>
        <w:t>The statutory Working Together to Safeguard Children published in December 2023</w:t>
      </w:r>
    </w:p>
    <w:p w14:paraId="3B8275A7" w14:textId="59160BF2" w:rsidR="007E596A" w:rsidRPr="007E596A" w:rsidRDefault="007E596A" w:rsidP="007E596A">
      <w:pPr>
        <w:pStyle w:val="ListParagraph"/>
        <w:numPr>
          <w:ilvl w:val="2"/>
          <w:numId w:val="12"/>
        </w:numPr>
        <w:tabs>
          <w:tab w:val="left" w:pos="1134"/>
        </w:tabs>
        <w:spacing w:after="0" w:line="240" w:lineRule="auto"/>
        <w:ind w:left="1134" w:hanging="425"/>
        <w:contextualSpacing w:val="0"/>
        <w:rPr>
          <w:rFonts w:ascii="Arial" w:eastAsia="Calibri" w:hAnsi="Arial" w:cs="Arial"/>
          <w:bCs/>
          <w:color w:val="000000" w:themeColor="text1"/>
          <w:sz w:val="24"/>
          <w:szCs w:val="24"/>
        </w:rPr>
      </w:pPr>
      <w:r w:rsidRPr="007E596A">
        <w:rPr>
          <w:rFonts w:ascii="Arial" w:eastAsia="Calibri" w:hAnsi="Arial" w:cs="Arial"/>
          <w:bCs/>
          <w:color w:val="000000" w:themeColor="text1"/>
          <w:sz w:val="24"/>
          <w:szCs w:val="24"/>
        </w:rPr>
        <w:t>Keeping Children Safe, Helping Families Thrive published in November 2024.</w:t>
      </w:r>
    </w:p>
    <w:p w14:paraId="16E85A9E" w14:textId="69B6F990" w:rsidR="007E596A" w:rsidRDefault="007E596A" w:rsidP="00AD2CD5">
      <w:pPr>
        <w:pStyle w:val="ListParagraph"/>
        <w:numPr>
          <w:ilvl w:val="2"/>
          <w:numId w:val="12"/>
        </w:numPr>
        <w:tabs>
          <w:tab w:val="left" w:pos="1134"/>
        </w:tabs>
        <w:spacing w:after="0" w:line="240" w:lineRule="auto"/>
        <w:ind w:left="1134" w:hanging="425"/>
        <w:contextualSpacing w:val="0"/>
        <w:rPr>
          <w:rFonts w:ascii="Arial" w:eastAsia="Calibri" w:hAnsi="Arial" w:cs="Arial"/>
          <w:bCs/>
          <w:color w:val="000000" w:themeColor="text1"/>
          <w:sz w:val="24"/>
          <w:szCs w:val="24"/>
        </w:rPr>
      </w:pPr>
      <w:r w:rsidRPr="007E596A">
        <w:rPr>
          <w:rFonts w:ascii="Arial" w:eastAsia="Calibri" w:hAnsi="Arial" w:cs="Arial"/>
          <w:bCs/>
          <w:color w:val="000000" w:themeColor="text1"/>
          <w:sz w:val="24"/>
          <w:szCs w:val="24"/>
        </w:rPr>
        <w:t xml:space="preserve">The </w:t>
      </w:r>
      <w:r>
        <w:rPr>
          <w:rFonts w:ascii="Arial" w:eastAsia="Calibri" w:hAnsi="Arial" w:cs="Arial"/>
          <w:bCs/>
          <w:color w:val="000000" w:themeColor="text1"/>
          <w:sz w:val="24"/>
          <w:szCs w:val="24"/>
        </w:rPr>
        <w:t>enactment of the</w:t>
      </w:r>
      <w:r w:rsidRPr="007E596A">
        <w:rPr>
          <w:rFonts w:ascii="Arial" w:eastAsia="Calibri" w:hAnsi="Arial" w:cs="Arial"/>
          <w:bCs/>
          <w:color w:val="000000" w:themeColor="text1"/>
          <w:sz w:val="24"/>
          <w:szCs w:val="24"/>
        </w:rPr>
        <w:t xml:space="preserve"> Children’s Wellbeing and Schools Bill</w:t>
      </w:r>
      <w:r>
        <w:rPr>
          <w:rFonts w:ascii="Arial" w:eastAsia="Calibri" w:hAnsi="Arial" w:cs="Arial"/>
          <w:bCs/>
          <w:color w:val="000000" w:themeColor="text1"/>
          <w:sz w:val="24"/>
          <w:szCs w:val="24"/>
        </w:rPr>
        <w:t>, once approved by the House of Commons and the House of Lords</w:t>
      </w:r>
      <w:r w:rsidRPr="007E596A">
        <w:rPr>
          <w:rFonts w:ascii="Arial" w:eastAsia="Calibri" w:hAnsi="Arial" w:cs="Arial"/>
          <w:bCs/>
          <w:color w:val="000000" w:themeColor="text1"/>
          <w:sz w:val="24"/>
          <w:szCs w:val="24"/>
        </w:rPr>
        <w:t>.</w:t>
      </w:r>
    </w:p>
    <w:p w14:paraId="0CDA29D3" w14:textId="77777777" w:rsidR="001C5572" w:rsidRPr="007E596A" w:rsidRDefault="001C5572" w:rsidP="001C5572">
      <w:pPr>
        <w:pStyle w:val="ListParagraph"/>
        <w:tabs>
          <w:tab w:val="left" w:pos="1134"/>
        </w:tabs>
        <w:spacing w:after="0" w:line="240" w:lineRule="auto"/>
        <w:ind w:left="1134"/>
        <w:contextualSpacing w:val="0"/>
        <w:rPr>
          <w:rFonts w:ascii="Arial" w:eastAsia="Calibri" w:hAnsi="Arial" w:cs="Arial"/>
          <w:bCs/>
          <w:color w:val="000000" w:themeColor="text1"/>
          <w:sz w:val="24"/>
          <w:szCs w:val="24"/>
        </w:rPr>
      </w:pPr>
    </w:p>
    <w:p w14:paraId="7002423B" w14:textId="77777777" w:rsidR="007E596A" w:rsidRPr="005D324E" w:rsidRDefault="007E596A" w:rsidP="00AD2CD5">
      <w:pPr>
        <w:pStyle w:val="ListParagraph"/>
        <w:tabs>
          <w:tab w:val="left" w:pos="709"/>
        </w:tabs>
        <w:spacing w:after="0" w:line="240" w:lineRule="auto"/>
        <w:ind w:left="709"/>
        <w:contextualSpacing w:val="0"/>
        <w:rPr>
          <w:rFonts w:ascii="Arial" w:hAnsi="Arial" w:cs="Arial"/>
          <w:sz w:val="24"/>
          <w:szCs w:val="24"/>
        </w:rPr>
      </w:pPr>
    </w:p>
    <w:p w14:paraId="5332AA25" w14:textId="3BFB7EDE" w:rsidR="00401C1E" w:rsidRPr="00FB28DB" w:rsidRDefault="002A5370" w:rsidP="00AD2CD5">
      <w:pPr>
        <w:pStyle w:val="Heading1"/>
        <w:numPr>
          <w:ilvl w:val="0"/>
          <w:numId w:val="15"/>
        </w:numPr>
        <w:spacing w:before="0" w:after="0"/>
        <w:ind w:left="567" w:hanging="567"/>
        <w:rPr>
          <w:color w:val="003087"/>
        </w:rPr>
      </w:pPr>
      <w:bookmarkStart w:id="8" w:name="_Toc197420060"/>
      <w:r>
        <w:rPr>
          <w:color w:val="003087"/>
        </w:rPr>
        <w:lastRenderedPageBreak/>
        <w:t xml:space="preserve"> </w:t>
      </w:r>
      <w:r w:rsidR="00401C1E" w:rsidRPr="00FB28DB">
        <w:rPr>
          <w:color w:val="003087"/>
        </w:rPr>
        <w:t>Conclusion</w:t>
      </w:r>
      <w:bookmarkEnd w:id="8"/>
    </w:p>
    <w:p w14:paraId="2A6C29FD" w14:textId="77777777" w:rsidR="001C5572" w:rsidRDefault="001C5572" w:rsidP="001C5572">
      <w:pPr>
        <w:rPr>
          <w:rFonts w:ascii="Arial" w:hAnsi="Arial" w:cs="Arial"/>
          <w:color w:val="000000" w:themeColor="text1"/>
          <w:sz w:val="24"/>
          <w:szCs w:val="24"/>
        </w:rPr>
      </w:pPr>
    </w:p>
    <w:p w14:paraId="24CE193B" w14:textId="3F5D15E9" w:rsidR="007E596A" w:rsidRPr="001C5572" w:rsidRDefault="001C5572" w:rsidP="001C5572">
      <w:pPr>
        <w:ind w:left="390" w:hanging="390"/>
        <w:rPr>
          <w:rFonts w:ascii="Arial" w:hAnsi="Arial" w:cs="Arial"/>
          <w:color w:val="000000" w:themeColor="text1"/>
          <w:sz w:val="24"/>
          <w:szCs w:val="24"/>
        </w:rPr>
      </w:pPr>
      <w:r>
        <w:rPr>
          <w:rFonts w:ascii="Arial" w:hAnsi="Arial" w:cs="Arial"/>
          <w:color w:val="000000" w:themeColor="text1"/>
          <w:sz w:val="24"/>
          <w:szCs w:val="24"/>
        </w:rPr>
        <w:t>6.1</w:t>
      </w:r>
      <w:r>
        <w:rPr>
          <w:rFonts w:ascii="Arial" w:hAnsi="Arial" w:cs="Arial"/>
          <w:color w:val="000000" w:themeColor="text1"/>
          <w:sz w:val="24"/>
          <w:szCs w:val="24"/>
        </w:rPr>
        <w:tab/>
      </w:r>
      <w:r w:rsidR="004856D0" w:rsidRPr="001C5572">
        <w:rPr>
          <w:rFonts w:ascii="Arial" w:hAnsi="Arial" w:cs="Arial"/>
          <w:color w:val="000000" w:themeColor="text1"/>
          <w:sz w:val="24"/>
          <w:szCs w:val="24"/>
        </w:rPr>
        <w:t xml:space="preserve">On 1st April 2025, the government announced a significant foundation for NHS reform. This programme of change will happen at pace and safeguarding </w:t>
      </w:r>
      <w:r w:rsidR="00E55A83" w:rsidRPr="001C5572">
        <w:rPr>
          <w:rFonts w:ascii="Arial" w:hAnsi="Arial" w:cs="Arial"/>
          <w:color w:val="000000" w:themeColor="text1"/>
          <w:sz w:val="24"/>
          <w:szCs w:val="24"/>
        </w:rPr>
        <w:t xml:space="preserve">functions </w:t>
      </w:r>
      <w:r w:rsidR="004856D0" w:rsidRPr="001C5572">
        <w:rPr>
          <w:rFonts w:ascii="Arial" w:hAnsi="Arial" w:cs="Arial"/>
          <w:color w:val="000000" w:themeColor="text1"/>
          <w:sz w:val="24"/>
          <w:szCs w:val="24"/>
        </w:rPr>
        <w:t xml:space="preserve">within an ICB will be impacted as ICBs transition to a </w:t>
      </w:r>
      <w:r w:rsidR="00E55A83" w:rsidRPr="001C5572">
        <w:rPr>
          <w:rFonts w:ascii="Arial" w:hAnsi="Arial" w:cs="Arial"/>
          <w:color w:val="000000" w:themeColor="text1"/>
          <w:sz w:val="24"/>
          <w:szCs w:val="24"/>
        </w:rPr>
        <w:t xml:space="preserve">more </w:t>
      </w:r>
      <w:r w:rsidR="004856D0" w:rsidRPr="001C5572">
        <w:rPr>
          <w:rFonts w:ascii="Arial" w:hAnsi="Arial" w:cs="Arial"/>
          <w:color w:val="000000" w:themeColor="text1"/>
          <w:sz w:val="24"/>
          <w:szCs w:val="24"/>
        </w:rPr>
        <w:t xml:space="preserve">strategic commissioning </w:t>
      </w:r>
      <w:r w:rsidR="00E55A83" w:rsidRPr="001C5572">
        <w:rPr>
          <w:rFonts w:ascii="Arial" w:hAnsi="Arial" w:cs="Arial"/>
          <w:color w:val="000000" w:themeColor="text1"/>
          <w:sz w:val="24"/>
          <w:szCs w:val="24"/>
        </w:rPr>
        <w:t>model</w:t>
      </w:r>
      <w:r w:rsidR="004856D0" w:rsidRPr="001C5572">
        <w:rPr>
          <w:rFonts w:ascii="Arial" w:hAnsi="Arial" w:cs="Arial"/>
          <w:color w:val="000000" w:themeColor="text1"/>
          <w:sz w:val="24"/>
          <w:szCs w:val="24"/>
        </w:rPr>
        <w:t xml:space="preserve">. With that in mind, many of the safeguarding </w:t>
      </w:r>
      <w:r w:rsidR="00B55C4D" w:rsidRPr="001C5572">
        <w:rPr>
          <w:rFonts w:ascii="Arial" w:hAnsi="Arial" w:cs="Arial"/>
          <w:color w:val="000000" w:themeColor="text1"/>
          <w:sz w:val="24"/>
          <w:szCs w:val="24"/>
        </w:rPr>
        <w:t>children ambitions</w:t>
      </w:r>
      <w:r w:rsidR="004856D0" w:rsidRPr="001C5572">
        <w:rPr>
          <w:rFonts w:ascii="Arial" w:hAnsi="Arial" w:cs="Arial"/>
          <w:color w:val="000000" w:themeColor="text1"/>
          <w:sz w:val="24"/>
          <w:szCs w:val="24"/>
        </w:rPr>
        <w:t xml:space="preserve"> outlined </w:t>
      </w:r>
      <w:r w:rsidR="00CD02E4" w:rsidRPr="001C5572">
        <w:rPr>
          <w:rFonts w:ascii="Arial" w:hAnsi="Arial" w:cs="Arial"/>
          <w:color w:val="000000" w:themeColor="text1"/>
          <w:sz w:val="24"/>
          <w:szCs w:val="24"/>
        </w:rPr>
        <w:t>above</w:t>
      </w:r>
      <w:r w:rsidR="004856D0" w:rsidRPr="001C5572">
        <w:rPr>
          <w:rFonts w:ascii="Arial" w:hAnsi="Arial" w:cs="Arial"/>
          <w:color w:val="000000" w:themeColor="text1"/>
          <w:sz w:val="24"/>
          <w:szCs w:val="24"/>
        </w:rPr>
        <w:t xml:space="preserve"> may be subject to change. </w:t>
      </w:r>
      <w:r w:rsidR="008C19B5" w:rsidRPr="001C5572">
        <w:rPr>
          <w:rFonts w:ascii="Arial" w:hAnsi="Arial" w:cs="Arial"/>
          <w:color w:val="000000" w:themeColor="text1"/>
          <w:sz w:val="24"/>
          <w:szCs w:val="24"/>
        </w:rPr>
        <w:t xml:space="preserve"> </w:t>
      </w:r>
    </w:p>
    <w:p w14:paraId="352BC633" w14:textId="378C27A8" w:rsidR="00B74CA7" w:rsidRPr="001C5572" w:rsidRDefault="001C5572" w:rsidP="001C5572">
      <w:pPr>
        <w:ind w:left="390" w:hanging="390"/>
        <w:rPr>
          <w:rFonts w:ascii="Arial" w:hAnsi="Arial" w:cs="Arial"/>
          <w:color w:val="000000" w:themeColor="text1"/>
          <w:sz w:val="24"/>
          <w:szCs w:val="24"/>
        </w:rPr>
      </w:pPr>
      <w:r>
        <w:rPr>
          <w:rFonts w:ascii="Arial" w:hAnsi="Arial" w:cs="Arial"/>
          <w:color w:val="000000" w:themeColor="text1"/>
          <w:sz w:val="24"/>
          <w:szCs w:val="24"/>
        </w:rPr>
        <w:t>6.2</w:t>
      </w:r>
      <w:r>
        <w:rPr>
          <w:rFonts w:ascii="Arial" w:hAnsi="Arial" w:cs="Arial"/>
          <w:color w:val="000000" w:themeColor="text1"/>
          <w:sz w:val="24"/>
          <w:szCs w:val="24"/>
        </w:rPr>
        <w:tab/>
      </w:r>
      <w:r w:rsidR="00B55C4D" w:rsidRPr="001C5572">
        <w:rPr>
          <w:rFonts w:ascii="Arial" w:hAnsi="Arial" w:cs="Arial"/>
          <w:color w:val="000000" w:themeColor="text1"/>
          <w:sz w:val="24"/>
          <w:szCs w:val="24"/>
        </w:rPr>
        <w:t>T</w:t>
      </w:r>
      <w:r w:rsidR="008C19B5" w:rsidRPr="001C5572">
        <w:rPr>
          <w:rFonts w:ascii="Arial" w:hAnsi="Arial" w:cs="Arial"/>
          <w:color w:val="000000" w:themeColor="text1"/>
          <w:sz w:val="24"/>
          <w:szCs w:val="24"/>
        </w:rPr>
        <w:t xml:space="preserve">he </w:t>
      </w:r>
      <w:r w:rsidR="00B55C4D" w:rsidRPr="001C5572">
        <w:rPr>
          <w:rFonts w:ascii="Arial" w:hAnsi="Arial" w:cs="Arial"/>
          <w:color w:val="000000" w:themeColor="text1"/>
          <w:sz w:val="24"/>
          <w:szCs w:val="24"/>
        </w:rPr>
        <w:t xml:space="preserve">ICB’s </w:t>
      </w:r>
      <w:r w:rsidR="008C19B5" w:rsidRPr="001C5572">
        <w:rPr>
          <w:rFonts w:ascii="Arial" w:hAnsi="Arial" w:cs="Arial"/>
          <w:color w:val="000000" w:themeColor="text1"/>
          <w:sz w:val="24"/>
          <w:szCs w:val="24"/>
        </w:rPr>
        <w:t xml:space="preserve">statutory </w:t>
      </w:r>
      <w:r w:rsidR="00B55C4D" w:rsidRPr="001C5572">
        <w:rPr>
          <w:rFonts w:ascii="Arial" w:hAnsi="Arial" w:cs="Arial"/>
          <w:color w:val="000000" w:themeColor="text1"/>
          <w:sz w:val="24"/>
          <w:szCs w:val="24"/>
        </w:rPr>
        <w:t xml:space="preserve">safeguarding role must remain a </w:t>
      </w:r>
      <w:r w:rsidR="008C19B5" w:rsidRPr="001C5572">
        <w:rPr>
          <w:rFonts w:ascii="Arial" w:hAnsi="Arial" w:cs="Arial"/>
          <w:color w:val="000000" w:themeColor="text1"/>
          <w:sz w:val="24"/>
          <w:szCs w:val="24"/>
        </w:rPr>
        <w:t>consideration throughout this transition</w:t>
      </w:r>
      <w:r w:rsidR="00B55C4D" w:rsidRPr="001C5572">
        <w:rPr>
          <w:rFonts w:ascii="Arial" w:hAnsi="Arial" w:cs="Arial"/>
          <w:color w:val="000000" w:themeColor="text1"/>
          <w:sz w:val="24"/>
          <w:szCs w:val="24"/>
        </w:rPr>
        <w:t>, underpinning all strategic decisions</w:t>
      </w:r>
      <w:r w:rsidR="008C19B5" w:rsidRPr="001C5572">
        <w:rPr>
          <w:rFonts w:ascii="Arial" w:hAnsi="Arial" w:cs="Arial"/>
          <w:color w:val="000000" w:themeColor="text1"/>
          <w:sz w:val="24"/>
          <w:szCs w:val="24"/>
        </w:rPr>
        <w:t xml:space="preserve">. Any reconfiguration of responsibilities or resources </w:t>
      </w:r>
      <w:r w:rsidR="00B55C4D" w:rsidRPr="001C5572">
        <w:rPr>
          <w:rFonts w:ascii="Arial" w:hAnsi="Arial" w:cs="Arial"/>
          <w:color w:val="000000" w:themeColor="text1"/>
          <w:sz w:val="24"/>
          <w:szCs w:val="24"/>
        </w:rPr>
        <w:t>should be subject to rigorous assurance</w:t>
      </w:r>
      <w:r w:rsidR="008C19B5" w:rsidRPr="001C5572">
        <w:rPr>
          <w:rFonts w:ascii="Arial" w:hAnsi="Arial" w:cs="Arial"/>
          <w:color w:val="000000" w:themeColor="text1"/>
          <w:sz w:val="24"/>
          <w:szCs w:val="24"/>
        </w:rPr>
        <w:t xml:space="preserve"> to </w:t>
      </w:r>
      <w:r w:rsidR="00B55C4D" w:rsidRPr="001C5572">
        <w:rPr>
          <w:rFonts w:ascii="Arial" w:hAnsi="Arial" w:cs="Arial"/>
          <w:color w:val="000000" w:themeColor="text1"/>
          <w:sz w:val="24"/>
          <w:szCs w:val="24"/>
        </w:rPr>
        <w:t>prevent</w:t>
      </w:r>
      <w:r w:rsidR="008C19B5" w:rsidRPr="001C5572">
        <w:rPr>
          <w:rFonts w:ascii="Arial" w:hAnsi="Arial" w:cs="Arial"/>
          <w:color w:val="000000" w:themeColor="text1"/>
          <w:sz w:val="24"/>
          <w:szCs w:val="24"/>
        </w:rPr>
        <w:t xml:space="preserve"> gaps in oversight</w:t>
      </w:r>
      <w:r w:rsidR="00B55C4D" w:rsidRPr="001C5572">
        <w:rPr>
          <w:rFonts w:ascii="Arial" w:hAnsi="Arial" w:cs="Arial"/>
          <w:color w:val="000000" w:themeColor="text1"/>
          <w:sz w:val="24"/>
          <w:szCs w:val="24"/>
        </w:rPr>
        <w:t xml:space="preserve"> of safeguarding practice,</w:t>
      </w:r>
      <w:r w:rsidR="008C19B5" w:rsidRPr="001C5572">
        <w:rPr>
          <w:rFonts w:ascii="Arial" w:hAnsi="Arial" w:cs="Arial"/>
          <w:color w:val="000000" w:themeColor="text1"/>
          <w:sz w:val="24"/>
          <w:szCs w:val="24"/>
        </w:rPr>
        <w:t xml:space="preserve"> </w:t>
      </w:r>
      <w:r w:rsidR="007E596A" w:rsidRPr="001C5572">
        <w:rPr>
          <w:rFonts w:ascii="Arial" w:hAnsi="Arial" w:cs="Arial"/>
          <w:color w:val="000000" w:themeColor="text1"/>
          <w:sz w:val="24"/>
          <w:szCs w:val="24"/>
        </w:rPr>
        <w:t xml:space="preserve">a </w:t>
      </w:r>
      <w:r w:rsidR="008C19B5" w:rsidRPr="001C5572">
        <w:rPr>
          <w:rFonts w:ascii="Arial" w:hAnsi="Arial" w:cs="Arial"/>
          <w:color w:val="000000" w:themeColor="text1"/>
          <w:sz w:val="24"/>
          <w:szCs w:val="24"/>
        </w:rPr>
        <w:t xml:space="preserve">weakening </w:t>
      </w:r>
      <w:r w:rsidR="007E596A" w:rsidRPr="001C5572">
        <w:rPr>
          <w:rFonts w:ascii="Arial" w:hAnsi="Arial" w:cs="Arial"/>
          <w:color w:val="000000" w:themeColor="text1"/>
          <w:sz w:val="24"/>
          <w:szCs w:val="24"/>
        </w:rPr>
        <w:t xml:space="preserve">of </w:t>
      </w:r>
      <w:r w:rsidR="00B55C4D" w:rsidRPr="001C5572">
        <w:rPr>
          <w:rFonts w:ascii="Arial" w:hAnsi="Arial" w:cs="Arial"/>
          <w:color w:val="000000" w:themeColor="text1"/>
          <w:sz w:val="24"/>
          <w:szCs w:val="24"/>
        </w:rPr>
        <w:t xml:space="preserve">robust </w:t>
      </w:r>
      <w:r w:rsidR="008C19B5" w:rsidRPr="001C5572">
        <w:rPr>
          <w:rFonts w:ascii="Arial" w:hAnsi="Arial" w:cs="Arial"/>
          <w:color w:val="000000" w:themeColor="text1"/>
          <w:sz w:val="24"/>
          <w:szCs w:val="24"/>
        </w:rPr>
        <w:t>multi-agency collaboration, or</w:t>
      </w:r>
      <w:r w:rsidR="007E596A" w:rsidRPr="001C5572">
        <w:rPr>
          <w:rFonts w:ascii="Arial" w:hAnsi="Arial" w:cs="Arial"/>
          <w:color w:val="000000" w:themeColor="text1"/>
          <w:sz w:val="24"/>
          <w:szCs w:val="24"/>
        </w:rPr>
        <w:t xml:space="preserve"> </w:t>
      </w:r>
      <w:r w:rsidR="00B55C4D" w:rsidRPr="001C5572">
        <w:rPr>
          <w:rFonts w:ascii="Arial" w:hAnsi="Arial" w:cs="Arial"/>
          <w:color w:val="000000" w:themeColor="text1"/>
          <w:sz w:val="24"/>
          <w:szCs w:val="24"/>
        </w:rPr>
        <w:t>increased</w:t>
      </w:r>
      <w:r w:rsidR="008C19B5" w:rsidRPr="001C5572">
        <w:rPr>
          <w:rFonts w:ascii="Arial" w:hAnsi="Arial" w:cs="Arial"/>
          <w:color w:val="000000" w:themeColor="text1"/>
          <w:sz w:val="24"/>
          <w:szCs w:val="24"/>
        </w:rPr>
        <w:t xml:space="preserve"> risks to </w:t>
      </w:r>
      <w:r w:rsidR="007E596A" w:rsidRPr="001C5572">
        <w:rPr>
          <w:rFonts w:ascii="Arial" w:hAnsi="Arial" w:cs="Arial"/>
          <w:color w:val="000000" w:themeColor="text1"/>
          <w:sz w:val="24"/>
          <w:szCs w:val="24"/>
        </w:rPr>
        <w:t xml:space="preserve">our most </w:t>
      </w:r>
      <w:r w:rsidR="008C19B5" w:rsidRPr="001C5572">
        <w:rPr>
          <w:rFonts w:ascii="Arial" w:hAnsi="Arial" w:cs="Arial"/>
          <w:color w:val="000000" w:themeColor="text1"/>
          <w:sz w:val="24"/>
          <w:szCs w:val="24"/>
        </w:rPr>
        <w:t xml:space="preserve">vulnerable populations. </w:t>
      </w:r>
      <w:r w:rsidR="00B55C4D" w:rsidRPr="001C5572">
        <w:rPr>
          <w:rFonts w:ascii="Arial" w:hAnsi="Arial" w:cs="Arial"/>
          <w:color w:val="000000" w:themeColor="text1"/>
          <w:sz w:val="24"/>
          <w:szCs w:val="24"/>
        </w:rPr>
        <w:t>At a system level, continuity, clarity, and accountability in safeguarding arrangements are critical not only to legal compliance but also to sustaining trust in the ICB’s leadership and its capacity to protect those at greatest risk.</w:t>
      </w:r>
    </w:p>
    <w:p w14:paraId="7738CB8B" w14:textId="77777777" w:rsidR="00FC4F38" w:rsidRPr="00FC4F38" w:rsidRDefault="00FC4F38" w:rsidP="00FC4F38">
      <w:pPr>
        <w:rPr>
          <w:rFonts w:ascii="Arial" w:hAnsi="Arial" w:cs="Arial"/>
          <w:color w:val="000000" w:themeColor="text1"/>
          <w:sz w:val="24"/>
          <w:szCs w:val="24"/>
        </w:rPr>
      </w:pPr>
    </w:p>
    <w:p w14:paraId="3B40F821" w14:textId="77777777" w:rsidR="00FC4F38" w:rsidRPr="00FC4F38" w:rsidRDefault="00FC4F38" w:rsidP="00FC4F38">
      <w:pPr>
        <w:rPr>
          <w:rFonts w:ascii="Arial" w:hAnsi="Arial" w:cs="Arial"/>
          <w:color w:val="000000" w:themeColor="text1"/>
          <w:sz w:val="24"/>
          <w:szCs w:val="24"/>
        </w:rPr>
      </w:pPr>
    </w:p>
    <w:sectPr w:rsidR="00FC4F38" w:rsidRPr="00FC4F38" w:rsidSect="00126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29014" w14:textId="77777777" w:rsidR="00E5078F" w:rsidRDefault="00E5078F" w:rsidP="00F509F7">
      <w:pPr>
        <w:spacing w:after="0" w:line="240" w:lineRule="auto"/>
      </w:pPr>
      <w:r>
        <w:separator/>
      </w:r>
    </w:p>
  </w:endnote>
  <w:endnote w:type="continuationSeparator" w:id="0">
    <w:p w14:paraId="7D3A9A42" w14:textId="77777777" w:rsidR="00E5078F" w:rsidRDefault="00E5078F" w:rsidP="00F50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3A1EA" w14:textId="77777777" w:rsidR="00016751" w:rsidRDefault="00016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5642A" w14:textId="77777777" w:rsidR="00016751" w:rsidRDefault="000167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69FA" w14:textId="77777777" w:rsidR="00016751" w:rsidRDefault="000167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4D423" w14:textId="77777777" w:rsidR="00F509F7" w:rsidRDefault="00F509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2EF77" w14:textId="77777777" w:rsidR="00F509F7" w:rsidRDefault="00F509F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808080" w:themeColor="background1" w:themeShade="80"/>
        <w:sz w:val="20"/>
        <w:szCs w:val="20"/>
      </w:rPr>
      <w:id w:val="-911845736"/>
      <w:docPartObj>
        <w:docPartGallery w:val="Page Numbers (Bottom of Page)"/>
        <w:docPartUnique/>
      </w:docPartObj>
    </w:sdtPr>
    <w:sdtEndPr>
      <w:rPr>
        <w:rFonts w:asciiTheme="minorHAnsi" w:hAnsiTheme="minorHAnsi" w:cstheme="minorBidi"/>
        <w:color w:val="auto"/>
        <w:sz w:val="22"/>
        <w:szCs w:val="22"/>
      </w:rPr>
    </w:sdtEndPr>
    <w:sdtContent>
      <w:p w14:paraId="70BC1CDB" w14:textId="62D39906" w:rsidR="00F509F7" w:rsidRDefault="005C5F76">
        <w:pPr>
          <w:pStyle w:val="Footer"/>
          <w:jc w:val="right"/>
        </w:pPr>
        <w:r>
          <w:rPr>
            <w:rFonts w:ascii="Arial" w:hAnsi="Arial" w:cs="Arial"/>
            <w:color w:val="808080" w:themeColor="background1" w:themeShade="80"/>
            <w:sz w:val="20"/>
            <w:szCs w:val="20"/>
          </w:rPr>
          <w:t xml:space="preserve">Safeguarding </w:t>
        </w:r>
        <w:r w:rsidR="005E1151">
          <w:rPr>
            <w:rFonts w:ascii="Arial" w:hAnsi="Arial" w:cs="Arial"/>
            <w:color w:val="808080" w:themeColor="background1" w:themeShade="80"/>
            <w:sz w:val="20"/>
            <w:szCs w:val="20"/>
          </w:rPr>
          <w:t>Children</w:t>
        </w:r>
        <w:r w:rsidR="005E1151" w:rsidRPr="00DD0DF9">
          <w:rPr>
            <w:rFonts w:ascii="Arial" w:hAnsi="Arial" w:cs="Arial"/>
            <w:color w:val="808080" w:themeColor="background1" w:themeShade="80"/>
            <w:sz w:val="20"/>
            <w:szCs w:val="20"/>
          </w:rPr>
          <w:t xml:space="preserve"> I Annual</w:t>
        </w:r>
        <w:r w:rsidR="00DD0DF9" w:rsidRPr="00DD0DF9">
          <w:rPr>
            <w:rFonts w:ascii="Arial" w:hAnsi="Arial" w:cs="Arial"/>
            <w:color w:val="808080" w:themeColor="background1" w:themeShade="80"/>
            <w:sz w:val="20"/>
            <w:szCs w:val="20"/>
          </w:rPr>
          <w:t xml:space="preserve"> Report 24</w:t>
        </w:r>
        <w:r w:rsidR="00FC4F38">
          <w:rPr>
            <w:rFonts w:ascii="Arial" w:hAnsi="Arial" w:cs="Arial"/>
            <w:color w:val="808080" w:themeColor="background1" w:themeShade="80"/>
            <w:sz w:val="20"/>
            <w:szCs w:val="20"/>
          </w:rPr>
          <w:t>/</w:t>
        </w:r>
        <w:r w:rsidR="005E1151">
          <w:rPr>
            <w:rFonts w:ascii="Arial" w:hAnsi="Arial" w:cs="Arial"/>
            <w:color w:val="808080" w:themeColor="background1" w:themeShade="80"/>
            <w:sz w:val="20"/>
            <w:szCs w:val="20"/>
          </w:rPr>
          <w:t>25</w:t>
        </w:r>
        <w:r w:rsidR="005E1151" w:rsidRPr="00DD0DF9">
          <w:rPr>
            <w:rFonts w:ascii="Arial" w:hAnsi="Arial" w:cs="Arial"/>
            <w:color w:val="808080" w:themeColor="background1" w:themeShade="80"/>
            <w:sz w:val="20"/>
            <w:szCs w:val="20"/>
          </w:rPr>
          <w:t xml:space="preserve"> I</w:t>
        </w:r>
        <w:r w:rsidR="00DD0DF9" w:rsidRPr="00DD0DF9">
          <w:rPr>
            <w:rFonts w:ascii="Arial" w:hAnsi="Arial" w:cs="Arial"/>
            <w:color w:val="808080" w:themeColor="background1" w:themeShade="80"/>
            <w:sz w:val="20"/>
            <w:szCs w:val="20"/>
          </w:rPr>
          <w:t xml:space="preserve"> </w:t>
        </w:r>
        <w:r w:rsidR="00016751">
          <w:rPr>
            <w:rFonts w:ascii="Arial" w:hAnsi="Arial" w:cs="Arial"/>
            <w:color w:val="808080" w:themeColor="background1" w:themeShade="80"/>
            <w:sz w:val="20"/>
            <w:szCs w:val="20"/>
          </w:rPr>
          <w:t>Final</w:t>
        </w:r>
        <w:r w:rsidR="00DD0DF9" w:rsidRPr="00DD0DF9">
          <w:rPr>
            <w:rFonts w:ascii="Arial" w:hAnsi="Arial" w:cs="Arial"/>
            <w:color w:val="808080" w:themeColor="background1" w:themeShade="80"/>
            <w:sz w:val="20"/>
            <w:szCs w:val="20"/>
          </w:rPr>
          <w:t xml:space="preserve"> I</w:t>
        </w:r>
        <w:r w:rsidR="00DD0DF9" w:rsidRPr="00DD0DF9">
          <w:rPr>
            <w:rFonts w:ascii="Arial" w:hAnsi="Arial" w:cs="Arial"/>
            <w:sz w:val="20"/>
            <w:szCs w:val="20"/>
          </w:rPr>
          <w:t xml:space="preserve">  </w:t>
        </w:r>
        <w:r w:rsidR="00F509F7" w:rsidRPr="00DD0DF9">
          <w:rPr>
            <w:rFonts w:ascii="Arial" w:hAnsi="Arial" w:cs="Arial"/>
          </w:rPr>
          <w:fldChar w:fldCharType="begin"/>
        </w:r>
        <w:r w:rsidR="00F509F7" w:rsidRPr="00DD0DF9">
          <w:rPr>
            <w:rFonts w:ascii="Arial" w:hAnsi="Arial" w:cs="Arial"/>
          </w:rPr>
          <w:instrText>PAGE   \* MERGEFORMAT</w:instrText>
        </w:r>
        <w:r w:rsidR="00F509F7" w:rsidRPr="00DD0DF9">
          <w:rPr>
            <w:rFonts w:ascii="Arial" w:hAnsi="Arial" w:cs="Arial"/>
          </w:rPr>
          <w:fldChar w:fldCharType="separate"/>
        </w:r>
        <w:r w:rsidR="00F509F7" w:rsidRPr="00DD0DF9">
          <w:rPr>
            <w:rFonts w:ascii="Arial" w:hAnsi="Arial" w:cs="Arial"/>
          </w:rPr>
          <w:t>2</w:t>
        </w:r>
        <w:r w:rsidR="00F509F7" w:rsidRPr="00DD0DF9">
          <w:rPr>
            <w:rFonts w:ascii="Arial" w:hAnsi="Arial" w:cs="Arial"/>
          </w:rPr>
          <w:fldChar w:fldCharType="end"/>
        </w:r>
      </w:p>
    </w:sdtContent>
  </w:sdt>
  <w:p w14:paraId="7D5957A6" w14:textId="77777777" w:rsidR="00F509F7" w:rsidRDefault="00F509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7DD74" w14:textId="77777777" w:rsidR="00E5078F" w:rsidRDefault="00E5078F" w:rsidP="00F509F7">
      <w:pPr>
        <w:spacing w:after="0" w:line="240" w:lineRule="auto"/>
      </w:pPr>
      <w:r>
        <w:separator/>
      </w:r>
    </w:p>
  </w:footnote>
  <w:footnote w:type="continuationSeparator" w:id="0">
    <w:p w14:paraId="05DCC966" w14:textId="77777777" w:rsidR="00E5078F" w:rsidRDefault="00E5078F" w:rsidP="00F509F7">
      <w:pPr>
        <w:spacing w:after="0" w:line="240" w:lineRule="auto"/>
      </w:pPr>
      <w:r>
        <w:continuationSeparator/>
      </w:r>
    </w:p>
  </w:footnote>
  <w:footnote w:id="1">
    <w:p w14:paraId="294FA606" w14:textId="3007998D" w:rsidR="007928B5" w:rsidRDefault="007928B5">
      <w:pPr>
        <w:pStyle w:val="FootnoteText"/>
      </w:pPr>
      <w:r>
        <w:rPr>
          <w:rStyle w:val="FootnoteReference"/>
        </w:rPr>
        <w:footnoteRef/>
      </w:r>
      <w:r>
        <w:t xml:space="preserve"> </w:t>
      </w:r>
      <w:hyperlink r:id="rId1" w:history="1">
        <w:r w:rsidRPr="007C6FBF">
          <w:rPr>
            <w:rStyle w:val="Hyperlink"/>
          </w:rPr>
          <w:t>https://www.gov.uk/government/publications/keeping-children-safe-helping-families-thrive</w:t>
        </w:r>
      </w:hyperlink>
    </w:p>
  </w:footnote>
  <w:footnote w:id="2">
    <w:p w14:paraId="79C92D57" w14:textId="622041E2" w:rsidR="007928B5" w:rsidRDefault="007928B5">
      <w:pPr>
        <w:pStyle w:val="FootnoteText"/>
      </w:pPr>
      <w:r>
        <w:rPr>
          <w:rStyle w:val="FootnoteReference"/>
        </w:rPr>
        <w:footnoteRef/>
      </w:r>
      <w:r>
        <w:t xml:space="preserve"> </w:t>
      </w:r>
      <w:hyperlink r:id="rId2" w:history="1">
        <w:r w:rsidRPr="007928B5">
          <w:rPr>
            <w:rStyle w:val="Hyperlink"/>
          </w:rPr>
          <w:t>The Families First Partnership (FFP) Programme Guide</w:t>
        </w:r>
      </w:hyperlink>
    </w:p>
  </w:footnote>
  <w:footnote w:id="3">
    <w:p w14:paraId="5B021BE5" w14:textId="34479EC9" w:rsidR="00B06E27" w:rsidRDefault="00B06E27">
      <w:pPr>
        <w:pStyle w:val="FootnoteText"/>
      </w:pPr>
      <w:r>
        <w:rPr>
          <w:rStyle w:val="FootnoteReference"/>
        </w:rPr>
        <w:footnoteRef/>
      </w:r>
      <w:r>
        <w:t xml:space="preserve"> </w:t>
      </w:r>
      <w:hyperlink r:id="rId3" w:history="1">
        <w:r w:rsidR="007928B5">
          <w:rPr>
            <w:rStyle w:val="Hyperlink"/>
          </w:rPr>
          <w:t>https://www.england.nhs.uk/publication/executive-lead-roles-within-integrated-care-boards/</w:t>
        </w:r>
      </w:hyperlink>
      <w:r>
        <w:t xml:space="preserve"> </w:t>
      </w:r>
    </w:p>
  </w:footnote>
  <w:footnote w:id="4">
    <w:p w14:paraId="7D4511F2" w14:textId="77777777" w:rsidR="00DB0DDB" w:rsidRDefault="00DB0DDB" w:rsidP="00DB0DDB">
      <w:pPr>
        <w:pStyle w:val="FootnoteText"/>
      </w:pPr>
      <w:r>
        <w:rPr>
          <w:rStyle w:val="FootnoteReference"/>
        </w:rPr>
        <w:footnoteRef/>
      </w:r>
      <w:r>
        <w:t xml:space="preserve"> </w:t>
      </w:r>
      <w:hyperlink r:id="rId4" w:history="1">
        <w:r>
          <w:rPr>
            <w:rStyle w:val="Hyperlink"/>
          </w:rPr>
          <w:t>NHS England » Safeguarding children, young people and adults at risk in the NHS: Safeguarding accountability and assurance framework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E4ADD" w14:textId="77777777" w:rsidR="00016751" w:rsidRDefault="000167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8B889" w14:textId="77777777" w:rsidR="00016751" w:rsidRDefault="000167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AD47F" w14:textId="77777777" w:rsidR="00016751" w:rsidRDefault="000167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A0A6" w14:textId="77777777" w:rsidR="00F509F7" w:rsidRDefault="00F509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D5A1B" w14:textId="49F8B3DB" w:rsidR="00F509F7" w:rsidRPr="00DD0DF9" w:rsidRDefault="00A17EA8" w:rsidP="00F509F7">
    <w:pPr>
      <w:pStyle w:val="Header"/>
      <w:spacing w:after="360"/>
      <w:rPr>
        <w:rFonts w:ascii="Arial" w:hAnsi="Arial" w:cs="Arial"/>
        <w:color w:val="808080" w:themeColor="background1" w:themeShade="80"/>
      </w:rPr>
    </w:pPr>
    <w:r>
      <w:rPr>
        <w:rFonts w:ascii="Arial" w:hAnsi="Arial" w:cs="Arial"/>
        <w:color w:val="808080" w:themeColor="background1" w:themeShade="80"/>
      </w:rPr>
      <w:t>Safeguarding Children</w:t>
    </w:r>
    <w:r w:rsidR="00F509F7" w:rsidRPr="00DD0DF9">
      <w:rPr>
        <w:rFonts w:ascii="Arial" w:hAnsi="Arial" w:cs="Arial"/>
        <w:color w:val="808080" w:themeColor="background1" w:themeShade="80"/>
      </w:rPr>
      <w:t xml:space="preserve"> annual report 202</w:t>
    </w:r>
    <w:r w:rsidR="00FC4F38">
      <w:rPr>
        <w:rFonts w:ascii="Arial" w:hAnsi="Arial" w:cs="Arial"/>
        <w:color w:val="808080" w:themeColor="background1" w:themeShade="80"/>
      </w:rPr>
      <w:t>4</w:t>
    </w:r>
    <w:r w:rsidR="00F509F7" w:rsidRPr="00DD0DF9">
      <w:rPr>
        <w:rFonts w:ascii="Arial" w:hAnsi="Arial" w:cs="Arial"/>
        <w:color w:val="808080" w:themeColor="background1" w:themeShade="80"/>
      </w:rPr>
      <w:t>/2</w:t>
    </w:r>
    <w:r w:rsidR="00FC4F38">
      <w:rPr>
        <w:rFonts w:ascii="Arial" w:hAnsi="Arial" w:cs="Arial"/>
        <w:color w:val="808080" w:themeColor="background1" w:themeShade="8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DD1A7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CC254B"/>
    <w:multiLevelType w:val="multilevel"/>
    <w:tmpl w:val="BBFE7882"/>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D081746"/>
    <w:multiLevelType w:val="hybridMultilevel"/>
    <w:tmpl w:val="2724DE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6D5E98"/>
    <w:multiLevelType w:val="hybridMultilevel"/>
    <w:tmpl w:val="6F9E98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5966266"/>
    <w:multiLevelType w:val="multilevel"/>
    <w:tmpl w:val="560C6D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FB52DE"/>
    <w:multiLevelType w:val="multilevel"/>
    <w:tmpl w:val="9A7C1A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BF1746"/>
    <w:multiLevelType w:val="multilevel"/>
    <w:tmpl w:val="8708D6B6"/>
    <w:lvl w:ilvl="0">
      <w:start w:val="1"/>
      <w:numFmt w:val="bullet"/>
      <w:lvlText w:val=""/>
      <w:lvlJc w:val="left"/>
      <w:pPr>
        <w:tabs>
          <w:tab w:val="num" w:pos="1569"/>
        </w:tabs>
        <w:ind w:left="1569" w:hanging="360"/>
      </w:pPr>
      <w:rPr>
        <w:rFonts w:ascii="Symbol" w:hAnsi="Symbol" w:hint="default"/>
        <w:sz w:val="20"/>
      </w:rPr>
    </w:lvl>
    <w:lvl w:ilvl="1">
      <w:start w:val="1"/>
      <w:numFmt w:val="bullet"/>
      <w:lvlText w:val="o"/>
      <w:lvlJc w:val="left"/>
      <w:pPr>
        <w:tabs>
          <w:tab w:val="num" w:pos="2289"/>
        </w:tabs>
        <w:ind w:left="2289" w:hanging="360"/>
      </w:pPr>
      <w:rPr>
        <w:rFonts w:ascii="Courier New" w:hAnsi="Courier New" w:hint="default"/>
        <w:sz w:val="20"/>
      </w:rPr>
    </w:lvl>
    <w:lvl w:ilvl="2" w:tentative="1">
      <w:start w:val="1"/>
      <w:numFmt w:val="bullet"/>
      <w:lvlText w:val=""/>
      <w:lvlJc w:val="left"/>
      <w:pPr>
        <w:tabs>
          <w:tab w:val="num" w:pos="3009"/>
        </w:tabs>
        <w:ind w:left="3009" w:hanging="360"/>
      </w:pPr>
      <w:rPr>
        <w:rFonts w:ascii="Wingdings" w:hAnsi="Wingdings" w:hint="default"/>
        <w:sz w:val="20"/>
      </w:rPr>
    </w:lvl>
    <w:lvl w:ilvl="3" w:tentative="1">
      <w:start w:val="1"/>
      <w:numFmt w:val="bullet"/>
      <w:lvlText w:val=""/>
      <w:lvlJc w:val="left"/>
      <w:pPr>
        <w:tabs>
          <w:tab w:val="num" w:pos="3729"/>
        </w:tabs>
        <w:ind w:left="3729" w:hanging="360"/>
      </w:pPr>
      <w:rPr>
        <w:rFonts w:ascii="Wingdings" w:hAnsi="Wingdings" w:hint="default"/>
        <w:sz w:val="20"/>
      </w:rPr>
    </w:lvl>
    <w:lvl w:ilvl="4" w:tentative="1">
      <w:start w:val="1"/>
      <w:numFmt w:val="bullet"/>
      <w:lvlText w:val=""/>
      <w:lvlJc w:val="left"/>
      <w:pPr>
        <w:tabs>
          <w:tab w:val="num" w:pos="4449"/>
        </w:tabs>
        <w:ind w:left="4449" w:hanging="360"/>
      </w:pPr>
      <w:rPr>
        <w:rFonts w:ascii="Wingdings" w:hAnsi="Wingdings" w:hint="default"/>
        <w:sz w:val="20"/>
      </w:rPr>
    </w:lvl>
    <w:lvl w:ilvl="5" w:tentative="1">
      <w:start w:val="1"/>
      <w:numFmt w:val="bullet"/>
      <w:lvlText w:val=""/>
      <w:lvlJc w:val="left"/>
      <w:pPr>
        <w:tabs>
          <w:tab w:val="num" w:pos="5169"/>
        </w:tabs>
        <w:ind w:left="5169" w:hanging="360"/>
      </w:pPr>
      <w:rPr>
        <w:rFonts w:ascii="Wingdings" w:hAnsi="Wingdings" w:hint="default"/>
        <w:sz w:val="20"/>
      </w:rPr>
    </w:lvl>
    <w:lvl w:ilvl="6" w:tentative="1">
      <w:start w:val="1"/>
      <w:numFmt w:val="bullet"/>
      <w:lvlText w:val=""/>
      <w:lvlJc w:val="left"/>
      <w:pPr>
        <w:tabs>
          <w:tab w:val="num" w:pos="5889"/>
        </w:tabs>
        <w:ind w:left="5889" w:hanging="360"/>
      </w:pPr>
      <w:rPr>
        <w:rFonts w:ascii="Wingdings" w:hAnsi="Wingdings" w:hint="default"/>
        <w:sz w:val="20"/>
      </w:rPr>
    </w:lvl>
    <w:lvl w:ilvl="7" w:tentative="1">
      <w:start w:val="1"/>
      <w:numFmt w:val="bullet"/>
      <w:lvlText w:val=""/>
      <w:lvlJc w:val="left"/>
      <w:pPr>
        <w:tabs>
          <w:tab w:val="num" w:pos="6609"/>
        </w:tabs>
        <w:ind w:left="6609" w:hanging="360"/>
      </w:pPr>
      <w:rPr>
        <w:rFonts w:ascii="Wingdings" w:hAnsi="Wingdings" w:hint="default"/>
        <w:sz w:val="20"/>
      </w:rPr>
    </w:lvl>
    <w:lvl w:ilvl="8" w:tentative="1">
      <w:start w:val="1"/>
      <w:numFmt w:val="bullet"/>
      <w:lvlText w:val=""/>
      <w:lvlJc w:val="left"/>
      <w:pPr>
        <w:tabs>
          <w:tab w:val="num" w:pos="7329"/>
        </w:tabs>
        <w:ind w:left="7329" w:hanging="360"/>
      </w:pPr>
      <w:rPr>
        <w:rFonts w:ascii="Wingdings" w:hAnsi="Wingdings" w:hint="default"/>
        <w:sz w:val="20"/>
      </w:rPr>
    </w:lvl>
  </w:abstractNum>
  <w:abstractNum w:abstractNumId="7" w15:restartNumberingAfterBreak="0">
    <w:nsid w:val="2B4704FA"/>
    <w:multiLevelType w:val="multilevel"/>
    <w:tmpl w:val="2DDCA97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C033C85"/>
    <w:multiLevelType w:val="multilevel"/>
    <w:tmpl w:val="F6BE62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164E50"/>
    <w:multiLevelType w:val="multilevel"/>
    <w:tmpl w:val="659A5E38"/>
    <w:lvl w:ilvl="0">
      <w:start w:val="1"/>
      <w:numFmt w:val="decimal"/>
      <w:pStyle w:val="Heading1"/>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EC61005"/>
    <w:multiLevelType w:val="hybridMultilevel"/>
    <w:tmpl w:val="652A9C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0235CA9"/>
    <w:multiLevelType w:val="hybridMultilevel"/>
    <w:tmpl w:val="22C8D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6571AD"/>
    <w:multiLevelType w:val="hybridMultilevel"/>
    <w:tmpl w:val="FCCA7CD2"/>
    <w:lvl w:ilvl="0" w:tplc="08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40BF2EF6"/>
    <w:multiLevelType w:val="multilevel"/>
    <w:tmpl w:val="7A3C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F81B4C"/>
    <w:multiLevelType w:val="hybridMultilevel"/>
    <w:tmpl w:val="B16CEE8A"/>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78E5938"/>
    <w:multiLevelType w:val="multilevel"/>
    <w:tmpl w:val="FBFEF6BC"/>
    <w:lvl w:ilvl="0">
      <w:start w:val="1"/>
      <w:numFmt w:val="bullet"/>
      <w:lvlText w:val=""/>
      <w:lvlJc w:val="left"/>
      <w:pPr>
        <w:tabs>
          <w:tab w:val="num" w:pos="1288"/>
        </w:tabs>
        <w:ind w:left="1288" w:hanging="360"/>
      </w:pPr>
      <w:rPr>
        <w:rFonts w:ascii="Symbol" w:hAnsi="Symbol" w:hint="default"/>
        <w:sz w:val="20"/>
      </w:rPr>
    </w:lvl>
    <w:lvl w:ilvl="1">
      <w:start w:val="1"/>
      <w:numFmt w:val="bullet"/>
      <w:lvlText w:val="o"/>
      <w:lvlJc w:val="left"/>
      <w:pPr>
        <w:tabs>
          <w:tab w:val="num" w:pos="2008"/>
        </w:tabs>
        <w:ind w:left="2008" w:hanging="360"/>
      </w:pPr>
      <w:rPr>
        <w:rFonts w:ascii="Courier New" w:hAnsi="Courier New" w:hint="default"/>
        <w:sz w:val="20"/>
      </w:rPr>
    </w:lvl>
    <w:lvl w:ilvl="2" w:tentative="1">
      <w:start w:val="1"/>
      <w:numFmt w:val="bullet"/>
      <w:lvlText w:val=""/>
      <w:lvlJc w:val="left"/>
      <w:pPr>
        <w:tabs>
          <w:tab w:val="num" w:pos="2728"/>
        </w:tabs>
        <w:ind w:left="2728" w:hanging="360"/>
      </w:pPr>
      <w:rPr>
        <w:rFonts w:ascii="Wingdings" w:hAnsi="Wingdings" w:hint="default"/>
        <w:sz w:val="20"/>
      </w:rPr>
    </w:lvl>
    <w:lvl w:ilvl="3" w:tentative="1">
      <w:start w:val="1"/>
      <w:numFmt w:val="bullet"/>
      <w:lvlText w:val=""/>
      <w:lvlJc w:val="left"/>
      <w:pPr>
        <w:tabs>
          <w:tab w:val="num" w:pos="3448"/>
        </w:tabs>
        <w:ind w:left="3448" w:hanging="360"/>
      </w:pPr>
      <w:rPr>
        <w:rFonts w:ascii="Wingdings" w:hAnsi="Wingdings" w:hint="default"/>
        <w:sz w:val="20"/>
      </w:rPr>
    </w:lvl>
    <w:lvl w:ilvl="4" w:tentative="1">
      <w:start w:val="1"/>
      <w:numFmt w:val="bullet"/>
      <w:lvlText w:val=""/>
      <w:lvlJc w:val="left"/>
      <w:pPr>
        <w:tabs>
          <w:tab w:val="num" w:pos="4168"/>
        </w:tabs>
        <w:ind w:left="4168" w:hanging="360"/>
      </w:pPr>
      <w:rPr>
        <w:rFonts w:ascii="Wingdings" w:hAnsi="Wingdings" w:hint="default"/>
        <w:sz w:val="20"/>
      </w:rPr>
    </w:lvl>
    <w:lvl w:ilvl="5" w:tentative="1">
      <w:start w:val="1"/>
      <w:numFmt w:val="bullet"/>
      <w:lvlText w:val=""/>
      <w:lvlJc w:val="left"/>
      <w:pPr>
        <w:tabs>
          <w:tab w:val="num" w:pos="4888"/>
        </w:tabs>
        <w:ind w:left="4888" w:hanging="360"/>
      </w:pPr>
      <w:rPr>
        <w:rFonts w:ascii="Wingdings" w:hAnsi="Wingdings" w:hint="default"/>
        <w:sz w:val="20"/>
      </w:rPr>
    </w:lvl>
    <w:lvl w:ilvl="6" w:tentative="1">
      <w:start w:val="1"/>
      <w:numFmt w:val="bullet"/>
      <w:lvlText w:val=""/>
      <w:lvlJc w:val="left"/>
      <w:pPr>
        <w:tabs>
          <w:tab w:val="num" w:pos="5608"/>
        </w:tabs>
        <w:ind w:left="5608" w:hanging="360"/>
      </w:pPr>
      <w:rPr>
        <w:rFonts w:ascii="Wingdings" w:hAnsi="Wingdings" w:hint="default"/>
        <w:sz w:val="20"/>
      </w:rPr>
    </w:lvl>
    <w:lvl w:ilvl="7" w:tentative="1">
      <w:start w:val="1"/>
      <w:numFmt w:val="bullet"/>
      <w:lvlText w:val=""/>
      <w:lvlJc w:val="left"/>
      <w:pPr>
        <w:tabs>
          <w:tab w:val="num" w:pos="6328"/>
        </w:tabs>
        <w:ind w:left="6328" w:hanging="360"/>
      </w:pPr>
      <w:rPr>
        <w:rFonts w:ascii="Wingdings" w:hAnsi="Wingdings" w:hint="default"/>
        <w:sz w:val="20"/>
      </w:rPr>
    </w:lvl>
    <w:lvl w:ilvl="8" w:tentative="1">
      <w:start w:val="1"/>
      <w:numFmt w:val="bullet"/>
      <w:lvlText w:val=""/>
      <w:lvlJc w:val="left"/>
      <w:pPr>
        <w:tabs>
          <w:tab w:val="num" w:pos="7048"/>
        </w:tabs>
        <w:ind w:left="7048" w:hanging="360"/>
      </w:pPr>
      <w:rPr>
        <w:rFonts w:ascii="Wingdings" w:hAnsi="Wingdings" w:hint="default"/>
        <w:sz w:val="20"/>
      </w:rPr>
    </w:lvl>
  </w:abstractNum>
  <w:abstractNum w:abstractNumId="16" w15:restartNumberingAfterBreak="0">
    <w:nsid w:val="47CC173B"/>
    <w:multiLevelType w:val="hybridMultilevel"/>
    <w:tmpl w:val="E21C0D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444EFF"/>
    <w:multiLevelType w:val="multilevel"/>
    <w:tmpl w:val="BF1C23C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 w15:restartNumberingAfterBreak="0">
    <w:nsid w:val="581D0D6B"/>
    <w:multiLevelType w:val="hybridMultilevel"/>
    <w:tmpl w:val="DAD845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E3F5ADF"/>
    <w:multiLevelType w:val="multilevel"/>
    <w:tmpl w:val="DA42CA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25A7483"/>
    <w:multiLevelType w:val="hybridMultilevel"/>
    <w:tmpl w:val="166C9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7B0123"/>
    <w:multiLevelType w:val="hybridMultilevel"/>
    <w:tmpl w:val="B06A6B6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2" w15:restartNumberingAfterBreak="0">
    <w:nsid w:val="71C61B8A"/>
    <w:multiLevelType w:val="hybridMultilevel"/>
    <w:tmpl w:val="5A2016C0"/>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73880454"/>
    <w:multiLevelType w:val="multilevel"/>
    <w:tmpl w:val="8708D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861471"/>
    <w:multiLevelType w:val="multilevel"/>
    <w:tmpl w:val="F2BE010E"/>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Wingdings" w:hAnsi="Wingding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AF67DA6"/>
    <w:multiLevelType w:val="hybridMultilevel"/>
    <w:tmpl w:val="53E6F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5D4376"/>
    <w:multiLevelType w:val="hybridMultilevel"/>
    <w:tmpl w:val="98A8FB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04351247">
    <w:abstractNumId w:val="9"/>
  </w:num>
  <w:num w:numId="2" w16cid:durableId="900484648">
    <w:abstractNumId w:val="9"/>
  </w:num>
  <w:num w:numId="3" w16cid:durableId="1110320312">
    <w:abstractNumId w:val="9"/>
  </w:num>
  <w:num w:numId="4" w16cid:durableId="1841695655">
    <w:abstractNumId w:val="9"/>
  </w:num>
  <w:num w:numId="5" w16cid:durableId="1083912646">
    <w:abstractNumId w:val="9"/>
  </w:num>
  <w:num w:numId="6" w16cid:durableId="1848203599">
    <w:abstractNumId w:val="9"/>
  </w:num>
  <w:num w:numId="7" w16cid:durableId="1206600334">
    <w:abstractNumId w:val="0"/>
  </w:num>
  <w:num w:numId="8" w16cid:durableId="95951852">
    <w:abstractNumId w:val="18"/>
  </w:num>
  <w:num w:numId="9" w16cid:durableId="1920677486">
    <w:abstractNumId w:val="1"/>
  </w:num>
  <w:num w:numId="10" w16cid:durableId="1844710229">
    <w:abstractNumId w:val="24"/>
  </w:num>
  <w:num w:numId="11" w16cid:durableId="1031760092">
    <w:abstractNumId w:val="21"/>
  </w:num>
  <w:num w:numId="12" w16cid:durableId="1553466203">
    <w:abstractNumId w:val="20"/>
  </w:num>
  <w:num w:numId="13" w16cid:durableId="1154293486">
    <w:abstractNumId w:val="7"/>
  </w:num>
  <w:num w:numId="14" w16cid:durableId="850220444">
    <w:abstractNumId w:val="19"/>
  </w:num>
  <w:num w:numId="15" w16cid:durableId="212011543">
    <w:abstractNumId w:val="4"/>
  </w:num>
  <w:num w:numId="16" w16cid:durableId="1573545707">
    <w:abstractNumId w:val="23"/>
  </w:num>
  <w:num w:numId="17" w16cid:durableId="900605001">
    <w:abstractNumId w:val="6"/>
  </w:num>
  <w:num w:numId="18" w16cid:durableId="1235315391">
    <w:abstractNumId w:val="17"/>
  </w:num>
  <w:num w:numId="19" w16cid:durableId="658732841">
    <w:abstractNumId w:val="15"/>
  </w:num>
  <w:num w:numId="20" w16cid:durableId="1026098028">
    <w:abstractNumId w:val="8"/>
  </w:num>
  <w:num w:numId="21" w16cid:durableId="110635163">
    <w:abstractNumId w:val="5"/>
  </w:num>
  <w:num w:numId="22" w16cid:durableId="1756125839">
    <w:abstractNumId w:val="14"/>
  </w:num>
  <w:num w:numId="23" w16cid:durableId="1587153580">
    <w:abstractNumId w:val="26"/>
  </w:num>
  <w:num w:numId="24" w16cid:durableId="1211840882">
    <w:abstractNumId w:val="3"/>
  </w:num>
  <w:num w:numId="25" w16cid:durableId="1879779981">
    <w:abstractNumId w:val="11"/>
  </w:num>
  <w:num w:numId="26" w16cid:durableId="1445685556">
    <w:abstractNumId w:val="10"/>
  </w:num>
  <w:num w:numId="27" w16cid:durableId="931671636">
    <w:abstractNumId w:val="12"/>
  </w:num>
  <w:num w:numId="28" w16cid:durableId="2002467286">
    <w:abstractNumId w:val="2"/>
  </w:num>
  <w:num w:numId="29" w16cid:durableId="1674070033">
    <w:abstractNumId w:val="25"/>
  </w:num>
  <w:num w:numId="30" w16cid:durableId="346643977">
    <w:abstractNumId w:val="16"/>
  </w:num>
  <w:num w:numId="31" w16cid:durableId="1105266298">
    <w:abstractNumId w:val="13"/>
  </w:num>
  <w:num w:numId="32" w16cid:durableId="5140055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EB"/>
    <w:rsid w:val="000018BE"/>
    <w:rsid w:val="00007224"/>
    <w:rsid w:val="000142D1"/>
    <w:rsid w:val="00014722"/>
    <w:rsid w:val="0001656B"/>
    <w:rsid w:val="00016751"/>
    <w:rsid w:val="00017965"/>
    <w:rsid w:val="00032684"/>
    <w:rsid w:val="00036956"/>
    <w:rsid w:val="00044ACE"/>
    <w:rsid w:val="00045BBC"/>
    <w:rsid w:val="0005509E"/>
    <w:rsid w:val="000567D3"/>
    <w:rsid w:val="00064251"/>
    <w:rsid w:val="00064296"/>
    <w:rsid w:val="00065AA2"/>
    <w:rsid w:val="00066113"/>
    <w:rsid w:val="0007058C"/>
    <w:rsid w:val="00081C8B"/>
    <w:rsid w:val="000868B5"/>
    <w:rsid w:val="000A5FC8"/>
    <w:rsid w:val="000B1220"/>
    <w:rsid w:val="000D011C"/>
    <w:rsid w:val="000D0B2F"/>
    <w:rsid w:val="000F7406"/>
    <w:rsid w:val="00114BAC"/>
    <w:rsid w:val="0012117B"/>
    <w:rsid w:val="0012124D"/>
    <w:rsid w:val="00123C74"/>
    <w:rsid w:val="00126D15"/>
    <w:rsid w:val="00127A6C"/>
    <w:rsid w:val="0013280E"/>
    <w:rsid w:val="00133E27"/>
    <w:rsid w:val="0013512D"/>
    <w:rsid w:val="00135B69"/>
    <w:rsid w:val="00136904"/>
    <w:rsid w:val="00145E44"/>
    <w:rsid w:val="001503CA"/>
    <w:rsid w:val="001507B4"/>
    <w:rsid w:val="0015347A"/>
    <w:rsid w:val="001562F2"/>
    <w:rsid w:val="001619A2"/>
    <w:rsid w:val="00164650"/>
    <w:rsid w:val="001710EA"/>
    <w:rsid w:val="001A4B7F"/>
    <w:rsid w:val="001A59C9"/>
    <w:rsid w:val="001C19CC"/>
    <w:rsid w:val="001C483D"/>
    <w:rsid w:val="001C5572"/>
    <w:rsid w:val="001E0855"/>
    <w:rsid w:val="001E089B"/>
    <w:rsid w:val="001E4827"/>
    <w:rsid w:val="001E7EA1"/>
    <w:rsid w:val="001F58E8"/>
    <w:rsid w:val="001F6205"/>
    <w:rsid w:val="00205A70"/>
    <w:rsid w:val="002116DD"/>
    <w:rsid w:val="002130FA"/>
    <w:rsid w:val="00246D51"/>
    <w:rsid w:val="0025001B"/>
    <w:rsid w:val="0025482D"/>
    <w:rsid w:val="00257F8A"/>
    <w:rsid w:val="00265AF2"/>
    <w:rsid w:val="00286210"/>
    <w:rsid w:val="00293501"/>
    <w:rsid w:val="00297741"/>
    <w:rsid w:val="002A5370"/>
    <w:rsid w:val="002A7C13"/>
    <w:rsid w:val="002B3E42"/>
    <w:rsid w:val="002D13D4"/>
    <w:rsid w:val="002F3EAD"/>
    <w:rsid w:val="002F693C"/>
    <w:rsid w:val="00334424"/>
    <w:rsid w:val="00356B9A"/>
    <w:rsid w:val="00361ECB"/>
    <w:rsid w:val="003641EF"/>
    <w:rsid w:val="003668B5"/>
    <w:rsid w:val="00366C75"/>
    <w:rsid w:val="00376D76"/>
    <w:rsid w:val="00380E6F"/>
    <w:rsid w:val="00392F8D"/>
    <w:rsid w:val="003A11C4"/>
    <w:rsid w:val="003C03A1"/>
    <w:rsid w:val="003C4A2B"/>
    <w:rsid w:val="003D0AFC"/>
    <w:rsid w:val="003D5944"/>
    <w:rsid w:val="003E6D90"/>
    <w:rsid w:val="003F0E76"/>
    <w:rsid w:val="003F35FF"/>
    <w:rsid w:val="00401066"/>
    <w:rsid w:val="00401C1E"/>
    <w:rsid w:val="0040323F"/>
    <w:rsid w:val="00416018"/>
    <w:rsid w:val="00416ABD"/>
    <w:rsid w:val="00444034"/>
    <w:rsid w:val="0044720C"/>
    <w:rsid w:val="0045104D"/>
    <w:rsid w:val="00461863"/>
    <w:rsid w:val="0046733C"/>
    <w:rsid w:val="00471791"/>
    <w:rsid w:val="00483553"/>
    <w:rsid w:val="00484218"/>
    <w:rsid w:val="004844CA"/>
    <w:rsid w:val="004856D0"/>
    <w:rsid w:val="00492E3A"/>
    <w:rsid w:val="004A0D8A"/>
    <w:rsid w:val="004A66EC"/>
    <w:rsid w:val="004B227C"/>
    <w:rsid w:val="004B41A1"/>
    <w:rsid w:val="004C3C87"/>
    <w:rsid w:val="004C6B92"/>
    <w:rsid w:val="004D0FB5"/>
    <w:rsid w:val="004E5AA6"/>
    <w:rsid w:val="004E7FF4"/>
    <w:rsid w:val="004F4F6B"/>
    <w:rsid w:val="004F6CE0"/>
    <w:rsid w:val="00502B9F"/>
    <w:rsid w:val="00516735"/>
    <w:rsid w:val="00516F91"/>
    <w:rsid w:val="0052258C"/>
    <w:rsid w:val="00536D3B"/>
    <w:rsid w:val="0058355E"/>
    <w:rsid w:val="00583955"/>
    <w:rsid w:val="005B4DDD"/>
    <w:rsid w:val="005B62ED"/>
    <w:rsid w:val="005C5F76"/>
    <w:rsid w:val="005D324E"/>
    <w:rsid w:val="005E1151"/>
    <w:rsid w:val="005F1C0A"/>
    <w:rsid w:val="005F3A48"/>
    <w:rsid w:val="005F51BF"/>
    <w:rsid w:val="00606430"/>
    <w:rsid w:val="00623C44"/>
    <w:rsid w:val="006324D5"/>
    <w:rsid w:val="00635445"/>
    <w:rsid w:val="006417E0"/>
    <w:rsid w:val="00657F70"/>
    <w:rsid w:val="00665807"/>
    <w:rsid w:val="006A02B8"/>
    <w:rsid w:val="006A046C"/>
    <w:rsid w:val="006A1921"/>
    <w:rsid w:val="006A476D"/>
    <w:rsid w:val="006C7674"/>
    <w:rsid w:val="006E2CB7"/>
    <w:rsid w:val="006E71E1"/>
    <w:rsid w:val="00702BD3"/>
    <w:rsid w:val="00703036"/>
    <w:rsid w:val="00712194"/>
    <w:rsid w:val="00712323"/>
    <w:rsid w:val="007134C7"/>
    <w:rsid w:val="00791944"/>
    <w:rsid w:val="007928B5"/>
    <w:rsid w:val="0079323B"/>
    <w:rsid w:val="007A0986"/>
    <w:rsid w:val="007A38B0"/>
    <w:rsid w:val="007B006B"/>
    <w:rsid w:val="007B535F"/>
    <w:rsid w:val="007B77FF"/>
    <w:rsid w:val="007C2F00"/>
    <w:rsid w:val="007D28CF"/>
    <w:rsid w:val="007E3BF7"/>
    <w:rsid w:val="007E596A"/>
    <w:rsid w:val="007F0A98"/>
    <w:rsid w:val="007F309C"/>
    <w:rsid w:val="0080041E"/>
    <w:rsid w:val="008006AA"/>
    <w:rsid w:val="00800A92"/>
    <w:rsid w:val="00812157"/>
    <w:rsid w:val="0082551C"/>
    <w:rsid w:val="008318FE"/>
    <w:rsid w:val="0083384C"/>
    <w:rsid w:val="00841A46"/>
    <w:rsid w:val="00842861"/>
    <w:rsid w:val="0084418F"/>
    <w:rsid w:val="00846229"/>
    <w:rsid w:val="00847A86"/>
    <w:rsid w:val="00856810"/>
    <w:rsid w:val="0086169B"/>
    <w:rsid w:val="00862C11"/>
    <w:rsid w:val="00872F8E"/>
    <w:rsid w:val="0088056A"/>
    <w:rsid w:val="008835F2"/>
    <w:rsid w:val="00894605"/>
    <w:rsid w:val="00896E2E"/>
    <w:rsid w:val="008A2720"/>
    <w:rsid w:val="008C19B5"/>
    <w:rsid w:val="008C41C2"/>
    <w:rsid w:val="008E02CC"/>
    <w:rsid w:val="00910768"/>
    <w:rsid w:val="009272BF"/>
    <w:rsid w:val="009412FC"/>
    <w:rsid w:val="009443AB"/>
    <w:rsid w:val="00945CA2"/>
    <w:rsid w:val="00950B1C"/>
    <w:rsid w:val="00951974"/>
    <w:rsid w:val="00972EDC"/>
    <w:rsid w:val="00973DC1"/>
    <w:rsid w:val="00975CCD"/>
    <w:rsid w:val="0098097A"/>
    <w:rsid w:val="009A5948"/>
    <w:rsid w:val="009B0393"/>
    <w:rsid w:val="009B2A23"/>
    <w:rsid w:val="009B3D4F"/>
    <w:rsid w:val="009D3C24"/>
    <w:rsid w:val="009E7ADF"/>
    <w:rsid w:val="009F07FD"/>
    <w:rsid w:val="00A00AC6"/>
    <w:rsid w:val="00A134AB"/>
    <w:rsid w:val="00A13E1D"/>
    <w:rsid w:val="00A13F1D"/>
    <w:rsid w:val="00A17EA8"/>
    <w:rsid w:val="00A30A31"/>
    <w:rsid w:val="00A45836"/>
    <w:rsid w:val="00A45C4C"/>
    <w:rsid w:val="00A50949"/>
    <w:rsid w:val="00A52B39"/>
    <w:rsid w:val="00A5454D"/>
    <w:rsid w:val="00A82781"/>
    <w:rsid w:val="00A856E8"/>
    <w:rsid w:val="00A85B8B"/>
    <w:rsid w:val="00AB4F0C"/>
    <w:rsid w:val="00AB6EE2"/>
    <w:rsid w:val="00AD066D"/>
    <w:rsid w:val="00AD2CD5"/>
    <w:rsid w:val="00AE45C3"/>
    <w:rsid w:val="00B030F1"/>
    <w:rsid w:val="00B06E27"/>
    <w:rsid w:val="00B20189"/>
    <w:rsid w:val="00B3733D"/>
    <w:rsid w:val="00B54279"/>
    <w:rsid w:val="00B55C4D"/>
    <w:rsid w:val="00B63BBC"/>
    <w:rsid w:val="00B71D5E"/>
    <w:rsid w:val="00B74CA7"/>
    <w:rsid w:val="00B76373"/>
    <w:rsid w:val="00B803EE"/>
    <w:rsid w:val="00B80877"/>
    <w:rsid w:val="00B85BC1"/>
    <w:rsid w:val="00B94615"/>
    <w:rsid w:val="00BA6125"/>
    <w:rsid w:val="00BA6ECD"/>
    <w:rsid w:val="00BB6D17"/>
    <w:rsid w:val="00BC5082"/>
    <w:rsid w:val="00BD3C85"/>
    <w:rsid w:val="00BE4C7B"/>
    <w:rsid w:val="00BE7807"/>
    <w:rsid w:val="00BF13ED"/>
    <w:rsid w:val="00BF6579"/>
    <w:rsid w:val="00C2414C"/>
    <w:rsid w:val="00C24EC9"/>
    <w:rsid w:val="00C42588"/>
    <w:rsid w:val="00C50333"/>
    <w:rsid w:val="00C5038D"/>
    <w:rsid w:val="00C54A54"/>
    <w:rsid w:val="00C64835"/>
    <w:rsid w:val="00C733EB"/>
    <w:rsid w:val="00C74E0A"/>
    <w:rsid w:val="00CA12E9"/>
    <w:rsid w:val="00CA3F4A"/>
    <w:rsid w:val="00CA4B7C"/>
    <w:rsid w:val="00CB5D4F"/>
    <w:rsid w:val="00CB6543"/>
    <w:rsid w:val="00CD02E4"/>
    <w:rsid w:val="00CE332A"/>
    <w:rsid w:val="00CE4524"/>
    <w:rsid w:val="00CE75AD"/>
    <w:rsid w:val="00CF1B2B"/>
    <w:rsid w:val="00CF4BB7"/>
    <w:rsid w:val="00CF6C5C"/>
    <w:rsid w:val="00CF74A9"/>
    <w:rsid w:val="00D05CF1"/>
    <w:rsid w:val="00D202E1"/>
    <w:rsid w:val="00D23EEB"/>
    <w:rsid w:val="00D25D65"/>
    <w:rsid w:val="00D325EE"/>
    <w:rsid w:val="00D36711"/>
    <w:rsid w:val="00D37A13"/>
    <w:rsid w:val="00D4685D"/>
    <w:rsid w:val="00D50031"/>
    <w:rsid w:val="00D65F31"/>
    <w:rsid w:val="00D66BF5"/>
    <w:rsid w:val="00D91E0A"/>
    <w:rsid w:val="00D97B02"/>
    <w:rsid w:val="00DA5516"/>
    <w:rsid w:val="00DB0DDB"/>
    <w:rsid w:val="00DB2330"/>
    <w:rsid w:val="00DB6C8C"/>
    <w:rsid w:val="00DC2053"/>
    <w:rsid w:val="00DC52FF"/>
    <w:rsid w:val="00DD0DF9"/>
    <w:rsid w:val="00DD1369"/>
    <w:rsid w:val="00DD3463"/>
    <w:rsid w:val="00DD3713"/>
    <w:rsid w:val="00DE01CB"/>
    <w:rsid w:val="00DE3D31"/>
    <w:rsid w:val="00DF1497"/>
    <w:rsid w:val="00DF6478"/>
    <w:rsid w:val="00DF773B"/>
    <w:rsid w:val="00E0142D"/>
    <w:rsid w:val="00E05FFA"/>
    <w:rsid w:val="00E312B7"/>
    <w:rsid w:val="00E50188"/>
    <w:rsid w:val="00E5078F"/>
    <w:rsid w:val="00E54754"/>
    <w:rsid w:val="00E55A83"/>
    <w:rsid w:val="00E56B93"/>
    <w:rsid w:val="00E67B5D"/>
    <w:rsid w:val="00E810CA"/>
    <w:rsid w:val="00E95DE8"/>
    <w:rsid w:val="00EA2C6B"/>
    <w:rsid w:val="00EA42C0"/>
    <w:rsid w:val="00EA5E18"/>
    <w:rsid w:val="00EC03C5"/>
    <w:rsid w:val="00EC4A32"/>
    <w:rsid w:val="00EE5053"/>
    <w:rsid w:val="00EF2090"/>
    <w:rsid w:val="00F017F4"/>
    <w:rsid w:val="00F0429A"/>
    <w:rsid w:val="00F05D71"/>
    <w:rsid w:val="00F120A5"/>
    <w:rsid w:val="00F172BB"/>
    <w:rsid w:val="00F20A64"/>
    <w:rsid w:val="00F23A66"/>
    <w:rsid w:val="00F3724D"/>
    <w:rsid w:val="00F37EC5"/>
    <w:rsid w:val="00F430AC"/>
    <w:rsid w:val="00F4447B"/>
    <w:rsid w:val="00F463CF"/>
    <w:rsid w:val="00F47ECF"/>
    <w:rsid w:val="00F509F7"/>
    <w:rsid w:val="00F52DBD"/>
    <w:rsid w:val="00F611FD"/>
    <w:rsid w:val="00F6618A"/>
    <w:rsid w:val="00F948F4"/>
    <w:rsid w:val="00F94B6F"/>
    <w:rsid w:val="00FA04B0"/>
    <w:rsid w:val="00FA40EF"/>
    <w:rsid w:val="00FA4F90"/>
    <w:rsid w:val="00FA7E6D"/>
    <w:rsid w:val="00FB1A85"/>
    <w:rsid w:val="00FB28DB"/>
    <w:rsid w:val="00FB34B9"/>
    <w:rsid w:val="00FC4F38"/>
    <w:rsid w:val="00FD1ACB"/>
    <w:rsid w:val="00FD1B31"/>
    <w:rsid w:val="00FD498F"/>
    <w:rsid w:val="00FE1C39"/>
    <w:rsid w:val="00FF0F9C"/>
    <w:rsid w:val="00FF7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A7A87"/>
  <w15:chartTrackingRefBased/>
  <w15:docId w15:val="{2C04277A-77FF-47ED-A38A-7FE1B9096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F509F7"/>
    <w:pPr>
      <w:numPr>
        <w:numId w:val="1"/>
      </w:numPr>
      <w:spacing w:before="360" w:after="240" w:line="240" w:lineRule="auto"/>
      <w:ind w:left="567" w:hanging="567"/>
      <w:contextualSpacing w:val="0"/>
      <w:outlineLvl w:val="0"/>
    </w:pPr>
    <w:rPr>
      <w:rFonts w:ascii="Arial" w:hAnsi="Arial" w:cs="Arial"/>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2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09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9F7"/>
  </w:style>
  <w:style w:type="paragraph" w:styleId="Footer">
    <w:name w:val="footer"/>
    <w:basedOn w:val="Normal"/>
    <w:link w:val="FooterChar"/>
    <w:uiPriority w:val="99"/>
    <w:unhideWhenUsed/>
    <w:rsid w:val="00F509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9F7"/>
  </w:style>
  <w:style w:type="character" w:customStyle="1" w:styleId="Heading1Char">
    <w:name w:val="Heading 1 Char"/>
    <w:basedOn w:val="DefaultParagraphFont"/>
    <w:link w:val="Heading1"/>
    <w:uiPriority w:val="9"/>
    <w:rsid w:val="00F509F7"/>
    <w:rPr>
      <w:rFonts w:ascii="Arial" w:hAnsi="Arial" w:cs="Arial"/>
      <w:sz w:val="32"/>
      <w:szCs w:val="32"/>
    </w:rPr>
  </w:style>
  <w:style w:type="paragraph" w:styleId="TOCHeading">
    <w:name w:val="TOC Heading"/>
    <w:basedOn w:val="Heading1"/>
    <w:next w:val="Normal"/>
    <w:uiPriority w:val="39"/>
    <w:unhideWhenUsed/>
    <w:qFormat/>
    <w:rsid w:val="00F509F7"/>
    <w:pPr>
      <w:outlineLvl w:val="9"/>
    </w:pPr>
    <w:rPr>
      <w:kern w:val="0"/>
      <w:lang w:eastAsia="en-GB"/>
    </w:rPr>
  </w:style>
  <w:style w:type="paragraph" w:styleId="ListParagraph">
    <w:name w:val="List Paragraph"/>
    <w:aliases w:val="Numbered Para 1,Dot pt,No Spacing1,List Paragraph Char Char Char,Indicator Text,List Paragraph1,Bullet Points,MAIN CONTENT,F5 List Paragraph,Colorful List - Accent 11,List Paragraph2,List Paragraph12,OBC Bullet,List Paragraph11,L,Bullet 1"/>
    <w:basedOn w:val="Normal"/>
    <w:link w:val="ListParagraphChar"/>
    <w:uiPriority w:val="34"/>
    <w:qFormat/>
    <w:rsid w:val="00F509F7"/>
    <w:pPr>
      <w:ind w:left="720"/>
      <w:contextualSpacing/>
    </w:pPr>
  </w:style>
  <w:style w:type="paragraph" w:styleId="TOC1">
    <w:name w:val="toc 1"/>
    <w:basedOn w:val="Normal"/>
    <w:next w:val="Normal"/>
    <w:autoRedefine/>
    <w:uiPriority w:val="39"/>
    <w:unhideWhenUsed/>
    <w:rsid w:val="00DD0DF9"/>
    <w:pPr>
      <w:spacing w:after="100"/>
    </w:pPr>
  </w:style>
  <w:style w:type="character" w:styleId="Hyperlink">
    <w:name w:val="Hyperlink"/>
    <w:basedOn w:val="DefaultParagraphFont"/>
    <w:uiPriority w:val="99"/>
    <w:unhideWhenUsed/>
    <w:rsid w:val="00DD0DF9"/>
    <w:rPr>
      <w:color w:val="0563C1" w:themeColor="hyperlink"/>
      <w:u w:val="single"/>
    </w:rPr>
  </w:style>
  <w:style w:type="paragraph" w:styleId="Title">
    <w:name w:val="Title"/>
    <w:basedOn w:val="Heading1"/>
    <w:next w:val="Normal"/>
    <w:link w:val="TitleChar"/>
    <w:uiPriority w:val="10"/>
    <w:qFormat/>
    <w:rsid w:val="00DD0DF9"/>
    <w:pPr>
      <w:numPr>
        <w:numId w:val="0"/>
      </w:numPr>
      <w:ind w:left="567" w:hanging="567"/>
    </w:pPr>
  </w:style>
  <w:style w:type="character" w:customStyle="1" w:styleId="TitleChar">
    <w:name w:val="Title Char"/>
    <w:basedOn w:val="DefaultParagraphFont"/>
    <w:link w:val="Title"/>
    <w:uiPriority w:val="10"/>
    <w:rsid w:val="00DD0DF9"/>
    <w:rPr>
      <w:rFonts w:ascii="Arial" w:hAnsi="Arial" w:cs="Arial"/>
      <w:sz w:val="32"/>
      <w:szCs w:val="32"/>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Colorful List - Accent 11 Char,OBC Bullet Char"/>
    <w:basedOn w:val="DefaultParagraphFont"/>
    <w:link w:val="ListParagraph"/>
    <w:uiPriority w:val="34"/>
    <w:qFormat/>
    <w:locked/>
    <w:rsid w:val="0046733C"/>
  </w:style>
  <w:style w:type="paragraph" w:styleId="FootnoteText">
    <w:name w:val="footnote text"/>
    <w:basedOn w:val="Normal"/>
    <w:link w:val="FootnoteTextChar"/>
    <w:unhideWhenUsed/>
    <w:rsid w:val="00B06E27"/>
    <w:pPr>
      <w:spacing w:after="0" w:line="240" w:lineRule="auto"/>
    </w:pPr>
    <w:rPr>
      <w:sz w:val="20"/>
      <w:szCs w:val="20"/>
    </w:rPr>
  </w:style>
  <w:style w:type="character" w:customStyle="1" w:styleId="FootnoteTextChar">
    <w:name w:val="Footnote Text Char"/>
    <w:basedOn w:val="DefaultParagraphFont"/>
    <w:link w:val="FootnoteText"/>
    <w:rsid w:val="00B06E27"/>
    <w:rPr>
      <w:sz w:val="20"/>
      <w:szCs w:val="20"/>
    </w:rPr>
  </w:style>
  <w:style w:type="character" w:styleId="FootnoteReference">
    <w:name w:val="footnote reference"/>
    <w:basedOn w:val="DefaultParagraphFont"/>
    <w:unhideWhenUsed/>
    <w:rsid w:val="00B06E27"/>
    <w:rPr>
      <w:vertAlign w:val="superscript"/>
    </w:rPr>
  </w:style>
  <w:style w:type="character" w:styleId="UnresolvedMention">
    <w:name w:val="Unresolved Mention"/>
    <w:basedOn w:val="DefaultParagraphFont"/>
    <w:uiPriority w:val="99"/>
    <w:semiHidden/>
    <w:unhideWhenUsed/>
    <w:rsid w:val="00B06E27"/>
    <w:rPr>
      <w:color w:val="605E5C"/>
      <w:shd w:val="clear" w:color="auto" w:fill="E1DFDD"/>
    </w:rPr>
  </w:style>
  <w:style w:type="character" w:styleId="FollowedHyperlink">
    <w:name w:val="FollowedHyperlink"/>
    <w:basedOn w:val="DefaultParagraphFont"/>
    <w:uiPriority w:val="99"/>
    <w:semiHidden/>
    <w:unhideWhenUsed/>
    <w:rsid w:val="00DF773B"/>
    <w:rPr>
      <w:color w:val="954F72" w:themeColor="followedHyperlink"/>
      <w:u w:val="single"/>
    </w:rPr>
  </w:style>
  <w:style w:type="paragraph" w:customStyle="1" w:styleId="Default">
    <w:name w:val="Default"/>
    <w:rsid w:val="002F693C"/>
    <w:pPr>
      <w:widowControl w:val="0"/>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character" w:styleId="Strong">
    <w:name w:val="Strong"/>
    <w:basedOn w:val="DefaultParagraphFont"/>
    <w:uiPriority w:val="22"/>
    <w:qFormat/>
    <w:rsid w:val="002F693C"/>
    <w:rPr>
      <w:b/>
      <w:bCs/>
    </w:rPr>
  </w:style>
  <w:style w:type="paragraph" w:styleId="NormalWeb">
    <w:name w:val="Normal (Web)"/>
    <w:basedOn w:val="Normal"/>
    <w:uiPriority w:val="99"/>
    <w:unhideWhenUsed/>
    <w:rsid w:val="00945CA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F172BB"/>
    <w:pPr>
      <w:spacing w:after="0" w:line="240" w:lineRule="auto"/>
    </w:pPr>
  </w:style>
  <w:style w:type="character" w:styleId="CommentReference">
    <w:name w:val="annotation reference"/>
    <w:basedOn w:val="DefaultParagraphFont"/>
    <w:uiPriority w:val="99"/>
    <w:semiHidden/>
    <w:unhideWhenUsed/>
    <w:rsid w:val="00F172BB"/>
    <w:rPr>
      <w:sz w:val="16"/>
      <w:szCs w:val="16"/>
    </w:rPr>
  </w:style>
  <w:style w:type="paragraph" w:styleId="CommentText">
    <w:name w:val="annotation text"/>
    <w:basedOn w:val="Normal"/>
    <w:link w:val="CommentTextChar"/>
    <w:uiPriority w:val="99"/>
    <w:unhideWhenUsed/>
    <w:rsid w:val="00F172BB"/>
    <w:pPr>
      <w:spacing w:line="240" w:lineRule="auto"/>
    </w:pPr>
    <w:rPr>
      <w:sz w:val="20"/>
      <w:szCs w:val="20"/>
    </w:rPr>
  </w:style>
  <w:style w:type="character" w:customStyle="1" w:styleId="CommentTextChar">
    <w:name w:val="Comment Text Char"/>
    <w:basedOn w:val="DefaultParagraphFont"/>
    <w:link w:val="CommentText"/>
    <w:uiPriority w:val="99"/>
    <w:rsid w:val="00F172BB"/>
    <w:rPr>
      <w:sz w:val="20"/>
      <w:szCs w:val="20"/>
    </w:rPr>
  </w:style>
  <w:style w:type="paragraph" w:styleId="CommentSubject">
    <w:name w:val="annotation subject"/>
    <w:basedOn w:val="CommentText"/>
    <w:next w:val="CommentText"/>
    <w:link w:val="CommentSubjectChar"/>
    <w:uiPriority w:val="99"/>
    <w:semiHidden/>
    <w:unhideWhenUsed/>
    <w:rsid w:val="00F172BB"/>
    <w:rPr>
      <w:b/>
      <w:bCs/>
    </w:rPr>
  </w:style>
  <w:style w:type="character" w:customStyle="1" w:styleId="CommentSubjectChar">
    <w:name w:val="Comment Subject Char"/>
    <w:basedOn w:val="CommentTextChar"/>
    <w:link w:val="CommentSubject"/>
    <w:uiPriority w:val="99"/>
    <w:semiHidden/>
    <w:rsid w:val="00F172BB"/>
    <w:rPr>
      <w:b/>
      <w:bCs/>
      <w:sz w:val="20"/>
      <w:szCs w:val="20"/>
    </w:rPr>
  </w:style>
  <w:style w:type="paragraph" w:styleId="NoSpacing">
    <w:name w:val="No Spacing"/>
    <w:uiPriority w:val="1"/>
    <w:qFormat/>
    <w:rsid w:val="00DA5516"/>
    <w:pPr>
      <w:spacing w:after="0" w:line="240" w:lineRule="auto"/>
    </w:pPr>
  </w:style>
  <w:style w:type="paragraph" w:customStyle="1" w:styleId="xmsonormal">
    <w:name w:val="x_msonormal"/>
    <w:basedOn w:val="Normal"/>
    <w:rsid w:val="00EA2C6B"/>
    <w:pPr>
      <w:spacing w:before="100" w:beforeAutospacing="1" w:after="100" w:afterAutospacing="1" w:line="240" w:lineRule="auto"/>
    </w:pPr>
    <w:rPr>
      <w:rFonts w:ascii="Aptos" w:hAnsi="Aptos" w:cs="Aptos"/>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896826">
      <w:bodyDiv w:val="1"/>
      <w:marLeft w:val="0"/>
      <w:marRight w:val="0"/>
      <w:marTop w:val="0"/>
      <w:marBottom w:val="0"/>
      <w:divBdr>
        <w:top w:val="none" w:sz="0" w:space="0" w:color="auto"/>
        <w:left w:val="none" w:sz="0" w:space="0" w:color="auto"/>
        <w:bottom w:val="none" w:sz="0" w:space="0" w:color="auto"/>
        <w:right w:val="none" w:sz="0" w:space="0" w:color="auto"/>
      </w:divBdr>
    </w:div>
    <w:div w:id="902326157">
      <w:bodyDiv w:val="1"/>
      <w:marLeft w:val="0"/>
      <w:marRight w:val="0"/>
      <w:marTop w:val="0"/>
      <w:marBottom w:val="0"/>
      <w:divBdr>
        <w:top w:val="none" w:sz="0" w:space="0" w:color="auto"/>
        <w:left w:val="none" w:sz="0" w:space="0" w:color="auto"/>
        <w:bottom w:val="none" w:sz="0" w:space="0" w:color="auto"/>
        <w:right w:val="none" w:sz="0" w:space="0" w:color="auto"/>
      </w:divBdr>
    </w:div>
    <w:div w:id="1045176114">
      <w:bodyDiv w:val="1"/>
      <w:marLeft w:val="0"/>
      <w:marRight w:val="0"/>
      <w:marTop w:val="0"/>
      <w:marBottom w:val="0"/>
      <w:divBdr>
        <w:top w:val="none" w:sz="0" w:space="0" w:color="auto"/>
        <w:left w:val="none" w:sz="0" w:space="0" w:color="auto"/>
        <w:bottom w:val="none" w:sz="0" w:space="0" w:color="auto"/>
        <w:right w:val="none" w:sz="0" w:space="0" w:color="auto"/>
      </w:divBdr>
    </w:div>
    <w:div w:id="1075976216">
      <w:bodyDiv w:val="1"/>
      <w:marLeft w:val="0"/>
      <w:marRight w:val="0"/>
      <w:marTop w:val="0"/>
      <w:marBottom w:val="0"/>
      <w:divBdr>
        <w:top w:val="none" w:sz="0" w:space="0" w:color="auto"/>
        <w:left w:val="none" w:sz="0" w:space="0" w:color="auto"/>
        <w:bottom w:val="none" w:sz="0" w:space="0" w:color="auto"/>
        <w:right w:val="none" w:sz="0" w:space="0" w:color="auto"/>
      </w:divBdr>
    </w:div>
    <w:div w:id="1426614874">
      <w:bodyDiv w:val="1"/>
      <w:marLeft w:val="0"/>
      <w:marRight w:val="0"/>
      <w:marTop w:val="0"/>
      <w:marBottom w:val="0"/>
      <w:divBdr>
        <w:top w:val="none" w:sz="0" w:space="0" w:color="auto"/>
        <w:left w:val="none" w:sz="0" w:space="0" w:color="auto"/>
        <w:bottom w:val="none" w:sz="0" w:space="0" w:color="auto"/>
        <w:right w:val="none" w:sz="0" w:space="0" w:color="auto"/>
      </w:divBdr>
    </w:div>
    <w:div w:id="205561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yperlink" Target="https://nhssomerset.nhs.uk/health/safeguarding-adults-and-children/safeguarding-policies-guidance/" TargetMode="External"/><Relationship Id="rId3" Type="http://schemas.openxmlformats.org/officeDocument/2006/relationships/styles" Target="styles.xml"/><Relationship Id="rId21" Type="http://schemas.openxmlformats.org/officeDocument/2006/relationships/hyperlink" Target="https://nhssomerset.nhs.uk/health/safeguarding-adults-and-children/safeguarding-annual-reports/"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reports.ofsted.gov.uk/provider/44/80555"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hyperlink" Target="https://somersetsafeguardingchildren.org.uk/congratul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3.png"/><Relationship Id="rId28" Type="http://schemas.openxmlformats.org/officeDocument/2006/relationships/hyperlink" Target="https://somersetsurvivors.org.uk/training/" TargetMode="Externa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yperlink" Target="https://nhssomerset.nhs.uk/health/safeguarding-adults-and-children/child-death-review/" TargetMode="External"/><Relationship Id="rId27" Type="http://schemas.openxmlformats.org/officeDocument/2006/relationships/hyperlink" Target="https://somersetsafeguardingchildren.org.uk/training/"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ngland.nhs.uk/publication/executive-lead-roles-within-integrated-care-boards/" TargetMode="External"/><Relationship Id="rId2" Type="http://schemas.openxmlformats.org/officeDocument/2006/relationships/hyperlink" Target="https://assets.publishing.service.gov.uk/media/6825b992a60aeba5ab34e006/The_families_first_partnership_programme_guide.pdf" TargetMode="External"/><Relationship Id="rId1" Type="http://schemas.openxmlformats.org/officeDocument/2006/relationships/hyperlink" Target="https://www.gov.uk/government/publications/keeping-children-safe-helping-families-thrive" TargetMode="External"/><Relationship Id="rId4" Type="http://schemas.openxmlformats.org/officeDocument/2006/relationships/hyperlink" Target="https://www.england.nhs.uk/publication/safeguarding-children-young-people-and-adults-at-risk-in-the-nhs-safeguarding-accountability-and-assurance-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56086-5983-4392-B6B0-19CEC9B21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4345</Words>
  <Characters>24768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CUMBERBATCH, Charlotte (NHS SOMERSET ICB - 11X)</dc:creator>
  <cp:keywords/>
  <dc:description/>
  <cp:lastModifiedBy>LINCOLN, Christine (NHS SOMERSET ICB - 11X)</cp:lastModifiedBy>
  <cp:revision>5</cp:revision>
  <cp:lastPrinted>2024-05-02T13:15:00Z</cp:lastPrinted>
  <dcterms:created xsi:type="dcterms:W3CDTF">2025-09-08T16:19:00Z</dcterms:created>
  <dcterms:modified xsi:type="dcterms:W3CDTF">2026-03-20T09:03:00Z</dcterms:modified>
</cp:coreProperties>
</file>